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50" w:rsidRDefault="00833E4C">
      <w:pPr>
        <w:pStyle w:val="a6"/>
        <w:overflowPunct w:val="0"/>
        <w:autoSpaceDE w:val="0"/>
        <w:autoSpaceDN w:val="0"/>
        <w:adjustRightInd w:val="0"/>
        <w:snapToGrid w:val="0"/>
        <w:spacing w:line="560" w:lineRule="exact"/>
        <w:rPr>
          <w:rFonts w:ascii="方正小标宋_GBK" w:eastAsia="方正小标宋_GBK"/>
          <w:b w:val="0"/>
          <w:sz w:val="36"/>
          <w:szCs w:val="36"/>
        </w:rPr>
      </w:pPr>
      <w:r>
        <w:rPr>
          <w:rFonts w:ascii="方正小标宋_GBK" w:eastAsia="方正小标宋_GBK" w:hint="eastAsia"/>
          <w:b w:val="0"/>
          <w:sz w:val="36"/>
          <w:szCs w:val="36"/>
        </w:rPr>
        <w:t>英大基金管理有限公司关于增加</w:t>
      </w:r>
      <w:r>
        <w:rPr>
          <w:rFonts w:ascii="方正小标宋_GBK" w:eastAsia="方正小标宋_GBK" w:hint="eastAsia"/>
          <w:b w:val="0"/>
          <w:sz w:val="36"/>
          <w:szCs w:val="36"/>
        </w:rPr>
        <w:t>交通银行</w:t>
      </w:r>
      <w:r>
        <w:rPr>
          <w:rFonts w:ascii="方正小标宋_GBK" w:eastAsia="方正小标宋_GBK" w:hint="eastAsia"/>
          <w:b w:val="0"/>
          <w:sz w:val="36"/>
          <w:szCs w:val="36"/>
        </w:rPr>
        <w:t>股份有限公司为旗下部分基金销售机构的公告</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根据英大基金管理有限公司（以下简称</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本公司”）与</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股份有限公司（以下简称“</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”）签署的基金销售代理协议</w:t>
      </w:r>
      <w:r>
        <w:rPr>
          <w:rFonts w:ascii="方正仿宋_GBK" w:eastAsia="方正仿宋_GBK" w:hAnsiTheme="minorEastAsia" w:cs="Times New Roman" w:hint="eastAsia"/>
          <w:sz w:val="32"/>
          <w:szCs w:val="32"/>
        </w:rPr>
        <w:t>及相关工作安排</w:t>
      </w:r>
      <w:r>
        <w:rPr>
          <w:rFonts w:ascii="方正仿宋_GBK" w:eastAsia="方正仿宋_GBK" w:hAnsiTheme="minorEastAsia" w:cs="Times New Roman" w:hint="eastAsia"/>
          <w:sz w:val="32"/>
          <w:szCs w:val="32"/>
        </w:rPr>
        <w:t>，自</w:t>
      </w:r>
      <w:r>
        <w:rPr>
          <w:rFonts w:ascii="方正仿宋_GBK" w:eastAsia="方正仿宋_GBK" w:hAnsiTheme="minorEastAsia" w:cs="Times New Roman" w:hint="eastAsia"/>
          <w:sz w:val="32"/>
          <w:szCs w:val="32"/>
        </w:rPr>
        <w:t>202</w:t>
      </w:r>
      <w:r>
        <w:rPr>
          <w:rFonts w:ascii="方正仿宋_GBK" w:eastAsia="方正仿宋_GBK" w:hAnsiTheme="minorEastAsia" w:cs="Times New Roman" w:hint="eastAsia"/>
          <w:sz w:val="32"/>
          <w:szCs w:val="32"/>
        </w:rPr>
        <w:t>1</w:t>
      </w:r>
      <w:r>
        <w:rPr>
          <w:rFonts w:ascii="方正仿宋_GBK" w:eastAsia="方正仿宋_GBK" w:hAnsiTheme="minorEastAsia" w:cs="Times New Roman" w:hint="eastAsia"/>
          <w:sz w:val="32"/>
          <w:szCs w:val="32"/>
        </w:rPr>
        <w:t>年</w:t>
      </w:r>
      <w:r>
        <w:rPr>
          <w:rFonts w:ascii="方正仿宋_GBK" w:eastAsia="方正仿宋_GBK" w:hAnsiTheme="minorEastAsia" w:cs="Times New Roman" w:hint="eastAsia"/>
          <w:sz w:val="32"/>
          <w:szCs w:val="32"/>
        </w:rPr>
        <w:t>9</w:t>
      </w:r>
      <w:r>
        <w:rPr>
          <w:rFonts w:ascii="方正仿宋_GBK" w:eastAsia="方正仿宋_GBK" w:hAnsiTheme="minorEastAsia" w:cs="Times New Roman" w:hint="eastAsia"/>
          <w:sz w:val="32"/>
          <w:szCs w:val="32"/>
        </w:rPr>
        <w:t>月</w:t>
      </w:r>
      <w:r>
        <w:rPr>
          <w:rFonts w:ascii="方正仿宋_GBK" w:eastAsia="方正仿宋_GBK" w:hAnsiTheme="minorEastAsia" w:cs="Times New Roman" w:hint="eastAsia"/>
          <w:sz w:val="32"/>
          <w:szCs w:val="32"/>
        </w:rPr>
        <w:t>7</w:t>
      </w:r>
      <w:r>
        <w:rPr>
          <w:rFonts w:ascii="方正仿宋_GBK" w:eastAsia="方正仿宋_GBK" w:hAnsiTheme="minorEastAsia" w:cs="Times New Roman" w:hint="eastAsia"/>
          <w:sz w:val="32"/>
          <w:szCs w:val="32"/>
        </w:rPr>
        <w:t>日起，增加</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为本公司旗下英大策略优选混合型证券投资基金</w:t>
      </w:r>
      <w:r>
        <w:rPr>
          <w:rFonts w:ascii="方正仿宋_GBK" w:eastAsia="方正仿宋_GBK" w:hAnsiTheme="minorEastAsia" w:cs="Times New Roman" w:hint="eastAsia"/>
          <w:sz w:val="32"/>
          <w:szCs w:val="32"/>
        </w:rPr>
        <w:t>、英大睿鑫灵活配置混合型证券投资基金、英大睿盛灵活配置混合型证券投资基金、英大国企改革主题股票型证券投资基金、英大通惠多利债券型证券投资基金</w:t>
      </w:r>
      <w:r>
        <w:rPr>
          <w:rFonts w:ascii="方正仿宋_GBK" w:eastAsia="方正仿宋_GBK" w:hAnsiTheme="minorEastAsia" w:cs="Times New Roman" w:hint="eastAsia"/>
          <w:sz w:val="32"/>
          <w:szCs w:val="32"/>
        </w:rPr>
        <w:t>的销售机构。</w:t>
      </w:r>
    </w:p>
    <w:p w:rsidR="00520050" w:rsidRDefault="00833E4C">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方正仿宋_GBK" w:eastAsia="方正仿宋_GBK" w:hAnsiTheme="minorEastAsia" w:cs="Times New Roman" w:hint="eastAsia"/>
          <w:sz w:val="32"/>
          <w:szCs w:val="32"/>
        </w:rPr>
        <w:t>投资者可以通过</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办理开户、申购、赎回、定期定额投资、基金转换等业务</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同时参加</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开展的基金申购费率优惠活动</w:t>
      </w:r>
      <w:r>
        <w:rPr>
          <w:rFonts w:ascii="方正仿宋_GBK" w:eastAsia="方正仿宋_GBK" w:hAnsiTheme="minorEastAsia" w:cs="Times New Roman" w:hint="eastAsia"/>
          <w:sz w:val="32"/>
          <w:szCs w:val="32"/>
        </w:rPr>
        <w:t>。</w:t>
      </w:r>
    </w:p>
    <w:p w:rsidR="00520050" w:rsidRDefault="00833E4C">
      <w:pPr>
        <w:overflowPunct w:val="0"/>
        <w:autoSpaceDE w:val="0"/>
        <w:autoSpaceDN w:val="0"/>
        <w:adjustRightInd w:val="0"/>
        <w:snapToGrid w:val="0"/>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rPr>
        <w:t>一、</w:t>
      </w:r>
      <w:r>
        <w:rPr>
          <w:rFonts w:ascii="方正黑体_GBK" w:eastAsia="方正黑体_GBK" w:hAnsi="楷体" w:hint="eastAsia"/>
          <w:color w:val="000000" w:themeColor="text1"/>
          <w:kern w:val="0"/>
          <w:sz w:val="32"/>
          <w:szCs w:val="32"/>
        </w:rPr>
        <w:t>代理销售基金名称和代码</w:t>
      </w:r>
    </w:p>
    <w:tbl>
      <w:tblPr>
        <w:tblW w:w="8625" w:type="dxa"/>
        <w:jc w:val="center"/>
        <w:tblLayout w:type="fixed"/>
        <w:tblLook w:val="04A0"/>
      </w:tblPr>
      <w:tblGrid>
        <w:gridCol w:w="4313"/>
        <w:gridCol w:w="2737"/>
        <w:gridCol w:w="1575"/>
      </w:tblGrid>
      <w:tr w:rsidR="00520050">
        <w:trPr>
          <w:trHeight w:val="403"/>
          <w:jc w:val="center"/>
        </w:trPr>
        <w:tc>
          <w:tcPr>
            <w:tcW w:w="4313"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基金名称</w:t>
            </w:r>
          </w:p>
        </w:tc>
        <w:tc>
          <w:tcPr>
            <w:tcW w:w="2737"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基金简称</w:t>
            </w:r>
          </w:p>
        </w:tc>
        <w:tc>
          <w:tcPr>
            <w:tcW w:w="1575"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基金代码</w:t>
            </w:r>
          </w:p>
        </w:tc>
      </w:tr>
      <w:tr w:rsidR="00520050">
        <w:trPr>
          <w:trHeight w:val="479"/>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001607</w:t>
            </w:r>
          </w:p>
        </w:tc>
      </w:tr>
      <w:tr w:rsidR="00520050">
        <w:trPr>
          <w:trHeight w:val="476"/>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520050">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001608</w:t>
            </w:r>
          </w:p>
        </w:tc>
      </w:tr>
      <w:tr w:rsidR="00520050">
        <w:trPr>
          <w:trHeight w:val="503"/>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英大睿鑫灵活配置混合型证券投资基金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003446</w:t>
            </w:r>
          </w:p>
        </w:tc>
      </w:tr>
      <w:tr w:rsidR="00520050">
        <w:trPr>
          <w:trHeight w:val="465"/>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520050">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003447</w:t>
            </w:r>
          </w:p>
        </w:tc>
      </w:tr>
      <w:tr w:rsidR="00520050">
        <w:trPr>
          <w:trHeight w:val="504"/>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英大睿盛灵活配置混合型证券投资基金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003713</w:t>
            </w:r>
          </w:p>
        </w:tc>
      </w:tr>
      <w:tr w:rsidR="00520050">
        <w:trPr>
          <w:trHeight w:val="519"/>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520050">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003714</w:t>
            </w:r>
          </w:p>
        </w:tc>
      </w:tr>
      <w:tr w:rsidR="00520050">
        <w:trPr>
          <w:trHeight w:val="582"/>
          <w:jc w:val="center"/>
        </w:trPr>
        <w:tc>
          <w:tcPr>
            <w:tcW w:w="4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英大国企改革主题股票型证券投资基金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w:t>
            </w:r>
          </w:p>
        </w:tc>
        <w:tc>
          <w:tcPr>
            <w:tcW w:w="1575" w:type="dxa"/>
            <w:tcBorders>
              <w:top w:val="single" w:sz="4" w:space="0" w:color="auto"/>
              <w:left w:val="single" w:sz="4" w:space="0" w:color="auto"/>
              <w:bottom w:val="single" w:sz="4" w:space="0" w:color="auto"/>
              <w:right w:val="single" w:sz="4" w:space="0" w:color="auto"/>
            </w:tcBorders>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001678</w:t>
            </w:r>
          </w:p>
        </w:tc>
      </w:tr>
      <w:tr w:rsidR="00520050">
        <w:trPr>
          <w:trHeight w:val="448"/>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012352</w:t>
            </w:r>
          </w:p>
        </w:tc>
      </w:tr>
      <w:tr w:rsidR="00520050">
        <w:trPr>
          <w:trHeight w:val="448"/>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520050" w:rsidRDefault="00520050">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20050" w:rsidRDefault="00833E4C">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012353</w:t>
            </w:r>
          </w:p>
        </w:tc>
      </w:tr>
    </w:tbl>
    <w:p w:rsidR="00520050" w:rsidRDefault="00833E4C">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二、定期定额投资业务提示</w:t>
      </w:r>
      <w:r>
        <w:rPr>
          <w:rFonts w:ascii="黑体" w:eastAsia="黑体" w:hAnsi="黑体" w:cs="Times New Roman" w:hint="eastAsia"/>
          <w:sz w:val="32"/>
          <w:szCs w:val="32"/>
        </w:rPr>
        <w:t xml:space="preserve"> </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、投资者通过</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办理基金定期定额投资业务，应遵循</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的具体规定</w:t>
      </w:r>
      <w:r>
        <w:rPr>
          <w:rFonts w:ascii="方正仿宋_GBK" w:eastAsia="方正仿宋_GBK" w:hAnsi="Times New Roman" w:cs="Times New Roman" w:hint="eastAsia"/>
          <w:sz w:val="32"/>
          <w:szCs w:val="32"/>
        </w:rPr>
        <w:t>。</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r>
        <w:rPr>
          <w:rFonts w:ascii="方正仿宋_GBK" w:eastAsia="方正仿宋_GBK" w:hAnsi="Times New Roman" w:cs="Times New Roman" w:hint="eastAsia"/>
          <w:sz w:val="32"/>
          <w:szCs w:val="32"/>
        </w:rPr>
        <w:t xml:space="preserve"> </w:t>
      </w:r>
    </w:p>
    <w:p w:rsidR="00520050" w:rsidRDefault="00833E4C">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三、费率优惠活动</w:t>
      </w:r>
      <w:r>
        <w:rPr>
          <w:rFonts w:ascii="黑体" w:eastAsia="黑体" w:hAnsi="黑体" w:cs="Times New Roman" w:hint="eastAsia"/>
          <w:sz w:val="32"/>
          <w:szCs w:val="32"/>
        </w:rPr>
        <w:t xml:space="preserve"> </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自本公司新增</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为旗下</w:t>
      </w:r>
      <w:r>
        <w:rPr>
          <w:rFonts w:ascii="方正仿宋_GBK" w:eastAsia="方正仿宋_GBK" w:hAnsiTheme="minorEastAsia" w:cs="Times New Roman" w:hint="eastAsia"/>
          <w:sz w:val="32"/>
          <w:szCs w:val="32"/>
        </w:rPr>
        <w:t>部分</w:t>
      </w:r>
      <w:r>
        <w:rPr>
          <w:rFonts w:ascii="方正仿宋_GBK" w:eastAsia="方正仿宋_GBK" w:hAnsiTheme="minorEastAsia" w:cs="Times New Roman" w:hint="eastAsia"/>
          <w:sz w:val="32"/>
          <w:szCs w:val="32"/>
        </w:rPr>
        <w:t>基金的代销机构之日起，投资者通过</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申购（含定期定额申购、转入）本公告</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一、代理销售基金名称和代码</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中所列的基金（仅</w:t>
      </w:r>
      <w:bookmarkStart w:id="0" w:name="_GoBack"/>
      <w:bookmarkEnd w:id="0"/>
      <w:r>
        <w:rPr>
          <w:rFonts w:ascii="方正仿宋_GBK" w:eastAsia="方正仿宋_GBK" w:hAnsiTheme="minorEastAsia" w:cs="Times New Roman" w:hint="eastAsia"/>
          <w:sz w:val="32"/>
          <w:szCs w:val="32"/>
        </w:rPr>
        <w:t>限前端收费模式），均可参加</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开展的费率优惠活动，具体以</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的费率优惠规则为准。各基金原费率请详见基金合同、招募说明书（更新）等法律文件，以及本公司发布的最新业务公告。</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费率优惠期限以本公司或</w:t>
      </w:r>
      <w:r>
        <w:rPr>
          <w:rFonts w:ascii="方正仿宋_GBK" w:eastAsia="方正仿宋_GBK" w:hAnsiTheme="minorEastAsia" w:cs="Times New Roman" w:hint="eastAsia"/>
          <w:sz w:val="32"/>
          <w:szCs w:val="32"/>
        </w:rPr>
        <w:t>交通银行</w:t>
      </w:r>
      <w:r>
        <w:rPr>
          <w:rFonts w:ascii="方正仿宋_GBK" w:eastAsia="方正仿宋_GBK" w:hAnsi="Times New Roman" w:cs="Times New Roman" w:hint="eastAsia"/>
          <w:sz w:val="32"/>
          <w:szCs w:val="32"/>
        </w:rPr>
        <w:t>官方网站所示公告为准。费率优惠期限内，如本公司新增通过</w:t>
      </w:r>
      <w:r>
        <w:rPr>
          <w:rFonts w:ascii="方正仿宋_GBK" w:eastAsia="方正仿宋_GBK" w:hAnsiTheme="minorEastAsia" w:cs="Times New Roman" w:hint="eastAsia"/>
          <w:sz w:val="32"/>
          <w:szCs w:val="32"/>
        </w:rPr>
        <w:t>交通银行</w:t>
      </w:r>
      <w:r>
        <w:rPr>
          <w:rFonts w:ascii="方正仿宋_GBK" w:eastAsia="方正仿宋_GBK" w:hAnsi="Times New Roman" w:cs="Times New Roman" w:hint="eastAsia"/>
          <w:sz w:val="32"/>
          <w:szCs w:val="32"/>
        </w:rPr>
        <w:t>代销的基金产品，则该基金产品认购期内及开放申购当日起，将同时开通该基金上述优惠活动。</w:t>
      </w:r>
    </w:p>
    <w:p w:rsidR="00520050" w:rsidRDefault="00833E4C">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四、其他重要提示</w:t>
      </w:r>
      <w:r>
        <w:rPr>
          <w:rFonts w:ascii="黑体" w:eastAsia="黑体" w:hAnsi="黑体" w:cs="Times New Roman" w:hint="eastAsia"/>
          <w:sz w:val="32"/>
          <w:szCs w:val="32"/>
        </w:rPr>
        <w:t xml:space="preserve"> </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、投资者通过</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办理上述基金投资业务，具体办理规则及程序请按照</w:t>
      </w:r>
      <w:r>
        <w:rPr>
          <w:rFonts w:ascii="方正仿宋_GBK" w:eastAsia="方正仿宋_GBK" w:hAnsiTheme="minorEastAsia" w:cs="Times New Roman" w:hint="eastAsia"/>
          <w:sz w:val="32"/>
          <w:szCs w:val="32"/>
        </w:rPr>
        <w:t>交通银行</w:t>
      </w:r>
      <w:r>
        <w:rPr>
          <w:rFonts w:ascii="方正仿宋_GBK" w:eastAsia="方正仿宋_GBK" w:hAnsiTheme="minorEastAsia" w:cs="Times New Roman" w:hint="eastAsia"/>
          <w:sz w:val="32"/>
          <w:szCs w:val="32"/>
        </w:rPr>
        <w:t>的规定执行。</w:t>
      </w:r>
      <w:r>
        <w:rPr>
          <w:rFonts w:ascii="方正仿宋_GBK" w:eastAsia="方正仿宋_GBK" w:hAnsi="Times New Roman" w:cs="Times New Roman" w:hint="eastAsia"/>
          <w:sz w:val="32"/>
          <w:szCs w:val="32"/>
        </w:rPr>
        <w:t xml:space="preserve"> </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、投资者欲了解各基金的详细情况，请仔细阅读刊登</w:t>
      </w:r>
      <w:r>
        <w:rPr>
          <w:rFonts w:ascii="方正仿宋_GBK" w:eastAsia="方正仿宋_GBK" w:hAnsiTheme="minorEastAsia" w:cs="Times New Roman" w:hint="eastAsia"/>
          <w:sz w:val="32"/>
          <w:szCs w:val="32"/>
        </w:rPr>
        <w:lastRenderedPageBreak/>
        <w:t>于本公司网站（</w:t>
      </w:r>
      <w:r>
        <w:rPr>
          <w:rFonts w:ascii="方正仿宋_GBK" w:eastAsia="方正仿宋_GBK" w:hAnsi="Times New Roman" w:cs="Times New Roman" w:hint="eastAsia"/>
          <w:sz w:val="32"/>
          <w:szCs w:val="32"/>
        </w:rPr>
        <w:t>www.ydamc.com</w:t>
      </w:r>
      <w:r>
        <w:rPr>
          <w:rFonts w:ascii="方正仿宋_GBK" w:eastAsia="方正仿宋_GBK" w:hAnsiTheme="minorEastAsia" w:cs="Times New Roman" w:hint="eastAsia"/>
          <w:sz w:val="32"/>
          <w:szCs w:val="32"/>
        </w:rPr>
        <w:t>）的各基金的基金合同、招募说明书（更新）等法律文件，以及相关业务公告。</w:t>
      </w:r>
      <w:r>
        <w:rPr>
          <w:rFonts w:ascii="方正仿宋_GBK" w:eastAsia="方正仿宋_GBK" w:hAnsi="Times New Roman" w:cs="Times New Roman" w:hint="eastAsia"/>
          <w:sz w:val="32"/>
          <w:szCs w:val="32"/>
        </w:rPr>
        <w:t xml:space="preserve"> </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3</w:t>
      </w:r>
      <w:r>
        <w:rPr>
          <w:rFonts w:ascii="方正仿宋_GBK" w:eastAsia="方正仿宋_GBK" w:hAnsiTheme="minorEastAsia" w:cs="Times New Roman" w:hint="eastAsia"/>
          <w:sz w:val="32"/>
          <w:szCs w:val="32"/>
        </w:rPr>
        <w:t>、本公告的解释权归本公司所有。</w:t>
      </w:r>
      <w:r>
        <w:rPr>
          <w:rFonts w:ascii="方正仿宋_GBK" w:eastAsia="方正仿宋_GBK" w:hAnsi="Times New Roman" w:cs="Times New Roman" w:hint="eastAsia"/>
          <w:sz w:val="32"/>
          <w:szCs w:val="32"/>
        </w:rPr>
        <w:t xml:space="preserve"> </w:t>
      </w:r>
    </w:p>
    <w:p w:rsidR="00520050" w:rsidRDefault="00833E4C">
      <w:pPr>
        <w:overflowPunct w:val="0"/>
        <w:autoSpaceDE w:val="0"/>
        <w:autoSpaceDN w:val="0"/>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五、投资者可通过以下途径咨询详情</w:t>
      </w:r>
      <w:r>
        <w:rPr>
          <w:rFonts w:ascii="黑体" w:eastAsia="黑体" w:hAnsi="黑体" w:cs="Times New Roman" w:hint="eastAsia"/>
          <w:sz w:val="32"/>
          <w:szCs w:val="32"/>
        </w:rPr>
        <w:t xml:space="preserve"> </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sz w:val="32"/>
          <w:szCs w:val="32"/>
        </w:rPr>
      </w:pPr>
      <w:r>
        <w:rPr>
          <w:rFonts w:ascii="方正仿宋_GBK" w:eastAsia="方正仿宋_GBK" w:hAnsi="Times New Roman" w:cs="Times New Roman" w:hint="eastAsia"/>
          <w:sz w:val="32"/>
          <w:szCs w:val="32"/>
        </w:rPr>
        <w:t>1</w:t>
      </w:r>
      <w:r>
        <w:rPr>
          <w:rFonts w:ascii="方正仿宋_GBK" w:eastAsia="方正仿宋_GBK" w:hAnsiTheme="minorEastAsia" w:cs="Times New Roman" w:hint="eastAsia"/>
          <w:sz w:val="32"/>
          <w:szCs w:val="32"/>
        </w:rPr>
        <w:t>、</w:t>
      </w:r>
      <w:r>
        <w:rPr>
          <w:rFonts w:ascii="方正仿宋_GBK" w:eastAsia="方正仿宋_GBK" w:hAnsi="Times New Roman" w:cs="Times New Roman" w:hint="eastAsia"/>
          <w:sz w:val="32"/>
          <w:szCs w:val="32"/>
        </w:rPr>
        <w:t>交通银行</w:t>
      </w:r>
      <w:r>
        <w:rPr>
          <w:rFonts w:ascii="方正仿宋_GBK" w:eastAsia="方正仿宋_GBK" w:hAnsi="Times New Roman" w:cs="Times New Roman" w:hint="eastAsia"/>
          <w:sz w:val="32"/>
          <w:szCs w:val="32"/>
        </w:rPr>
        <w:t>股份有限公司</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客户服务电话：</w:t>
      </w:r>
      <w:r>
        <w:rPr>
          <w:rFonts w:ascii="方正仿宋_GBK" w:eastAsia="方正仿宋_GBK" w:hAnsi="Times New Roman" w:cs="Times New Roman" w:hint="eastAsia"/>
          <w:sz w:val="32"/>
          <w:szCs w:val="32"/>
        </w:rPr>
        <w:t>955</w:t>
      </w:r>
      <w:r>
        <w:rPr>
          <w:rFonts w:ascii="方正仿宋_GBK" w:eastAsia="方正仿宋_GBK" w:hAnsi="Times New Roman" w:cs="Times New Roman" w:hint="eastAsia"/>
          <w:sz w:val="32"/>
          <w:szCs w:val="32"/>
        </w:rPr>
        <w:t>59</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网址：</w:t>
      </w:r>
      <w:r>
        <w:rPr>
          <w:rFonts w:ascii="方正仿宋_GBK" w:eastAsia="方正仿宋_GBK" w:hAnsi="Times New Roman" w:cs="Times New Roman" w:hint="eastAsia"/>
          <w:sz w:val="32"/>
          <w:szCs w:val="32"/>
        </w:rPr>
        <w:t>www.bankcomm.com</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2</w:t>
      </w:r>
      <w:r>
        <w:rPr>
          <w:rFonts w:ascii="方正仿宋_GBK" w:eastAsia="方正仿宋_GBK" w:hAnsiTheme="minorEastAsia" w:cs="Times New Roman" w:hint="eastAsia"/>
          <w:sz w:val="32"/>
          <w:szCs w:val="32"/>
        </w:rPr>
        <w:t>、英大基金管理有限公司</w:t>
      </w:r>
      <w:r>
        <w:rPr>
          <w:rFonts w:ascii="方正仿宋_GBK" w:eastAsia="方正仿宋_GBK" w:hAnsi="Times New Roman" w:cs="Times New Roman" w:hint="eastAsia"/>
          <w:sz w:val="32"/>
          <w:szCs w:val="32"/>
        </w:rPr>
        <w:t xml:space="preserve"> </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客户服务电话：</w:t>
      </w:r>
      <w:r>
        <w:rPr>
          <w:rFonts w:ascii="方正仿宋_GBK" w:eastAsia="方正仿宋_GBK" w:hAnsi="Times New Roman" w:cs="Times New Roman" w:hint="eastAsia"/>
          <w:sz w:val="32"/>
          <w:szCs w:val="32"/>
        </w:rPr>
        <w:t xml:space="preserve">400-890-5288 </w:t>
      </w:r>
    </w:p>
    <w:p w:rsidR="00520050" w:rsidRDefault="00833E4C">
      <w:pPr>
        <w:overflowPunct w:val="0"/>
        <w:autoSpaceDE w:val="0"/>
        <w:autoSpaceDN w:val="0"/>
        <w:adjustRightInd w:val="0"/>
        <w:snapToGrid w:val="0"/>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公司网站：</w:t>
      </w:r>
      <w:r>
        <w:rPr>
          <w:rFonts w:ascii="方正仿宋_GBK" w:eastAsia="方正仿宋_GBK" w:hAnsi="Times New Roman" w:cs="Times New Roman" w:hint="eastAsia"/>
          <w:sz w:val="32"/>
          <w:szCs w:val="32"/>
        </w:rPr>
        <w:t xml:space="preserve">www.ydamc.com </w:t>
      </w:r>
    </w:p>
    <w:p w:rsidR="00520050" w:rsidRDefault="00833E4C">
      <w:pPr>
        <w:overflowPunct w:val="0"/>
        <w:autoSpaceDE w:val="0"/>
        <w:autoSpaceDN w:val="0"/>
        <w:adjustRightInd w:val="0"/>
        <w:snapToGrid w:val="0"/>
        <w:spacing w:before="240" w:line="560" w:lineRule="exact"/>
        <w:ind w:firstLineChars="200" w:firstLine="640"/>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风险提示</w:t>
      </w:r>
      <w:r>
        <w:rPr>
          <w:rFonts w:ascii="方正仿宋_GBK" w:eastAsia="方正仿宋_GBK" w:hAnsi="Times New Roman" w:cs="Times New Roman" w:hint="eastAsia"/>
          <w:sz w:val="32"/>
          <w:szCs w:val="32"/>
        </w:rPr>
        <w:t>：</w:t>
      </w:r>
      <w:r>
        <w:rPr>
          <w:rFonts w:ascii="方正仿宋_GBK" w:eastAsia="方正仿宋_GBK" w:hAnsiTheme="minorEastAsia" w:cs="Times New Roman" w:hint="eastAsia"/>
          <w:sz w:val="32"/>
          <w:szCs w:val="32"/>
        </w:rPr>
        <w:t>本公司承诺以诚实信用、勤勉尽责的原则管理和运用基金资产，但不保证基金一定盈利，也不保证最低收益。敬请投资者注意投资风险。投资者投资于上述基金前应认真阅读基金的基金合同、招募说明书（更新）等法律文件，并选择适合自身风险承受能力的投资品种进行投资。</w:t>
      </w:r>
      <w:r>
        <w:rPr>
          <w:rFonts w:ascii="方正仿宋_GBK" w:eastAsia="方正仿宋_GBK" w:hAnsi="Times New Roman" w:cs="Times New Roman" w:hint="eastAsia"/>
          <w:sz w:val="32"/>
          <w:szCs w:val="32"/>
        </w:rPr>
        <w:t xml:space="preserve"> </w:t>
      </w:r>
    </w:p>
    <w:p w:rsidR="00520050" w:rsidRDefault="00833E4C">
      <w:pPr>
        <w:overflowPunct w:val="0"/>
        <w:autoSpaceDE w:val="0"/>
        <w:autoSpaceDN w:val="0"/>
        <w:adjustRightInd w:val="0"/>
        <w:snapToGrid w:val="0"/>
        <w:spacing w:before="240"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 xml:space="preserve">  </w:t>
      </w:r>
      <w:r>
        <w:rPr>
          <w:rFonts w:ascii="方正仿宋_GBK" w:eastAsia="方正仿宋_GBK" w:hAnsiTheme="minorEastAsia" w:cs="Times New Roman" w:hint="eastAsia"/>
          <w:sz w:val="32"/>
          <w:szCs w:val="32"/>
        </w:rPr>
        <w:t>特此公告。</w:t>
      </w:r>
      <w:r>
        <w:rPr>
          <w:rFonts w:ascii="方正仿宋_GBK" w:eastAsia="方正仿宋_GBK" w:hAnsi="Times New Roman" w:cs="Times New Roman" w:hint="eastAsia"/>
          <w:sz w:val="32"/>
          <w:szCs w:val="32"/>
        </w:rPr>
        <w:t xml:space="preserve">  </w:t>
      </w:r>
    </w:p>
    <w:p w:rsidR="00520050" w:rsidRDefault="00833E4C">
      <w:pPr>
        <w:overflowPunct w:val="0"/>
        <w:autoSpaceDE w:val="0"/>
        <w:autoSpaceDN w:val="0"/>
        <w:adjustRightInd w:val="0"/>
        <w:snapToGrid w:val="0"/>
        <w:spacing w:line="560" w:lineRule="exact"/>
        <w:ind w:firstLineChars="200" w:firstLine="640"/>
        <w:jc w:val="right"/>
        <w:rPr>
          <w:rFonts w:ascii="方正仿宋_GBK" w:eastAsia="方正仿宋_GBK" w:hAnsi="Times New Roman" w:cs="Times New Roman"/>
          <w:sz w:val="32"/>
          <w:szCs w:val="32"/>
        </w:rPr>
      </w:pPr>
      <w:r>
        <w:rPr>
          <w:rFonts w:ascii="方正仿宋_GBK" w:eastAsia="方正仿宋_GBK" w:hAnsiTheme="minorEastAsia" w:cs="Times New Roman" w:hint="eastAsia"/>
          <w:sz w:val="32"/>
          <w:szCs w:val="32"/>
        </w:rPr>
        <w:t>英大基金管理有限公司</w:t>
      </w:r>
      <w:r>
        <w:rPr>
          <w:rFonts w:ascii="方正仿宋_GBK" w:eastAsia="方正仿宋_GBK" w:hAnsi="Times New Roman" w:cs="Times New Roman" w:hint="eastAsia"/>
          <w:sz w:val="32"/>
          <w:szCs w:val="32"/>
        </w:rPr>
        <w:t xml:space="preserve"> </w:t>
      </w:r>
    </w:p>
    <w:p w:rsidR="00520050" w:rsidRDefault="00833E4C">
      <w:pPr>
        <w:overflowPunct w:val="0"/>
        <w:autoSpaceDE w:val="0"/>
        <w:autoSpaceDN w:val="0"/>
        <w:adjustRightInd w:val="0"/>
        <w:snapToGrid w:val="0"/>
        <w:spacing w:line="560" w:lineRule="exact"/>
        <w:ind w:right="480" w:firstLineChars="200" w:firstLine="640"/>
        <w:jc w:val="right"/>
        <w:rPr>
          <w:rFonts w:ascii="方正仿宋_GBK" w:eastAsia="方正仿宋_GBK"/>
          <w:sz w:val="32"/>
          <w:szCs w:val="32"/>
        </w:rPr>
      </w:pPr>
      <w:r>
        <w:rPr>
          <w:rFonts w:ascii="方正仿宋_GBK" w:eastAsia="方正仿宋_GBK" w:hAnsi="Times New Roman" w:cs="Times New Roman" w:hint="eastAsia"/>
          <w:sz w:val="32"/>
          <w:szCs w:val="32"/>
        </w:rPr>
        <w:t>2021</w:t>
      </w:r>
      <w:r>
        <w:rPr>
          <w:rFonts w:ascii="方正仿宋_GBK" w:eastAsia="方正仿宋_GBK" w:hAnsi="Times New Roman" w:cs="Times New Roman" w:hint="eastAsia"/>
          <w:sz w:val="32"/>
          <w:szCs w:val="32"/>
        </w:rPr>
        <w:t>年</w:t>
      </w:r>
      <w:r>
        <w:rPr>
          <w:rFonts w:ascii="方正仿宋_GBK" w:eastAsia="方正仿宋_GBK" w:hAnsi="Times New Roman" w:cs="Times New Roman" w:hint="eastAsia"/>
          <w:sz w:val="32"/>
          <w:szCs w:val="32"/>
        </w:rPr>
        <w:t>9</w:t>
      </w:r>
      <w:r>
        <w:rPr>
          <w:rFonts w:ascii="方正仿宋_GBK" w:eastAsia="方正仿宋_GBK" w:hAnsi="Times New Roman" w:cs="Times New Roman" w:hint="eastAsia"/>
          <w:sz w:val="32"/>
          <w:szCs w:val="32"/>
        </w:rPr>
        <w:t>月</w:t>
      </w:r>
      <w:r>
        <w:rPr>
          <w:rFonts w:ascii="方正仿宋_GBK" w:eastAsia="方正仿宋_GBK" w:hAnsi="Times New Roman" w:cs="Times New Roman" w:hint="eastAsia"/>
          <w:sz w:val="32"/>
          <w:szCs w:val="32"/>
        </w:rPr>
        <w:t>3</w:t>
      </w:r>
      <w:r>
        <w:rPr>
          <w:rFonts w:ascii="方正仿宋_GBK" w:eastAsia="方正仿宋_GBK" w:hAnsi="Times New Roman" w:cs="Times New Roman" w:hint="eastAsia"/>
          <w:sz w:val="32"/>
          <w:szCs w:val="32"/>
        </w:rPr>
        <w:t>日</w:t>
      </w:r>
    </w:p>
    <w:sectPr w:rsidR="00520050" w:rsidSect="005200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楷体">
    <w:charset w:val="86"/>
    <w:family w:val="modern"/>
    <w:pitch w:val="default"/>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C6489"/>
    <w:rsid w:val="00072944"/>
    <w:rsid w:val="000732FB"/>
    <w:rsid w:val="001D5BF6"/>
    <w:rsid w:val="002044FF"/>
    <w:rsid w:val="00225936"/>
    <w:rsid w:val="00282D0F"/>
    <w:rsid w:val="00355835"/>
    <w:rsid w:val="00426CAE"/>
    <w:rsid w:val="004D53FF"/>
    <w:rsid w:val="00517335"/>
    <w:rsid w:val="00520050"/>
    <w:rsid w:val="006C6489"/>
    <w:rsid w:val="006F181B"/>
    <w:rsid w:val="00730E7F"/>
    <w:rsid w:val="008050ED"/>
    <w:rsid w:val="00833E4C"/>
    <w:rsid w:val="009749B8"/>
    <w:rsid w:val="00A05F10"/>
    <w:rsid w:val="00A84680"/>
    <w:rsid w:val="00B2383A"/>
    <w:rsid w:val="00B74189"/>
    <w:rsid w:val="00BE01DD"/>
    <w:rsid w:val="00BE096C"/>
    <w:rsid w:val="00BF7A91"/>
    <w:rsid w:val="00D72DEB"/>
    <w:rsid w:val="00D96F38"/>
    <w:rsid w:val="00F87DC2"/>
    <w:rsid w:val="00FB10CA"/>
    <w:rsid w:val="0D7124A3"/>
    <w:rsid w:val="1E9D68A5"/>
    <w:rsid w:val="203A4297"/>
    <w:rsid w:val="260C7328"/>
    <w:rsid w:val="269B7E2E"/>
    <w:rsid w:val="34871FC4"/>
    <w:rsid w:val="40721467"/>
    <w:rsid w:val="49C26B65"/>
    <w:rsid w:val="4AA971E5"/>
    <w:rsid w:val="53072895"/>
    <w:rsid w:val="5ABA79E0"/>
    <w:rsid w:val="5D19643C"/>
    <w:rsid w:val="68CC1751"/>
    <w:rsid w:val="75027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5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20050"/>
    <w:rPr>
      <w:sz w:val="18"/>
      <w:szCs w:val="18"/>
    </w:rPr>
  </w:style>
  <w:style w:type="paragraph" w:styleId="a4">
    <w:name w:val="footer"/>
    <w:basedOn w:val="a"/>
    <w:link w:val="Char0"/>
    <w:uiPriority w:val="99"/>
    <w:semiHidden/>
    <w:unhideWhenUsed/>
    <w:qFormat/>
    <w:rsid w:val="0052005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20050"/>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520050"/>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rsid w:val="005200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qFormat/>
    <w:rsid w:val="00520050"/>
    <w:rPr>
      <w:color w:val="0000FF"/>
      <w:u w:val="single"/>
    </w:rPr>
  </w:style>
  <w:style w:type="character" w:customStyle="1" w:styleId="Char1">
    <w:name w:val="页眉 Char"/>
    <w:basedOn w:val="a0"/>
    <w:link w:val="a5"/>
    <w:uiPriority w:val="99"/>
    <w:semiHidden/>
    <w:qFormat/>
    <w:rsid w:val="00520050"/>
    <w:rPr>
      <w:sz w:val="18"/>
      <w:szCs w:val="18"/>
    </w:rPr>
  </w:style>
  <w:style w:type="character" w:customStyle="1" w:styleId="Char0">
    <w:name w:val="页脚 Char"/>
    <w:basedOn w:val="a0"/>
    <w:link w:val="a4"/>
    <w:uiPriority w:val="99"/>
    <w:semiHidden/>
    <w:qFormat/>
    <w:rsid w:val="00520050"/>
    <w:rPr>
      <w:sz w:val="18"/>
      <w:szCs w:val="18"/>
    </w:rPr>
  </w:style>
  <w:style w:type="character" w:customStyle="1" w:styleId="Char2">
    <w:name w:val="标题 Char"/>
    <w:basedOn w:val="a0"/>
    <w:link w:val="a6"/>
    <w:uiPriority w:val="10"/>
    <w:qFormat/>
    <w:rsid w:val="00520050"/>
    <w:rPr>
      <w:rFonts w:asciiTheme="majorHAnsi" w:eastAsia="宋体" w:hAnsiTheme="majorHAnsi" w:cstheme="majorBidi"/>
      <w:b/>
      <w:bCs/>
      <w:sz w:val="32"/>
      <w:szCs w:val="32"/>
    </w:rPr>
  </w:style>
  <w:style w:type="paragraph" w:styleId="a9">
    <w:name w:val="List Paragraph"/>
    <w:basedOn w:val="a"/>
    <w:uiPriority w:val="34"/>
    <w:qFormat/>
    <w:rsid w:val="00520050"/>
    <w:pPr>
      <w:ind w:firstLineChars="200" w:firstLine="420"/>
    </w:pPr>
  </w:style>
  <w:style w:type="character" w:customStyle="1" w:styleId="Char">
    <w:name w:val="批注框文本 Char"/>
    <w:basedOn w:val="a0"/>
    <w:link w:val="a3"/>
    <w:uiPriority w:val="99"/>
    <w:semiHidden/>
    <w:qFormat/>
    <w:rsid w:val="00520050"/>
    <w:rPr>
      <w:sz w:val="18"/>
      <w:szCs w:val="18"/>
    </w:rPr>
  </w:style>
  <w:style w:type="character" w:customStyle="1" w:styleId="apple-converted-space">
    <w:name w:val="apple-converted-space"/>
    <w:basedOn w:val="a0"/>
    <w:qFormat/>
    <w:rsid w:val="005200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1203</Characters>
  <Application>Microsoft Office Word</Application>
  <DocSecurity>4</DocSecurity>
  <Lines>10</Lines>
  <Paragraphs>2</Paragraphs>
  <ScaleCrop>false</ScaleCrop>
  <Company>CNSTOCK</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cp:lastPrinted>2019-05-23T06:46:00Z</cp:lastPrinted>
  <dcterms:created xsi:type="dcterms:W3CDTF">2021-09-02T16:17:00Z</dcterms:created>
  <dcterms:modified xsi:type="dcterms:W3CDTF">2021-09-02T16:17:00Z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