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7" w:rsidRPr="001E7589" w:rsidRDefault="00233A87" w:rsidP="001E758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33A87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关于泰达宏利基金管理有限公司旗下部分基金参与</w:t>
      </w:r>
      <w:r w:rsidR="00B20AD9">
        <w:rPr>
          <w:rFonts w:ascii="宋体" w:eastAsia="宋体" w:hAnsi="宋体" w:hint="eastAsia"/>
          <w:b/>
          <w:bCs/>
          <w:sz w:val="28"/>
          <w:szCs w:val="28"/>
        </w:rPr>
        <w:t>华福</w:t>
      </w:r>
      <w:r w:rsidRPr="00233A87">
        <w:rPr>
          <w:rFonts w:ascii="宋体" w:eastAsia="宋体" w:hAnsi="宋体" w:hint="eastAsia"/>
          <w:b/>
          <w:bCs/>
          <w:sz w:val="28"/>
          <w:szCs w:val="28"/>
        </w:rPr>
        <w:t>证券有限</w:t>
      </w:r>
      <w:r w:rsidR="00B20AD9">
        <w:rPr>
          <w:rFonts w:ascii="宋体" w:eastAsia="宋体" w:hAnsi="宋体" w:hint="eastAsia"/>
          <w:b/>
          <w:bCs/>
          <w:sz w:val="28"/>
          <w:szCs w:val="28"/>
        </w:rPr>
        <w:t>责任</w:t>
      </w:r>
      <w:r w:rsidRPr="00233A87">
        <w:rPr>
          <w:rFonts w:ascii="宋体" w:eastAsia="宋体" w:hAnsi="宋体" w:hint="eastAsia"/>
          <w:b/>
          <w:bCs/>
          <w:sz w:val="28"/>
          <w:szCs w:val="28"/>
        </w:rPr>
        <w:t>公司申购费率（含定期定额投资）优惠活动的公告</w:t>
      </w:r>
    </w:p>
    <w:p w:rsidR="0066331C" w:rsidRDefault="008E59E7" w:rsidP="0066331C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</w:t>
      </w:r>
      <w:r w:rsidR="00DE0F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华福证券有限责任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公司（以下简称“</w:t>
      </w:r>
      <w:r w:rsidR="00DE0F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华福</w:t>
      </w:r>
      <w:r w:rsid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协商一致，泰达宏利基金管理有限公司（以下简称“本公司”）指定旗下部分基金</w:t>
      </w:r>
      <w:r w:rsidR="00D402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自2</w:t>
      </w:r>
      <w:r w:rsidR="00D40237">
        <w:rPr>
          <w:rFonts w:ascii="宋体" w:eastAsia="宋体" w:hAnsi="宋体" w:cs="宋体"/>
          <w:color w:val="000000"/>
          <w:kern w:val="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D402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DE0FAE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="00D402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37AB5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D402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</w:t>
      </w:r>
      <w:r w:rsidR="00DE0F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华福</w:t>
      </w:r>
      <w:r w:rsid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申购费率（含定期定额投资）</w:t>
      </w:r>
      <w:r w:rsidR="00D402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优惠活动，具体情况如下：</w:t>
      </w:r>
    </w:p>
    <w:p w:rsidR="00912917" w:rsidRPr="001E7589" w:rsidRDefault="0066331C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="008E5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参与</w:t>
      </w:r>
      <w:r w:rsidR="00DE0F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华福</w:t>
      </w:r>
      <w:r w:rsid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="008E5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申购费率（含定期定额投资）</w:t>
      </w:r>
      <w:r w:rsidR="008220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优惠适用范围</w:t>
      </w:r>
      <w:r w:rsid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tbl>
      <w:tblPr>
        <w:tblStyle w:val="a3"/>
        <w:tblW w:w="8642" w:type="dxa"/>
        <w:tblLook w:val="04A0"/>
      </w:tblPr>
      <w:tblGrid>
        <w:gridCol w:w="704"/>
        <w:gridCol w:w="1418"/>
        <w:gridCol w:w="6520"/>
      </w:tblGrid>
      <w:tr w:rsidR="00A10847" w:rsidTr="00757303">
        <w:tc>
          <w:tcPr>
            <w:tcW w:w="704" w:type="dxa"/>
          </w:tcPr>
          <w:p w:rsidR="00A10847" w:rsidRPr="001E7589" w:rsidRDefault="00A10847" w:rsidP="001E758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758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A10847" w:rsidRPr="001E7589" w:rsidRDefault="00A10847" w:rsidP="001E758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7589">
              <w:rPr>
                <w:rFonts w:ascii="宋体" w:eastAsia="宋体" w:hAnsi="宋体" w:hint="eastAsia"/>
                <w:sz w:val="24"/>
                <w:szCs w:val="24"/>
              </w:rPr>
              <w:t>基金代码</w:t>
            </w:r>
          </w:p>
        </w:tc>
        <w:tc>
          <w:tcPr>
            <w:tcW w:w="6520" w:type="dxa"/>
          </w:tcPr>
          <w:p w:rsidR="00A10847" w:rsidRPr="001E7589" w:rsidRDefault="00A10847" w:rsidP="001E758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E7589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000828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泰达宏利转型机遇股票型证券投资基金</w:t>
            </w:r>
            <w:r w:rsidR="006039EC" w:rsidRPr="00757303">
              <w:rPr>
                <w:rFonts w:ascii="宋体" w:eastAsia="宋体" w:hAnsi="宋体" w:hint="eastAsia"/>
                <w:sz w:val="24"/>
                <w:szCs w:val="24"/>
              </w:rPr>
              <w:t>A类</w:t>
            </w:r>
            <w:r w:rsidR="006039EC" w:rsidRPr="00757303">
              <w:rPr>
                <w:rFonts w:ascii="宋体" w:eastAsia="宋体" w:hAnsi="宋体"/>
                <w:sz w:val="24"/>
                <w:szCs w:val="24"/>
              </w:rPr>
              <w:t>份额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001733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泰达宏利量化增强股票型证券投资基金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162208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泰达宏利首选企业股票型证券投资基金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000507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泰达宏利宏达混合型证券投资基金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001254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泰达宏利新起点灵活配置混合型证券投资基金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001267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泰达宏利蓝筹价值混合型证券投资基金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001419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泰达宏利新思路灵活配置混合型证券投资基金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9B3026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003501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泰达宏利睿智稳健灵活配置混合型证券投资基金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9B3026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162201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泰达宏利价值优化型成长类行业混合型证券投资基金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162202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泰达宏利价值优化型周期类行业混合型证券投资基金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162203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泰达宏利价值优化型稳定类行业混合型证券投资基金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162204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泰达宏利行业精选混合型证券投资基金</w:t>
            </w:r>
          </w:p>
        </w:tc>
      </w:tr>
      <w:tr w:rsidR="003B303E" w:rsidTr="00757303">
        <w:tc>
          <w:tcPr>
            <w:tcW w:w="704" w:type="dxa"/>
          </w:tcPr>
          <w:p w:rsidR="003B303E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162205</w:t>
            </w:r>
          </w:p>
        </w:tc>
        <w:tc>
          <w:tcPr>
            <w:tcW w:w="6520" w:type="dxa"/>
          </w:tcPr>
          <w:p w:rsidR="003B303E" w:rsidRPr="00757303" w:rsidRDefault="003B303E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泰达宏利风险预算混合型证券投资基金</w:t>
            </w:r>
          </w:p>
        </w:tc>
      </w:tr>
      <w:tr w:rsidR="006B56CC" w:rsidTr="00757303">
        <w:tc>
          <w:tcPr>
            <w:tcW w:w="704" w:type="dxa"/>
          </w:tcPr>
          <w:p w:rsidR="006B56CC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B56CC" w:rsidRPr="00757303" w:rsidRDefault="006B56CC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162207</w:t>
            </w:r>
          </w:p>
        </w:tc>
        <w:tc>
          <w:tcPr>
            <w:tcW w:w="6520" w:type="dxa"/>
          </w:tcPr>
          <w:p w:rsidR="006B56CC" w:rsidRPr="00757303" w:rsidRDefault="006B56CC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 w:hint="eastAsia"/>
                <w:color w:val="auto"/>
                <w:kern w:val="2"/>
              </w:rPr>
              <w:t>泰达宏利效率优选混合型证券投资基金（</w:t>
            </w: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LOF</w:t>
            </w:r>
            <w:r w:rsidRPr="00757303">
              <w:rPr>
                <w:rFonts w:ascii="宋体" w:eastAsia="宋体" w:hAnsi="宋体" w:cstheme="minorBidi" w:hint="eastAsia"/>
                <w:color w:val="auto"/>
                <w:kern w:val="2"/>
              </w:rPr>
              <w:t>）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162215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泰达宏利聚利债券型证券投资基金（</w:t>
            </w:r>
            <w:r w:rsidRPr="00757303">
              <w:rPr>
                <w:rFonts w:ascii="宋体" w:eastAsia="宋体" w:hAnsi="宋体"/>
                <w:sz w:val="24"/>
                <w:szCs w:val="24"/>
              </w:rPr>
              <w:t>LOF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162209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泰达宏利市值优选混合型证券投资基金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162211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泰达宏利品质生活灵活配置混合型证券投资基金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162212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泰达宏利红利先锋混合型证券投资基金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9B3026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162214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泰达宏利领先中小盘混合型证券投资基金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 w:hint="eastAsia"/>
                <w:color w:val="auto"/>
                <w:kern w:val="2"/>
              </w:rPr>
              <w:t>2</w:t>
            </w:r>
            <w:r w:rsidR="009B3026" w:rsidRPr="00757303">
              <w:rPr>
                <w:rFonts w:ascii="宋体" w:eastAsia="宋体" w:hAnsi="宋体" w:cstheme="minorBidi"/>
                <w:color w:val="auto"/>
                <w:kern w:val="2"/>
              </w:rPr>
              <w:t>0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162216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泰达宏利中证500指数增强型证券投资基金（LOF）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1F78B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229002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泰达宏利逆向策略混合型证券投资基金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162213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泰达宏利沪深300指数增强型证券投资基金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000319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泰达宏利淘利债券型证券投资基金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B84BBF" w:rsidTr="00757303">
        <w:tc>
          <w:tcPr>
            <w:tcW w:w="704" w:type="dxa"/>
          </w:tcPr>
          <w:p w:rsidR="00B84BBF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003793</w:t>
            </w:r>
          </w:p>
        </w:tc>
        <w:tc>
          <w:tcPr>
            <w:tcW w:w="6520" w:type="dxa"/>
          </w:tcPr>
          <w:p w:rsidR="00B84BBF" w:rsidRPr="00757303" w:rsidRDefault="00B84BBF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泰达宏利溢利债券型证券投资基金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1F78B9" w:rsidTr="00757303">
        <w:tc>
          <w:tcPr>
            <w:tcW w:w="704" w:type="dxa"/>
          </w:tcPr>
          <w:p w:rsidR="001F78B9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78B9" w:rsidRPr="00757303" w:rsidRDefault="001F78B9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006105</w:t>
            </w:r>
          </w:p>
        </w:tc>
        <w:tc>
          <w:tcPr>
            <w:tcW w:w="6520" w:type="dxa"/>
          </w:tcPr>
          <w:p w:rsidR="001F78B9" w:rsidRPr="00757303" w:rsidRDefault="001F78B9" w:rsidP="00757303">
            <w:pPr>
              <w:pStyle w:val="Default"/>
              <w:jc w:val="center"/>
              <w:rPr>
                <w:rFonts w:ascii="宋体" w:eastAsia="宋体" w:hAnsi="宋体" w:cstheme="minorBidi"/>
                <w:color w:val="auto"/>
                <w:kern w:val="2"/>
              </w:rPr>
            </w:pPr>
            <w:r w:rsidRPr="00757303">
              <w:rPr>
                <w:rFonts w:ascii="宋体" w:eastAsia="宋体" w:hAnsi="宋体" w:cstheme="minorBidi" w:hint="eastAsia"/>
                <w:color w:val="auto"/>
                <w:kern w:val="2"/>
              </w:rPr>
              <w:t>泰达宏利印度机会股票型证券投资基金</w:t>
            </w:r>
            <w:r w:rsidRPr="00757303">
              <w:rPr>
                <w:rFonts w:ascii="宋体" w:eastAsia="宋体" w:hAnsi="宋体" w:cstheme="minorBidi"/>
                <w:color w:val="auto"/>
                <w:kern w:val="2"/>
              </w:rPr>
              <w:t>(QDII)</w:t>
            </w:r>
          </w:p>
        </w:tc>
      </w:tr>
      <w:tr w:rsidR="001F78B9" w:rsidTr="00757303">
        <w:tc>
          <w:tcPr>
            <w:tcW w:w="704" w:type="dxa"/>
          </w:tcPr>
          <w:p w:rsidR="001F78B9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78B9" w:rsidRPr="00757303" w:rsidRDefault="001F78B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162210</w:t>
            </w:r>
          </w:p>
        </w:tc>
        <w:tc>
          <w:tcPr>
            <w:tcW w:w="6520" w:type="dxa"/>
          </w:tcPr>
          <w:p w:rsidR="001F78B9" w:rsidRPr="00757303" w:rsidRDefault="001F78B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泰达宏利集利债券型证券投资基金</w:t>
            </w:r>
            <w:r w:rsidR="004D03BE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A50B19" w:rsidTr="00757303">
        <w:tc>
          <w:tcPr>
            <w:tcW w:w="704" w:type="dxa"/>
          </w:tcPr>
          <w:p w:rsidR="00A50B19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B3026" w:rsidRPr="00757303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50B19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005221</w:t>
            </w:r>
          </w:p>
        </w:tc>
        <w:tc>
          <w:tcPr>
            <w:tcW w:w="6520" w:type="dxa"/>
          </w:tcPr>
          <w:p w:rsidR="00A50B19" w:rsidRPr="00757303" w:rsidRDefault="00A50B1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泰达宏利全能优选混合型基金中基金（FOF）</w:t>
            </w:r>
            <w:r w:rsidR="003F43CA"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001017</w:t>
            </w:r>
          </w:p>
        </w:tc>
        <w:tc>
          <w:tcPr>
            <w:tcW w:w="6520" w:type="dxa"/>
          </w:tcPr>
          <w:p w:rsidR="006039EC" w:rsidRPr="003F43CA" w:rsidRDefault="00444D39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泰达宏利改革动力量化策略灵活配置混合型证券投资基金</w:t>
            </w:r>
            <w:r w:rsidR="006039EC">
              <w:rPr>
                <w:rFonts w:ascii="宋体" w:eastAsia="宋体" w:hAnsi="宋体" w:hint="eastAsia"/>
                <w:sz w:val="24"/>
                <w:szCs w:val="24"/>
              </w:rPr>
              <w:t>A类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001141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泰达宏利创盈灵活配置混合型证券投资基金</w:t>
            </w:r>
            <w:r w:rsidR="006039EC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001170</w:t>
            </w:r>
          </w:p>
        </w:tc>
        <w:tc>
          <w:tcPr>
            <w:tcW w:w="6520" w:type="dxa"/>
          </w:tcPr>
          <w:p w:rsidR="006039EC" w:rsidRPr="00757303" w:rsidRDefault="00826C47" w:rsidP="0075730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泰达宏利复兴伟业灵活配置混合型证券投资基金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001418</w:t>
            </w:r>
          </w:p>
        </w:tc>
        <w:tc>
          <w:tcPr>
            <w:tcW w:w="6520" w:type="dxa"/>
          </w:tcPr>
          <w:p w:rsidR="006039EC" w:rsidRPr="00757303" w:rsidRDefault="00826C47" w:rsidP="0075730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泰达宏利创益灵活配置混合型证券投资基金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003073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泰达宏利汇利债券型证券投资基金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003767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泰达宏利纯利债券型证券投资基金A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004001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泰达宏利恒利债券型证券投资基金A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003912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泰达宏利启富灵活配置混合型证券投资基金A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004484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泰达宏利业绩驱动量化股票型证券投资基金A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rPr>
          <w:trHeight w:val="357"/>
        </w:trPr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005903</w:t>
            </w:r>
          </w:p>
        </w:tc>
        <w:tc>
          <w:tcPr>
            <w:tcW w:w="6520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泰达宏利绩优增长灵活配置混合型证券投资基金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007641</w:t>
            </w:r>
          </w:p>
        </w:tc>
        <w:tc>
          <w:tcPr>
            <w:tcW w:w="6520" w:type="dxa"/>
          </w:tcPr>
          <w:p w:rsidR="006039EC" w:rsidRPr="00757303" w:rsidRDefault="00826C47" w:rsidP="0075730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泰达宏利鑫利半年定期开放债券型证券投资基金A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007640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泰达宏利永利债券型证券投资基金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039EC" w:rsidRPr="003F43CA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007678</w:t>
            </w:r>
          </w:p>
        </w:tc>
        <w:tc>
          <w:tcPr>
            <w:tcW w:w="6520" w:type="dxa"/>
          </w:tcPr>
          <w:p w:rsidR="006039EC" w:rsidRDefault="00826C47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泰达宏利品牌升级混合型证券投资基金A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008353</w:t>
            </w:r>
          </w:p>
        </w:tc>
        <w:tc>
          <w:tcPr>
            <w:tcW w:w="6520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泰达宏利消费行业量化精选混合型证券投资基金A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008928</w:t>
            </w:r>
          </w:p>
        </w:tc>
        <w:tc>
          <w:tcPr>
            <w:tcW w:w="6520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泰达宏利中证主要消费红利指数型证券投资基金A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009141</w:t>
            </w:r>
          </w:p>
        </w:tc>
        <w:tc>
          <w:tcPr>
            <w:tcW w:w="6520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泰达宏利价值长青混合型证券投资基金A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009194</w:t>
            </w:r>
          </w:p>
        </w:tc>
        <w:tc>
          <w:tcPr>
            <w:tcW w:w="6520" w:type="dxa"/>
          </w:tcPr>
          <w:p w:rsidR="006039EC" w:rsidRPr="00757303" w:rsidRDefault="00757303" w:rsidP="0075730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泰达宏利中证申万绩优策略指数增强型证券投资基金</w:t>
            </w:r>
            <w:r w:rsidR="00DC6334">
              <w:rPr>
                <w:rFonts w:ascii="宋体" w:eastAsia="宋体" w:hAnsi="宋体" w:hint="eastAsia"/>
                <w:sz w:val="24"/>
                <w:szCs w:val="24"/>
              </w:rPr>
              <w:t>A类份额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010845</w:t>
            </w:r>
          </w:p>
        </w:tc>
        <w:tc>
          <w:tcPr>
            <w:tcW w:w="6520" w:type="dxa"/>
          </w:tcPr>
          <w:p w:rsidR="006039EC" w:rsidRPr="00757303" w:rsidRDefault="00757303" w:rsidP="0075730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泰达宏利波控回报12个月持有期混合型证券投资基金</w:t>
            </w:r>
          </w:p>
        </w:tc>
      </w:tr>
      <w:tr w:rsidR="006039EC" w:rsidTr="00757303">
        <w:tc>
          <w:tcPr>
            <w:tcW w:w="704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6039EC" w:rsidRPr="003F43CA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012126</w:t>
            </w:r>
          </w:p>
        </w:tc>
        <w:tc>
          <w:tcPr>
            <w:tcW w:w="6520" w:type="dxa"/>
          </w:tcPr>
          <w:p w:rsidR="006039EC" w:rsidRDefault="00757303" w:rsidP="0075730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7303">
              <w:rPr>
                <w:rFonts w:ascii="宋体" w:eastAsia="宋体" w:hAnsi="宋体"/>
                <w:sz w:val="24"/>
                <w:szCs w:val="24"/>
              </w:rPr>
              <w:t>泰达宏利新能源股票型证券投资基金A</w:t>
            </w:r>
            <w:r w:rsidRPr="00757303">
              <w:rPr>
                <w:rFonts w:ascii="宋体" w:eastAsia="宋体" w:hAnsi="宋体" w:hint="eastAsia"/>
                <w:sz w:val="24"/>
                <w:szCs w:val="24"/>
              </w:rPr>
              <w:t>类份额</w:t>
            </w:r>
          </w:p>
        </w:tc>
      </w:tr>
    </w:tbl>
    <w:p w:rsidR="006F10B2" w:rsidRDefault="006F10B2" w:rsidP="0066331C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二、费率优惠活动时间：</w:t>
      </w:r>
    </w:p>
    <w:p w:rsidR="006F10B2" w:rsidRDefault="00537AB5" w:rsidP="0066331C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费率优惠活动自</w:t>
      </w:r>
      <w:r w:rsidR="006F10B2">
        <w:rPr>
          <w:rFonts w:ascii="宋体" w:eastAsia="宋体" w:hAnsi="宋体" w:cs="宋体" w:hint="eastAsia"/>
        </w:rPr>
        <w:t>2</w:t>
      </w:r>
      <w:r w:rsidR="006F10B2">
        <w:rPr>
          <w:rFonts w:ascii="宋体" w:eastAsia="宋体" w:hAnsi="宋体" w:cs="宋体"/>
        </w:rPr>
        <w:t>02</w:t>
      </w:r>
      <w:r w:rsidR="006F5B68">
        <w:rPr>
          <w:rFonts w:ascii="宋体" w:eastAsia="宋体" w:hAnsi="宋体" w:cs="宋体"/>
        </w:rPr>
        <w:t>1</w:t>
      </w:r>
      <w:r w:rsidR="006F10B2">
        <w:rPr>
          <w:rFonts w:ascii="宋体" w:eastAsia="宋体" w:hAnsi="宋体" w:cs="宋体" w:hint="eastAsia"/>
        </w:rPr>
        <w:t>年</w:t>
      </w:r>
      <w:r w:rsidR="00DE0FAE">
        <w:rPr>
          <w:rFonts w:ascii="宋体" w:eastAsia="宋体" w:hAnsi="宋体" w:cs="宋体"/>
        </w:rPr>
        <w:t>9</w:t>
      </w:r>
      <w:r w:rsidR="006F10B2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/>
        </w:rPr>
        <w:t>1</w:t>
      </w:r>
      <w:r w:rsidR="006F10B2">
        <w:rPr>
          <w:rFonts w:ascii="宋体" w:eastAsia="宋体" w:hAnsi="宋体" w:cs="宋体" w:hint="eastAsia"/>
        </w:rPr>
        <w:t>日</w:t>
      </w:r>
      <w:r>
        <w:rPr>
          <w:rFonts w:ascii="宋体" w:eastAsia="宋体" w:hAnsi="宋体" w:cs="宋体" w:hint="eastAsia"/>
        </w:rPr>
        <w:t>起，优惠活动截止时间以</w:t>
      </w:r>
      <w:r w:rsidR="00DE0FAE">
        <w:rPr>
          <w:rFonts w:ascii="宋体" w:eastAsia="宋体" w:hAnsi="宋体" w:cs="宋体" w:hint="eastAsia"/>
        </w:rPr>
        <w:t>华福</w:t>
      </w:r>
      <w:r>
        <w:rPr>
          <w:rFonts w:ascii="宋体" w:eastAsia="宋体" w:hAnsi="宋体" w:cs="宋体" w:hint="eastAsia"/>
        </w:rPr>
        <w:t>证券为准，敬请投资者留意相关公告</w:t>
      </w:r>
      <w:r w:rsidR="000534AE">
        <w:rPr>
          <w:rFonts w:ascii="宋体" w:eastAsia="宋体" w:hAnsi="宋体" w:cs="宋体" w:hint="eastAsia"/>
        </w:rPr>
        <w:t>。</w:t>
      </w:r>
    </w:p>
    <w:p w:rsidR="006F10B2" w:rsidRDefault="006F10B2" w:rsidP="0066331C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三、费率优惠活动内容：</w:t>
      </w:r>
    </w:p>
    <w:p w:rsidR="00443C2B" w:rsidRDefault="00443C2B" w:rsidP="00443C2B">
      <w:pPr>
        <w:pStyle w:val="Default"/>
        <w:spacing w:line="46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投资者通过</w:t>
      </w:r>
      <w:r w:rsidR="002D4A9C">
        <w:rPr>
          <w:rFonts w:ascii="宋体" w:eastAsia="宋体" w:hAnsi="宋体" w:cs="宋体" w:hint="eastAsia"/>
        </w:rPr>
        <w:t>华福</w:t>
      </w:r>
      <w:r w:rsidR="00537AB5">
        <w:rPr>
          <w:rFonts w:ascii="宋体" w:eastAsia="宋体" w:hAnsi="宋体" w:cs="宋体" w:hint="eastAsia"/>
        </w:rPr>
        <w:t>证券</w:t>
      </w:r>
      <w:r>
        <w:rPr>
          <w:rFonts w:ascii="宋体" w:eastAsia="宋体" w:hAnsi="宋体" w:cs="宋体" w:hint="eastAsia"/>
        </w:rPr>
        <w:t>申购和定期定额申购指定基金享有费率优惠，</w:t>
      </w:r>
      <w:r w:rsidRPr="00B04C1A">
        <w:rPr>
          <w:rFonts w:ascii="宋体" w:eastAsia="宋体" w:hAnsi="宋体" w:cs="宋体" w:hint="eastAsia"/>
        </w:rPr>
        <w:t>具体费率</w:t>
      </w:r>
      <w:r w:rsidRPr="009931BC">
        <w:rPr>
          <w:rFonts w:ascii="宋体" w:eastAsia="宋体" w:hAnsi="宋体" w:cs="宋体" w:hint="eastAsia"/>
        </w:rPr>
        <w:t>折扣</w:t>
      </w:r>
      <w:r w:rsidRPr="00B04C1A">
        <w:rPr>
          <w:rFonts w:ascii="宋体" w:eastAsia="宋体" w:hAnsi="宋体" w:cs="宋体" w:hint="eastAsia"/>
        </w:rPr>
        <w:t>以</w:t>
      </w:r>
      <w:r w:rsidR="002D4A9C">
        <w:rPr>
          <w:rFonts w:ascii="宋体" w:eastAsia="宋体" w:hAnsi="宋体" w:cs="宋体" w:hint="eastAsia"/>
        </w:rPr>
        <w:t>华福</w:t>
      </w:r>
      <w:r w:rsidR="00537AB5">
        <w:rPr>
          <w:rFonts w:ascii="宋体" w:eastAsia="宋体" w:hAnsi="宋体" w:cs="宋体" w:hint="eastAsia"/>
        </w:rPr>
        <w:t>证券</w:t>
      </w:r>
      <w:r w:rsidRPr="00B04C1A">
        <w:rPr>
          <w:rFonts w:ascii="宋体" w:eastAsia="宋体" w:hAnsi="宋体" w:cs="宋体" w:hint="eastAsia"/>
        </w:rPr>
        <w:t>公告为准</w:t>
      </w:r>
      <w:r>
        <w:rPr>
          <w:rFonts w:ascii="宋体" w:eastAsia="宋体" w:hAnsi="宋体" w:cs="宋体" w:hint="eastAsia"/>
        </w:rPr>
        <w:t>，原申购费率为固定费用的，则按原固定费用执行，不享有费率折扣。具体</w:t>
      </w:r>
      <w:r w:rsidR="00537AB5">
        <w:rPr>
          <w:rFonts w:ascii="宋体" w:eastAsia="宋体" w:hAnsi="宋体" w:cs="宋体" w:hint="eastAsia"/>
        </w:rPr>
        <w:t>各基金原费率参见该基金的最新招募说明书及相关公告</w:t>
      </w:r>
      <w:r>
        <w:rPr>
          <w:rFonts w:ascii="宋体" w:eastAsia="宋体" w:hAnsi="宋体" w:cs="宋体" w:hint="eastAsia"/>
        </w:rPr>
        <w:t>。</w:t>
      </w:r>
    </w:p>
    <w:p w:rsidR="00537AB5" w:rsidRPr="00537AB5" w:rsidRDefault="00537AB5" w:rsidP="00443C2B">
      <w:pPr>
        <w:pStyle w:val="Default"/>
        <w:spacing w:line="46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费率优惠期间，如本公司新增通过</w:t>
      </w:r>
      <w:r w:rsidR="002D4A9C">
        <w:rPr>
          <w:rFonts w:ascii="宋体" w:eastAsia="宋体" w:hAnsi="宋体" w:cs="宋体" w:hint="eastAsia"/>
        </w:rPr>
        <w:t>华福</w:t>
      </w:r>
      <w:r>
        <w:rPr>
          <w:rFonts w:ascii="宋体" w:eastAsia="宋体" w:hAnsi="宋体" w:cs="宋体" w:hint="eastAsia"/>
        </w:rPr>
        <w:t>证券代销的基金产品，则自基金销售起，将同时开展该基金的上述优惠活动。</w:t>
      </w:r>
    </w:p>
    <w:p w:rsidR="00B13604" w:rsidRDefault="00851691" w:rsidP="00B13604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四、重要提示：</w:t>
      </w:r>
    </w:p>
    <w:p w:rsidR="00851691" w:rsidRDefault="00851691" w:rsidP="00B13604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1、本费率优惠仅适用于</w:t>
      </w:r>
      <w:r w:rsidR="00CF551C">
        <w:rPr>
          <w:rFonts w:ascii="宋体" w:eastAsia="宋体" w:hAnsi="宋体" w:cs="宋体" w:hint="eastAsia"/>
        </w:rPr>
        <w:t>指定</w:t>
      </w:r>
      <w:r w:rsidR="00E36FC1">
        <w:rPr>
          <w:rFonts w:ascii="宋体" w:eastAsia="宋体" w:hAnsi="宋体" w:cs="宋体" w:hint="eastAsia"/>
        </w:rPr>
        <w:t>基金</w:t>
      </w:r>
      <w:r>
        <w:rPr>
          <w:rFonts w:ascii="宋体" w:eastAsia="宋体" w:hAnsi="宋体" w:cs="宋体" w:hint="eastAsia"/>
        </w:rPr>
        <w:t>在</w:t>
      </w:r>
      <w:r w:rsidR="00B033E3">
        <w:rPr>
          <w:rFonts w:ascii="宋体" w:eastAsia="宋体" w:hAnsi="宋体" w:cs="宋体" w:hint="eastAsia"/>
        </w:rPr>
        <w:t>华福</w:t>
      </w:r>
      <w:r w:rsidR="00537AB5">
        <w:rPr>
          <w:rFonts w:ascii="宋体" w:eastAsia="宋体" w:hAnsi="宋体" w:cs="宋体" w:hint="eastAsia"/>
        </w:rPr>
        <w:t>证券</w:t>
      </w:r>
      <w:r>
        <w:rPr>
          <w:rFonts w:ascii="宋体" w:eastAsia="宋体" w:hAnsi="宋体" w:cs="宋体" w:hint="eastAsia"/>
        </w:rPr>
        <w:t>申购业务的手续费、包括定期定额申购业务的手续费（各基金定投开通情况以我司最新公告为准），不包括基金赎回、转换业务等其他业务的手续费。</w:t>
      </w:r>
    </w:p>
    <w:p w:rsidR="00851691" w:rsidRPr="0066331C" w:rsidRDefault="00851691" w:rsidP="00B13604">
      <w:pPr>
        <w:pStyle w:val="Default"/>
        <w:spacing w:line="460" w:lineRule="exact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2、本费率优惠活动期间，业务办理的规则和流程以</w:t>
      </w:r>
      <w:r w:rsidR="00B033E3">
        <w:rPr>
          <w:rFonts w:ascii="宋体" w:eastAsia="宋体" w:hAnsi="宋体" w:cs="宋体" w:hint="eastAsia"/>
        </w:rPr>
        <w:t>华福</w:t>
      </w:r>
      <w:r w:rsidR="00537AB5">
        <w:rPr>
          <w:rFonts w:ascii="宋体" w:eastAsia="宋体" w:hAnsi="宋体" w:cs="宋体" w:hint="eastAsia"/>
        </w:rPr>
        <w:t>证券</w:t>
      </w:r>
      <w:r>
        <w:rPr>
          <w:rFonts w:ascii="宋体" w:eastAsia="宋体" w:hAnsi="宋体" w:cs="宋体" w:hint="eastAsia"/>
        </w:rPr>
        <w:t>的安排和规定为准。相关活动的具体规定如有变化，以</w:t>
      </w:r>
      <w:r w:rsidR="00B033E3">
        <w:rPr>
          <w:rFonts w:ascii="宋体" w:eastAsia="宋体" w:hAnsi="宋体" w:cs="宋体" w:hint="eastAsia"/>
        </w:rPr>
        <w:t>华福</w:t>
      </w:r>
      <w:r w:rsidR="00537AB5">
        <w:rPr>
          <w:rFonts w:ascii="宋体" w:eastAsia="宋体" w:hAnsi="宋体" w:cs="宋体" w:hint="eastAsia"/>
        </w:rPr>
        <w:t>证券</w:t>
      </w:r>
      <w:r>
        <w:rPr>
          <w:rFonts w:ascii="宋体" w:eastAsia="宋体" w:hAnsi="宋体" w:cs="宋体" w:hint="eastAsia"/>
        </w:rPr>
        <w:t>网站的最新公告为准，敬请投资者关注。</w:t>
      </w:r>
    </w:p>
    <w:p w:rsidR="00A10847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B033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华福</w:t>
      </w:r>
      <w:r w:rsid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证券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</w:t>
      </w:r>
      <w:r w:rsidR="00B033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责任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</w:t>
      </w:r>
      <w:r w:rsidR="00B033E3" w:rsidRPr="00B033E3">
        <w:rPr>
          <w:rFonts w:ascii="宋体" w:eastAsia="宋体" w:hAnsi="宋体" w:cs="宋体"/>
          <w:color w:val="000000"/>
          <w:kern w:val="0"/>
          <w:sz w:val="24"/>
          <w:szCs w:val="24"/>
        </w:rPr>
        <w:t>96326</w:t>
      </w:r>
      <w:r w:rsidR="00B033E3" w:rsidRPr="00B033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（福建省外请先拨0591）</w:t>
      </w:r>
    </w:p>
    <w:p w:rsidR="001E7589" w:rsidRPr="00B033E3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r w:rsidR="00537AB5" w:rsidRP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www.</w:t>
      </w:r>
      <w:r w:rsidR="00B033E3">
        <w:rPr>
          <w:rFonts w:ascii="宋体" w:eastAsia="宋体" w:hAnsi="宋体" w:cs="宋体"/>
          <w:color w:val="000000"/>
          <w:kern w:val="0"/>
          <w:sz w:val="24"/>
          <w:szCs w:val="24"/>
        </w:rPr>
        <w:t>hf</w:t>
      </w:r>
      <w:r w:rsidR="00537AB5" w:rsidRPr="00537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zq.com.cn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hyperlink r:id="rId7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</w:t>
      </w:r>
      <w:bookmarkStart w:id="0" w:name="_GoBack"/>
      <w:bookmarkEnd w:id="0"/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认真阅读各基金的基金合同和招募说明书。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845019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256169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56169">
        <w:rPr>
          <w:rFonts w:ascii="宋体" w:eastAsia="宋体" w:hAnsi="宋体" w:cs="宋体"/>
          <w:color w:val="000000"/>
          <w:kern w:val="0"/>
          <w:sz w:val="24"/>
          <w:szCs w:val="24"/>
        </w:rPr>
        <w:t>31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8F" w:rsidRDefault="00FC558F" w:rsidP="009C1252">
      <w:r>
        <w:separator/>
      </w:r>
    </w:p>
  </w:endnote>
  <w:endnote w:type="continuationSeparator" w:id="0">
    <w:p w:rsidR="00FC558F" w:rsidRDefault="00FC558F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8F" w:rsidRDefault="00FC558F" w:rsidP="009C1252">
      <w:r>
        <w:separator/>
      </w:r>
    </w:p>
  </w:footnote>
  <w:footnote w:type="continuationSeparator" w:id="0">
    <w:p w:rsidR="00FC558F" w:rsidRDefault="00FC558F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16028"/>
    <w:rsid w:val="00025DA7"/>
    <w:rsid w:val="000534AE"/>
    <w:rsid w:val="000B0A9B"/>
    <w:rsid w:val="000C0CA1"/>
    <w:rsid w:val="000F599C"/>
    <w:rsid w:val="000F7FDB"/>
    <w:rsid w:val="00111EBB"/>
    <w:rsid w:val="0011411C"/>
    <w:rsid w:val="001339F4"/>
    <w:rsid w:val="00172995"/>
    <w:rsid w:val="001B6C5B"/>
    <w:rsid w:val="001E6A48"/>
    <w:rsid w:val="001E7589"/>
    <w:rsid w:val="001F5595"/>
    <w:rsid w:val="001F78B9"/>
    <w:rsid w:val="00206065"/>
    <w:rsid w:val="00233A87"/>
    <w:rsid w:val="00245448"/>
    <w:rsid w:val="00256169"/>
    <w:rsid w:val="00260AB0"/>
    <w:rsid w:val="002B5E05"/>
    <w:rsid w:val="002D0226"/>
    <w:rsid w:val="002D45CD"/>
    <w:rsid w:val="002D4A9C"/>
    <w:rsid w:val="0030045C"/>
    <w:rsid w:val="00352FDC"/>
    <w:rsid w:val="003B25BB"/>
    <w:rsid w:val="003B303E"/>
    <w:rsid w:val="003F43CA"/>
    <w:rsid w:val="003F7561"/>
    <w:rsid w:val="0040436A"/>
    <w:rsid w:val="00407DCE"/>
    <w:rsid w:val="00434D8D"/>
    <w:rsid w:val="00435168"/>
    <w:rsid w:val="00443C2B"/>
    <w:rsid w:val="00444D39"/>
    <w:rsid w:val="00445434"/>
    <w:rsid w:val="0047358B"/>
    <w:rsid w:val="004D03BE"/>
    <w:rsid w:val="004E6349"/>
    <w:rsid w:val="00511605"/>
    <w:rsid w:val="00537AB5"/>
    <w:rsid w:val="00581A07"/>
    <w:rsid w:val="005E7EE9"/>
    <w:rsid w:val="00600101"/>
    <w:rsid w:val="00602DF1"/>
    <w:rsid w:val="006039EC"/>
    <w:rsid w:val="00630CA5"/>
    <w:rsid w:val="00634D02"/>
    <w:rsid w:val="0066331C"/>
    <w:rsid w:val="006B56CC"/>
    <w:rsid w:val="006F10B2"/>
    <w:rsid w:val="006F5B68"/>
    <w:rsid w:val="00757303"/>
    <w:rsid w:val="00770C21"/>
    <w:rsid w:val="007843C3"/>
    <w:rsid w:val="007A4BB3"/>
    <w:rsid w:val="008220E0"/>
    <w:rsid w:val="00826C47"/>
    <w:rsid w:val="00845019"/>
    <w:rsid w:val="00851691"/>
    <w:rsid w:val="00854C8D"/>
    <w:rsid w:val="00866330"/>
    <w:rsid w:val="008E59E7"/>
    <w:rsid w:val="008F2784"/>
    <w:rsid w:val="00912917"/>
    <w:rsid w:val="00957AEB"/>
    <w:rsid w:val="009B3026"/>
    <w:rsid w:val="009C1252"/>
    <w:rsid w:val="009D2ED0"/>
    <w:rsid w:val="009E3FDC"/>
    <w:rsid w:val="00A05B7B"/>
    <w:rsid w:val="00A10847"/>
    <w:rsid w:val="00A50B19"/>
    <w:rsid w:val="00AA123B"/>
    <w:rsid w:val="00AC0DFC"/>
    <w:rsid w:val="00B033E3"/>
    <w:rsid w:val="00B13604"/>
    <w:rsid w:val="00B20AD9"/>
    <w:rsid w:val="00B84BBF"/>
    <w:rsid w:val="00BA46BC"/>
    <w:rsid w:val="00C0499D"/>
    <w:rsid w:val="00C22FB4"/>
    <w:rsid w:val="00C46CFB"/>
    <w:rsid w:val="00C63C23"/>
    <w:rsid w:val="00C70C8A"/>
    <w:rsid w:val="00CC0D8B"/>
    <w:rsid w:val="00CC7252"/>
    <w:rsid w:val="00CF551C"/>
    <w:rsid w:val="00D40237"/>
    <w:rsid w:val="00D63D53"/>
    <w:rsid w:val="00DC6334"/>
    <w:rsid w:val="00DE0FAE"/>
    <w:rsid w:val="00DE724B"/>
    <w:rsid w:val="00E113B5"/>
    <w:rsid w:val="00E22CDB"/>
    <w:rsid w:val="00E36FC1"/>
    <w:rsid w:val="00E962D4"/>
    <w:rsid w:val="00E963F0"/>
    <w:rsid w:val="00E96BB6"/>
    <w:rsid w:val="00EA5576"/>
    <w:rsid w:val="00EF3049"/>
    <w:rsid w:val="00EF5C4F"/>
    <w:rsid w:val="00F20BEB"/>
    <w:rsid w:val="00F27D41"/>
    <w:rsid w:val="00F4196C"/>
    <w:rsid w:val="00F67F52"/>
    <w:rsid w:val="00F8644A"/>
    <w:rsid w:val="00FA53B1"/>
    <w:rsid w:val="00FB0809"/>
    <w:rsid w:val="00FC5516"/>
    <w:rsid w:val="00FC558F"/>
    <w:rsid w:val="00FD241C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t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4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dcterms:created xsi:type="dcterms:W3CDTF">2021-08-30T17:20:00Z</dcterms:created>
  <dcterms:modified xsi:type="dcterms:W3CDTF">2021-08-30T17:20:00Z</dcterms:modified>
</cp:coreProperties>
</file>