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152F5">
      <w:pPr>
        <w:spacing w:line="400" w:lineRule="exact"/>
        <w:jc w:val="center"/>
        <w:rPr>
          <w:rStyle w:val="da"/>
          <w:rFonts w:ascii="宋体" w:hAnsi="宋体" w:cs="宋体" w:hint="eastAsia"/>
          <w:b/>
          <w:bCs/>
        </w:rPr>
      </w:pPr>
      <w:r>
        <w:rPr>
          <w:rStyle w:val="da"/>
          <w:rFonts w:ascii="宋体" w:hAnsi="宋体" w:cs="宋体" w:hint="eastAsia"/>
          <w:b/>
          <w:bCs/>
        </w:rPr>
        <w:t>东吴基金管理有限公司关于旗下</w:t>
      </w:r>
      <w:r>
        <w:rPr>
          <w:rStyle w:val="da"/>
          <w:rFonts w:ascii="宋体" w:hAnsi="宋体" w:cs="宋体" w:hint="eastAsia"/>
          <w:b/>
          <w:bCs/>
        </w:rPr>
        <w:t>部分</w:t>
      </w:r>
      <w:r>
        <w:rPr>
          <w:rStyle w:val="da"/>
          <w:rFonts w:ascii="宋体" w:hAnsi="宋体" w:cs="宋体" w:hint="eastAsia"/>
          <w:b/>
          <w:bCs/>
        </w:rPr>
        <w:t>基金新增</w:t>
      </w:r>
      <w:r>
        <w:rPr>
          <w:rStyle w:val="da"/>
          <w:rFonts w:ascii="宋体" w:hAnsi="宋体" w:cs="宋体" w:hint="eastAsia"/>
          <w:b/>
          <w:bCs/>
        </w:rPr>
        <w:t>北京度小满基金销售有限公司</w:t>
      </w:r>
    </w:p>
    <w:p w:rsidR="00000000" w:rsidRDefault="001152F5">
      <w:pPr>
        <w:spacing w:line="400" w:lineRule="exact"/>
        <w:jc w:val="center"/>
        <w:rPr>
          <w:rStyle w:val="da"/>
          <w:rFonts w:ascii="宋体" w:hAnsi="宋体" w:cs="宋体" w:hint="eastAsia"/>
          <w:b/>
          <w:bCs/>
        </w:rPr>
      </w:pPr>
      <w:r>
        <w:rPr>
          <w:rStyle w:val="da"/>
          <w:rFonts w:ascii="宋体" w:hAnsi="宋体" w:cs="宋体" w:hint="eastAsia"/>
          <w:b/>
          <w:bCs/>
        </w:rPr>
        <w:t>为代销机构</w:t>
      </w:r>
      <w:r>
        <w:rPr>
          <w:rStyle w:val="da"/>
          <w:rFonts w:ascii="宋体" w:hAnsi="宋体" w:cs="宋体" w:hint="eastAsia"/>
          <w:b/>
          <w:bCs/>
        </w:rPr>
        <w:t>、开通</w:t>
      </w:r>
      <w:r>
        <w:rPr>
          <w:rStyle w:val="da"/>
          <w:rFonts w:ascii="宋体" w:hAnsi="宋体" w:cs="宋体" w:hint="eastAsia"/>
          <w:b/>
          <w:bCs/>
        </w:rPr>
        <w:t>定期定额及转换业务</w:t>
      </w:r>
      <w:r>
        <w:rPr>
          <w:rStyle w:val="da"/>
          <w:rFonts w:ascii="宋体" w:hAnsi="宋体" w:cs="宋体" w:hint="eastAsia"/>
          <w:b/>
          <w:bCs/>
        </w:rPr>
        <w:t>并参加费率优惠</w:t>
      </w:r>
      <w:r>
        <w:rPr>
          <w:rStyle w:val="da"/>
          <w:rFonts w:ascii="宋体" w:hAnsi="宋体" w:cs="宋体" w:hint="eastAsia"/>
          <w:b/>
          <w:bCs/>
        </w:rPr>
        <w:t>的公告</w:t>
      </w:r>
    </w:p>
    <w:p w:rsidR="00000000" w:rsidRDefault="001152F5">
      <w:pPr>
        <w:spacing w:line="400" w:lineRule="exact"/>
        <w:jc w:val="center"/>
        <w:rPr>
          <w:rStyle w:val="da"/>
          <w:rFonts w:ascii="宋体" w:hAnsi="宋体" w:hint="eastAsia"/>
          <w:b/>
          <w:bCs/>
        </w:rPr>
      </w:pPr>
    </w:p>
    <w:p w:rsidR="00000000" w:rsidRDefault="001152F5">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一、新增</w:t>
      </w:r>
      <w:r>
        <w:rPr>
          <w:rFonts w:ascii="宋体" w:hAnsi="宋体" w:cs="宋体" w:hint="eastAsia"/>
          <w:kern w:val="0"/>
          <w:szCs w:val="21"/>
        </w:rPr>
        <w:t>北京度小满基金销售有限公司</w:t>
      </w:r>
      <w:r>
        <w:rPr>
          <w:rFonts w:ascii="宋体" w:hAnsi="宋体" w:cs="宋体" w:hint="eastAsia"/>
          <w:kern w:val="0"/>
          <w:szCs w:val="21"/>
        </w:rPr>
        <w:t>为东吴基金管理有限公司旗下</w:t>
      </w:r>
      <w:r>
        <w:rPr>
          <w:rFonts w:ascii="宋体" w:hAnsi="宋体" w:cs="宋体" w:hint="eastAsia"/>
          <w:kern w:val="0"/>
          <w:szCs w:val="21"/>
        </w:rPr>
        <w:t>部分</w:t>
      </w:r>
      <w:r>
        <w:rPr>
          <w:rFonts w:ascii="宋体" w:hAnsi="宋体" w:cs="宋体" w:hint="eastAsia"/>
          <w:kern w:val="0"/>
          <w:szCs w:val="21"/>
        </w:rPr>
        <w:t>基金的代销机构</w:t>
      </w:r>
    </w:p>
    <w:p w:rsidR="00000000" w:rsidRDefault="001152F5">
      <w:pPr>
        <w:widowControl/>
        <w:spacing w:line="360" w:lineRule="auto"/>
        <w:ind w:firstLineChars="200" w:firstLine="420"/>
        <w:jc w:val="left"/>
        <w:rPr>
          <w:rFonts w:ascii="宋体" w:hAnsi="宋体" w:cs="宋体" w:hint="eastAsia"/>
          <w:kern w:val="0"/>
          <w:szCs w:val="21"/>
        </w:rPr>
      </w:pPr>
      <w:r>
        <w:rPr>
          <w:rFonts w:ascii="宋体" w:hAnsi="宋体" w:cs="宋体" w:hint="eastAsia"/>
          <w:kern w:val="0"/>
          <w:szCs w:val="21"/>
        </w:rPr>
        <w:t>根据东吴基金管理有限公司（以下简称“东吴基金”）与</w:t>
      </w:r>
      <w:r>
        <w:rPr>
          <w:rFonts w:ascii="宋体" w:hAnsi="宋体" w:cs="宋体" w:hint="eastAsia"/>
          <w:kern w:val="0"/>
          <w:szCs w:val="21"/>
        </w:rPr>
        <w:t>北京度小满基金销售有限公司</w:t>
      </w:r>
      <w:r>
        <w:rPr>
          <w:rFonts w:ascii="宋体" w:hAnsi="宋体" w:cs="宋体" w:hint="eastAsia"/>
          <w:kern w:val="0"/>
          <w:szCs w:val="21"/>
        </w:rPr>
        <w:t>（以下简称</w:t>
      </w:r>
      <w:r>
        <w:rPr>
          <w:rFonts w:ascii="宋体" w:hAnsi="宋体" w:cs="宋体" w:hint="eastAsia"/>
          <w:kern w:val="0"/>
          <w:szCs w:val="21"/>
        </w:rPr>
        <w:t>"</w:t>
      </w:r>
      <w:r>
        <w:rPr>
          <w:rFonts w:ascii="宋体" w:hAnsi="宋体" w:cs="宋体" w:hint="eastAsia"/>
          <w:kern w:val="0"/>
          <w:szCs w:val="21"/>
        </w:rPr>
        <w:t>度小满基金</w:t>
      </w:r>
      <w:r>
        <w:rPr>
          <w:rFonts w:ascii="宋体" w:hAnsi="宋体" w:cs="宋体" w:hint="eastAsia"/>
          <w:kern w:val="0"/>
          <w:szCs w:val="21"/>
        </w:rPr>
        <w:t>"</w:t>
      </w:r>
      <w:r>
        <w:rPr>
          <w:rFonts w:ascii="宋体" w:hAnsi="宋体" w:cs="宋体" w:hint="eastAsia"/>
          <w:kern w:val="0"/>
          <w:szCs w:val="21"/>
        </w:rPr>
        <w:t>）签署的开放式基金代销协议，自</w:t>
      </w:r>
      <w:r>
        <w:rPr>
          <w:rFonts w:ascii="宋体" w:hAnsi="宋体" w:cs="宋体" w:hint="eastAsia"/>
          <w:kern w:val="0"/>
          <w:szCs w:val="21"/>
        </w:rPr>
        <w:t>2021</w:t>
      </w:r>
      <w:r>
        <w:rPr>
          <w:rFonts w:ascii="宋体" w:hAnsi="宋体" w:cs="宋体" w:hint="eastAsia"/>
          <w:kern w:val="0"/>
          <w:szCs w:val="21"/>
        </w:rPr>
        <w:t>年</w:t>
      </w:r>
      <w:r>
        <w:rPr>
          <w:rFonts w:ascii="宋体" w:hAnsi="宋体" w:cs="宋体" w:hint="eastAsia"/>
          <w:kern w:val="0"/>
          <w:szCs w:val="21"/>
        </w:rPr>
        <w:t>8</w:t>
      </w:r>
      <w:r>
        <w:rPr>
          <w:rFonts w:ascii="宋体" w:hAnsi="宋体" w:cs="宋体" w:hint="eastAsia"/>
          <w:kern w:val="0"/>
          <w:szCs w:val="21"/>
        </w:rPr>
        <w:t>月</w:t>
      </w:r>
      <w:r>
        <w:rPr>
          <w:rFonts w:ascii="宋体" w:hAnsi="宋体" w:cs="宋体" w:hint="eastAsia"/>
          <w:kern w:val="0"/>
          <w:szCs w:val="21"/>
        </w:rPr>
        <w:t>31</w:t>
      </w:r>
      <w:r>
        <w:rPr>
          <w:rFonts w:ascii="宋体" w:hAnsi="宋体" w:cs="宋体" w:hint="eastAsia"/>
          <w:kern w:val="0"/>
          <w:szCs w:val="21"/>
        </w:rPr>
        <w:t>日</w:t>
      </w:r>
      <w:r>
        <w:rPr>
          <w:rFonts w:ascii="宋体" w:hAnsi="宋体" w:cs="宋体" w:hint="eastAsia"/>
          <w:kern w:val="0"/>
          <w:szCs w:val="21"/>
        </w:rPr>
        <w:t>起通过</w:t>
      </w:r>
      <w:r>
        <w:rPr>
          <w:rFonts w:ascii="宋体" w:hAnsi="宋体" w:cs="宋体" w:hint="eastAsia"/>
          <w:kern w:val="0"/>
          <w:szCs w:val="21"/>
        </w:rPr>
        <w:t>度小满基金</w:t>
      </w:r>
      <w:r>
        <w:rPr>
          <w:rFonts w:ascii="宋体" w:hAnsi="宋体" w:cs="宋体" w:hint="eastAsia"/>
          <w:color w:val="000000"/>
          <w:kern w:val="0"/>
          <w:szCs w:val="21"/>
        </w:rPr>
        <w:t>的</w:t>
      </w:r>
      <w:r>
        <w:rPr>
          <w:rFonts w:ascii="宋体" w:hAnsi="宋体" w:cs="宋体" w:hint="eastAsia"/>
          <w:szCs w:val="21"/>
        </w:rPr>
        <w:t>销售网点或基金电子交易平台</w:t>
      </w:r>
      <w:r>
        <w:rPr>
          <w:rFonts w:ascii="宋体" w:hAnsi="宋体" w:cs="宋体" w:hint="eastAsia"/>
          <w:kern w:val="0"/>
          <w:szCs w:val="21"/>
        </w:rPr>
        <w:t>接受所有投资者办理</w:t>
      </w:r>
      <w:r>
        <w:rPr>
          <w:rFonts w:ascii="宋体" w:hAnsi="宋体" w:cs="宋体" w:hint="eastAsia"/>
          <w:szCs w:val="21"/>
        </w:rPr>
        <w:t>东吴基金旗下管理的</w:t>
      </w:r>
      <w:r>
        <w:rPr>
          <w:rFonts w:ascii="宋体" w:hAnsi="宋体" w:cs="宋体" w:hint="eastAsia"/>
          <w:szCs w:val="21"/>
        </w:rPr>
        <w:t>部分</w:t>
      </w:r>
      <w:r>
        <w:rPr>
          <w:rFonts w:ascii="宋体" w:hAnsi="宋体" w:cs="宋体" w:hint="eastAsia"/>
          <w:szCs w:val="21"/>
        </w:rPr>
        <w:t>证券投资基金</w:t>
      </w:r>
      <w:r>
        <w:rPr>
          <w:rFonts w:ascii="宋体" w:hAnsi="宋体" w:cs="宋体" w:hint="eastAsia"/>
          <w:kern w:val="0"/>
          <w:szCs w:val="21"/>
        </w:rPr>
        <w:t>的开户、</w:t>
      </w:r>
      <w:r>
        <w:rPr>
          <w:rFonts w:ascii="宋体" w:hAnsi="宋体" w:cs="宋体" w:hint="eastAsia"/>
          <w:kern w:val="0"/>
          <w:szCs w:val="21"/>
        </w:rPr>
        <w:t>认购、</w:t>
      </w:r>
      <w:r>
        <w:rPr>
          <w:rFonts w:ascii="宋体" w:hAnsi="宋体" w:cs="宋体" w:hint="eastAsia"/>
          <w:kern w:val="0"/>
          <w:szCs w:val="21"/>
        </w:rPr>
        <w:t>申购和赎回等业务，具体包括：</w:t>
      </w:r>
      <w:r>
        <w:rPr>
          <w:rFonts w:ascii="宋体" w:hAnsi="宋体" w:cs="宋体" w:hint="eastAsia"/>
          <w:kern w:val="0"/>
          <w:szCs w:val="21"/>
        </w:rPr>
        <w:t xml:space="preserve"> </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580008/011</w:t>
            </w:r>
            <w:r>
              <w:rPr>
                <w:rFonts w:ascii="宋体" w:hAnsi="宋体" w:cs="宋体" w:hint="eastAsia"/>
                <w:szCs w:val="21"/>
                <w:lang/>
              </w:rPr>
              <w:t>470</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东吴鼎泰纯债债券型</w:t>
            </w:r>
            <w:r>
              <w:rPr>
                <w:rFonts w:ascii="宋体" w:hAnsi="宋体" w:cs="宋体" w:hint="eastAsia"/>
                <w:szCs w:val="21"/>
                <w:lang/>
              </w:rPr>
              <w:t>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165806</w:t>
            </w:r>
          </w:p>
        </w:tc>
      </w:tr>
      <w:tr w:rsidR="00000000">
        <w:trPr>
          <w:trHeight w:val="385"/>
          <w:jc w:val="center"/>
        </w:trPr>
        <w:tc>
          <w:tcPr>
            <w:tcW w:w="676" w:type="dxa"/>
          </w:tcPr>
          <w:p w:rsidR="00000000" w:rsidRDefault="001152F5">
            <w:pPr>
              <w:widowControl/>
              <w:numPr>
                <w:ilvl w:val="0"/>
                <w:numId w:val="2"/>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东吴消费成长混合型证券投资基金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012971/012972</w:t>
            </w:r>
          </w:p>
        </w:tc>
      </w:tr>
    </w:tbl>
    <w:p w:rsidR="00000000" w:rsidRDefault="001152F5">
      <w:pPr>
        <w:widowControl/>
        <w:spacing w:line="360" w:lineRule="auto"/>
        <w:ind w:firstLineChars="200" w:firstLine="420"/>
        <w:jc w:val="left"/>
        <w:rPr>
          <w:rFonts w:ascii="宋体" w:hAnsi="宋体" w:cs="宋体" w:hint="eastAsia"/>
          <w:szCs w:val="21"/>
        </w:rPr>
      </w:pPr>
      <w:r>
        <w:rPr>
          <w:rFonts w:ascii="宋体" w:hAnsi="宋体" w:cs="宋体" w:hint="eastAsia"/>
          <w:szCs w:val="21"/>
        </w:rPr>
        <w:t>具体业务办理时间为：全天</w:t>
      </w:r>
      <w:r>
        <w:rPr>
          <w:rFonts w:ascii="宋体" w:hAnsi="宋体" w:cs="宋体" w:hint="eastAsia"/>
          <w:szCs w:val="21"/>
        </w:rPr>
        <w:t>24</w:t>
      </w:r>
      <w:r>
        <w:rPr>
          <w:rFonts w:ascii="宋体" w:hAnsi="宋体" w:cs="宋体" w:hint="eastAsia"/>
          <w:szCs w:val="21"/>
        </w:rPr>
        <w:t>小时接受委托，每个交易日</w:t>
      </w:r>
      <w:r>
        <w:rPr>
          <w:rFonts w:ascii="宋体" w:hAnsi="宋体" w:cs="宋体" w:hint="eastAsia"/>
          <w:szCs w:val="21"/>
        </w:rPr>
        <w:t>15</w:t>
      </w:r>
      <w:r>
        <w:rPr>
          <w:rFonts w:ascii="宋体" w:hAnsi="宋体" w:cs="宋体" w:hint="eastAsia"/>
          <w:szCs w:val="21"/>
        </w:rPr>
        <w:t>：</w:t>
      </w:r>
      <w:r>
        <w:rPr>
          <w:rFonts w:ascii="宋体" w:hAnsi="宋体" w:cs="宋体" w:hint="eastAsia"/>
          <w:szCs w:val="21"/>
        </w:rPr>
        <w:t>00</w:t>
      </w:r>
      <w:r>
        <w:rPr>
          <w:rFonts w:ascii="宋体" w:hAnsi="宋体" w:cs="宋体" w:hint="eastAsia"/>
          <w:szCs w:val="21"/>
        </w:rPr>
        <w:t>以后的委托将会在下一个交易日处理。</w:t>
      </w:r>
    </w:p>
    <w:p w:rsidR="00000000" w:rsidRDefault="001152F5">
      <w:pPr>
        <w:widowControl/>
        <w:spacing w:line="360" w:lineRule="auto"/>
        <w:ind w:firstLineChars="200" w:firstLine="420"/>
        <w:jc w:val="lef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二、开通东吴基金旗下部分基金定期定额投资业务</w:t>
      </w:r>
    </w:p>
    <w:p w:rsidR="00000000" w:rsidRDefault="001152F5">
      <w:pPr>
        <w:widowControl/>
        <w:spacing w:line="360" w:lineRule="auto"/>
        <w:ind w:firstLineChars="200" w:firstLine="420"/>
        <w:jc w:val="left"/>
        <w:rPr>
          <w:rFonts w:ascii="宋体" w:hAnsi="宋体" w:cs="宋体" w:hint="eastAsia"/>
          <w:szCs w:val="21"/>
        </w:rPr>
      </w:pPr>
      <w:r>
        <w:rPr>
          <w:rFonts w:ascii="宋体" w:hAnsi="宋体" w:cs="宋体" w:hint="eastAsia"/>
          <w:szCs w:val="21"/>
        </w:rPr>
        <w:t>为满足广大投资者的理财需求，东吴基金决定自</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w:t>
      </w:r>
      <w:r>
        <w:rPr>
          <w:rFonts w:ascii="宋体" w:hAnsi="宋体" w:cs="宋体" w:hint="eastAsia"/>
          <w:szCs w:val="21"/>
        </w:rPr>
        <w:t>起开通以下基金在</w:t>
      </w:r>
      <w:r>
        <w:rPr>
          <w:rFonts w:ascii="宋体" w:hAnsi="宋体" w:cs="宋体" w:hint="eastAsia"/>
          <w:kern w:val="0"/>
          <w:szCs w:val="21"/>
        </w:rPr>
        <w:t>度小满基金</w:t>
      </w:r>
      <w:r>
        <w:rPr>
          <w:rFonts w:ascii="宋体" w:hAnsi="宋体" w:cs="宋体" w:hint="eastAsia"/>
          <w:szCs w:val="21"/>
        </w:rPr>
        <w:t>的定期定额投资业务，具体包括：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基金名</w:t>
            </w:r>
            <w:r>
              <w:rPr>
                <w:rFonts w:ascii="宋体" w:hAnsi="宋体" w:cs="宋体" w:hint="eastAsia"/>
                <w:b/>
                <w:szCs w:val="21"/>
              </w:rPr>
              <w:t>称</w:t>
            </w:r>
          </w:p>
        </w:tc>
        <w:tc>
          <w:tcPr>
            <w:tcW w:w="1602"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580006/012617</w:t>
            </w:r>
          </w:p>
        </w:tc>
      </w:tr>
      <w:tr w:rsidR="00000000">
        <w:trPr>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580008/01</w:t>
            </w:r>
            <w:r>
              <w:rPr>
                <w:rFonts w:ascii="宋体" w:hAnsi="宋体" w:cs="宋体" w:hint="eastAsia"/>
                <w:szCs w:val="21"/>
                <w:lang/>
              </w:rPr>
              <w:t>1470</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583001</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东吴移动互联灵活配置混合型证券投资基金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东吴安盈量化</w:t>
            </w:r>
            <w:r>
              <w:rPr>
                <w:rFonts w:ascii="宋体" w:hAnsi="宋体" w:cs="宋体" w:hint="eastAsia"/>
                <w:szCs w:val="21"/>
                <w:lang/>
              </w:rPr>
              <w:t>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003588</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东吴优益债券型证券投资基金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东吴兴</w:t>
            </w:r>
            <w:r>
              <w:rPr>
                <w:rFonts w:ascii="宋体" w:hAnsi="宋体" w:cs="宋体" w:hint="eastAsia"/>
                <w:szCs w:val="21"/>
                <w:lang/>
              </w:rPr>
              <w:t>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r w:rsidR="00000000">
        <w:trPr>
          <w:trHeight w:val="385"/>
          <w:jc w:val="center"/>
        </w:trPr>
        <w:tc>
          <w:tcPr>
            <w:tcW w:w="676" w:type="dxa"/>
          </w:tcPr>
          <w:p w:rsidR="00000000" w:rsidRDefault="001152F5">
            <w:pPr>
              <w:widowControl/>
              <w:numPr>
                <w:ilvl w:val="0"/>
                <w:numId w:val="3"/>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东吴沪深</w:t>
            </w:r>
            <w:r>
              <w:rPr>
                <w:rFonts w:ascii="宋体" w:hAnsi="宋体" w:cs="宋体" w:hint="eastAsia"/>
                <w:szCs w:val="21"/>
                <w:lang/>
              </w:rPr>
              <w:t>300</w:t>
            </w:r>
            <w:r>
              <w:rPr>
                <w:rFonts w:ascii="宋体" w:hAnsi="宋体" w:cs="宋体" w:hint="eastAsia"/>
                <w:szCs w:val="21"/>
                <w:lang/>
              </w:rPr>
              <w:t>指数型证券投资基金</w:t>
            </w:r>
            <w:r>
              <w:rPr>
                <w:rFonts w:ascii="宋体" w:hAnsi="宋体" w:cs="宋体" w:hint="eastAsia"/>
                <w:szCs w:val="21"/>
                <w:lang/>
              </w:rPr>
              <w:t>A</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165806</w:t>
            </w:r>
          </w:p>
        </w:tc>
      </w:tr>
    </w:tbl>
    <w:p w:rsidR="00000000" w:rsidRDefault="001152F5">
      <w:pPr>
        <w:widowControl/>
        <w:spacing w:line="360" w:lineRule="auto"/>
        <w:ind w:firstLineChars="200" w:firstLine="420"/>
        <w:jc w:val="left"/>
        <w:rPr>
          <w:rFonts w:ascii="宋体" w:hAnsi="宋体" w:cs="宋体" w:hint="eastAsia"/>
          <w:szCs w:val="21"/>
        </w:rPr>
      </w:pPr>
      <w:r>
        <w:rPr>
          <w:rFonts w:ascii="宋体" w:hAnsi="宋体" w:cs="宋体" w:hint="eastAsia"/>
          <w:szCs w:val="21"/>
        </w:rPr>
        <w:t>“定期定额投资业务”是基金申购业务的一种方式，投资者可以通过</w:t>
      </w:r>
      <w:r>
        <w:rPr>
          <w:rFonts w:ascii="宋体" w:hAnsi="宋体" w:cs="宋体" w:hint="eastAsia"/>
          <w:kern w:val="0"/>
          <w:szCs w:val="21"/>
        </w:rPr>
        <w:t>度小满基金</w:t>
      </w:r>
      <w:r>
        <w:rPr>
          <w:rFonts w:ascii="宋体" w:hAnsi="宋体" w:cs="宋体" w:hint="eastAsia"/>
          <w:szCs w:val="21"/>
        </w:rPr>
        <w:t>提交申请，约定每期扣款时间、扣款金额及扣款方式，由</w:t>
      </w:r>
      <w:r>
        <w:rPr>
          <w:rFonts w:ascii="宋体" w:hAnsi="宋体" w:cs="宋体" w:hint="eastAsia"/>
          <w:kern w:val="0"/>
          <w:szCs w:val="21"/>
        </w:rPr>
        <w:t>度小满基金</w:t>
      </w:r>
      <w:r>
        <w:rPr>
          <w:rFonts w:ascii="宋体" w:hAnsi="宋体" w:cs="宋体" w:hint="eastAsia"/>
          <w:szCs w:val="21"/>
        </w:rPr>
        <w:t>于约定扣款日在投资者指定资金账户内自动完成扣款及基金申购业务。投资者在办理基金“定期定额投资业务”的同时，仍然可以进行日常申购、赎回业务。</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（一）适用投资者</w:t>
      </w:r>
      <w:r>
        <w:rPr>
          <w:rFonts w:ascii="宋体" w:hAnsi="宋体" w:cs="宋体" w:hint="eastAsia"/>
          <w:szCs w:val="21"/>
        </w:rPr>
        <w:br/>
      </w:r>
      <w:r>
        <w:rPr>
          <w:rFonts w:ascii="宋体" w:hAnsi="宋体" w:cs="宋体" w:hint="eastAsia"/>
          <w:szCs w:val="21"/>
        </w:rPr>
        <w:t xml:space="preserve">　　“定期定额投资业务”适用于依据国家有关法律法规和基金合同约定的可以投资证券投资基金的合法投资者。</w:t>
      </w:r>
      <w:r>
        <w:rPr>
          <w:rFonts w:ascii="宋体" w:hAnsi="宋体" w:cs="宋体" w:hint="eastAsia"/>
          <w:szCs w:val="21"/>
        </w:rPr>
        <w:br/>
      </w:r>
      <w:r>
        <w:rPr>
          <w:rFonts w:ascii="宋体" w:hAnsi="宋体" w:cs="宋体" w:hint="eastAsia"/>
          <w:szCs w:val="21"/>
        </w:rPr>
        <w:t xml:space="preserve">　　（二）办理场所</w:t>
      </w:r>
      <w:r>
        <w:rPr>
          <w:rFonts w:ascii="宋体" w:hAnsi="宋体" w:cs="宋体" w:hint="eastAsia"/>
          <w:szCs w:val="21"/>
        </w:rPr>
        <w:br/>
      </w:r>
      <w:r>
        <w:rPr>
          <w:rFonts w:ascii="宋体" w:hAnsi="宋体" w:cs="宋体" w:hint="eastAsia"/>
          <w:szCs w:val="21"/>
        </w:rPr>
        <w:t xml:space="preserve">　　投资者可</w:t>
      </w:r>
      <w:r>
        <w:rPr>
          <w:rFonts w:ascii="宋体" w:hAnsi="宋体" w:cs="宋体" w:hint="eastAsia"/>
          <w:kern w:val="0"/>
          <w:szCs w:val="21"/>
        </w:rPr>
        <w:t>通过</w:t>
      </w:r>
      <w:r>
        <w:rPr>
          <w:rFonts w:ascii="宋体" w:hAnsi="宋体" w:cs="宋体" w:hint="eastAsia"/>
          <w:kern w:val="0"/>
          <w:szCs w:val="21"/>
        </w:rPr>
        <w:t>度小满基金</w:t>
      </w:r>
      <w:r>
        <w:rPr>
          <w:rFonts w:ascii="宋体" w:hAnsi="宋体" w:cs="宋体" w:hint="eastAsia"/>
          <w:kern w:val="0"/>
          <w:szCs w:val="21"/>
        </w:rPr>
        <w:t>交易系统</w:t>
      </w:r>
      <w:r>
        <w:rPr>
          <w:rFonts w:ascii="宋体" w:hAnsi="宋体" w:cs="宋体" w:hint="eastAsia"/>
          <w:szCs w:val="21"/>
        </w:rPr>
        <w:t>，办理“定期定额投资业务”申请。</w:t>
      </w:r>
      <w:r>
        <w:rPr>
          <w:rFonts w:ascii="宋体" w:hAnsi="宋体" w:cs="宋体" w:hint="eastAsia"/>
          <w:szCs w:val="21"/>
        </w:rPr>
        <w:br/>
      </w:r>
      <w:r>
        <w:rPr>
          <w:rFonts w:ascii="宋体" w:hAnsi="宋体" w:cs="宋体" w:hint="eastAsia"/>
          <w:szCs w:val="21"/>
        </w:rPr>
        <w:t xml:space="preserve">　　（三）办理方式</w:t>
      </w:r>
      <w:r>
        <w:rPr>
          <w:rFonts w:ascii="宋体" w:hAnsi="宋体" w:cs="宋体" w:hint="eastAsia"/>
          <w:szCs w:val="21"/>
        </w:rPr>
        <w:br/>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．凡申请办理“定期定额投资业务”的投资者在</w:t>
      </w:r>
      <w:r>
        <w:rPr>
          <w:rFonts w:ascii="宋体" w:hAnsi="宋体" w:cs="宋体" w:hint="eastAsia"/>
          <w:kern w:val="0"/>
          <w:szCs w:val="21"/>
        </w:rPr>
        <w:t>度小满基金</w:t>
      </w:r>
      <w:r>
        <w:rPr>
          <w:rFonts w:ascii="宋体" w:hAnsi="宋体" w:cs="宋体" w:hint="eastAsia"/>
          <w:szCs w:val="21"/>
        </w:rPr>
        <w:t>直接开户便可进行东吴基金定期定额投资业务。</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．已开立东吴基金管理有限公司开放式基金账户的投资者，可在</w:t>
      </w:r>
      <w:r>
        <w:rPr>
          <w:rFonts w:ascii="宋体" w:hAnsi="宋体" w:cs="宋体" w:hint="eastAsia"/>
          <w:kern w:val="0"/>
          <w:szCs w:val="21"/>
        </w:rPr>
        <w:t>度小满基金</w:t>
      </w:r>
      <w:r>
        <w:rPr>
          <w:rFonts w:ascii="宋体" w:hAnsi="宋体" w:cs="宋体" w:hint="eastAsia"/>
          <w:color w:val="000000"/>
          <w:kern w:val="0"/>
          <w:szCs w:val="21"/>
        </w:rPr>
        <w:t>的</w:t>
      </w:r>
      <w:r>
        <w:rPr>
          <w:rFonts w:ascii="宋体" w:hAnsi="宋体" w:cs="宋体" w:hint="eastAsia"/>
          <w:kern w:val="0"/>
          <w:szCs w:val="21"/>
        </w:rPr>
        <w:t>交易系统</w:t>
      </w:r>
      <w:r>
        <w:rPr>
          <w:rFonts w:ascii="宋体" w:hAnsi="宋体" w:cs="宋体" w:hint="eastAsia"/>
          <w:szCs w:val="21"/>
        </w:rPr>
        <w:t>通过账户登记后，办理“定期定额投资业务”申请。</w:t>
      </w:r>
      <w:r>
        <w:rPr>
          <w:rFonts w:ascii="宋体" w:hAnsi="宋体" w:cs="宋体" w:hint="eastAsia"/>
          <w:szCs w:val="21"/>
        </w:rPr>
        <w:br/>
      </w:r>
      <w:r>
        <w:rPr>
          <w:rFonts w:ascii="宋体" w:hAnsi="宋体" w:cs="宋体" w:hint="eastAsia"/>
          <w:szCs w:val="21"/>
        </w:rPr>
        <w:t xml:space="preserve">　　（四）办理时间</w:t>
      </w:r>
      <w:r>
        <w:rPr>
          <w:rFonts w:ascii="宋体" w:hAnsi="宋体" w:cs="宋体" w:hint="eastAsia"/>
          <w:szCs w:val="21"/>
        </w:rPr>
        <w:br/>
      </w:r>
      <w:r>
        <w:rPr>
          <w:rFonts w:ascii="宋体" w:hAnsi="宋体" w:cs="宋体" w:hint="eastAsia"/>
          <w:szCs w:val="21"/>
        </w:rPr>
        <w:t xml:space="preserve">　　本业务的申请受理时间与基金日常申购业务受理时间相同。</w:t>
      </w:r>
    </w:p>
    <w:p w:rsidR="00000000" w:rsidRDefault="001152F5">
      <w:pPr>
        <w:widowControl/>
        <w:snapToGrid w:val="0"/>
        <w:spacing w:line="360" w:lineRule="auto"/>
        <w:ind w:firstLineChars="200" w:firstLine="420"/>
        <w:jc w:val="left"/>
        <w:rPr>
          <w:rFonts w:ascii="宋体" w:hAnsi="宋体" w:cs="宋体" w:hint="eastAsia"/>
          <w:szCs w:val="21"/>
        </w:rPr>
      </w:pPr>
      <w:r>
        <w:rPr>
          <w:rFonts w:ascii="宋体" w:hAnsi="宋体" w:cs="宋体" w:hint="eastAsia"/>
          <w:szCs w:val="21"/>
        </w:rPr>
        <w:t>（五）扣款金额</w:t>
      </w:r>
      <w:r>
        <w:rPr>
          <w:rFonts w:ascii="宋体" w:hAnsi="宋体" w:cs="宋体" w:hint="eastAsia"/>
          <w:szCs w:val="21"/>
        </w:rPr>
        <w:br/>
      </w:r>
      <w:r>
        <w:rPr>
          <w:rFonts w:ascii="宋体" w:hAnsi="宋体" w:cs="宋体" w:hint="eastAsia"/>
          <w:szCs w:val="21"/>
        </w:rPr>
        <w:t xml:space="preserve">　　投资者应与</w:t>
      </w:r>
      <w:r>
        <w:rPr>
          <w:rFonts w:ascii="宋体" w:hAnsi="宋体" w:cs="宋体" w:hint="eastAsia"/>
          <w:kern w:val="0"/>
          <w:szCs w:val="21"/>
        </w:rPr>
        <w:t>度小满基金</w:t>
      </w:r>
      <w:r>
        <w:rPr>
          <w:rFonts w:ascii="宋体" w:hAnsi="宋体" w:cs="宋体" w:hint="eastAsia"/>
          <w:szCs w:val="21"/>
        </w:rPr>
        <w:t>约定每期固定扣款（申购）金额，基金每期定投申购金额最低下限</w:t>
      </w:r>
      <w:r>
        <w:rPr>
          <w:rFonts w:ascii="宋体" w:hAnsi="宋体" w:cs="宋体" w:hint="eastAsia"/>
          <w:szCs w:val="21"/>
        </w:rPr>
        <w:t>以代销机构规定为准。</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szCs w:val="21"/>
        </w:rPr>
      </w:pPr>
      <w:r>
        <w:rPr>
          <w:rFonts w:ascii="宋体" w:hAnsi="宋体" w:cs="宋体" w:hint="eastAsia"/>
          <w:color w:val="000000"/>
          <w:szCs w:val="21"/>
        </w:rPr>
        <w:t xml:space="preserve">  </w:t>
      </w:r>
      <w:r>
        <w:rPr>
          <w:rFonts w:ascii="宋体" w:hAnsi="宋体" w:cs="宋体" w:hint="eastAsia"/>
          <w:color w:val="000000"/>
          <w:szCs w:val="21"/>
        </w:rPr>
        <w:t>三、</w:t>
      </w:r>
      <w:r>
        <w:rPr>
          <w:rFonts w:ascii="宋体" w:hAnsi="宋体" w:cs="宋体" w:hint="eastAsia"/>
          <w:szCs w:val="21"/>
        </w:rPr>
        <w:t>开通东吴基金旗下部分基金的基金转换业务</w:t>
      </w:r>
    </w:p>
    <w:p w:rsidR="00000000" w:rsidRDefault="001152F5">
      <w:pPr>
        <w:widowControl/>
        <w:spacing w:line="360" w:lineRule="auto"/>
        <w:ind w:firstLineChars="200" w:firstLine="420"/>
        <w:jc w:val="left"/>
        <w:rPr>
          <w:rFonts w:ascii="宋体" w:hAnsi="宋体" w:cs="宋体" w:hint="eastAsia"/>
          <w:szCs w:val="21"/>
        </w:rPr>
      </w:pPr>
      <w:r>
        <w:rPr>
          <w:rFonts w:ascii="宋体" w:hAnsi="宋体" w:cs="宋体" w:hint="eastAsia"/>
          <w:szCs w:val="21"/>
        </w:rPr>
        <w:t>东吴基金将同时在</w:t>
      </w:r>
      <w:r>
        <w:rPr>
          <w:rFonts w:ascii="宋体" w:hAnsi="宋体" w:cs="宋体" w:hint="eastAsia"/>
          <w:kern w:val="0"/>
          <w:szCs w:val="21"/>
        </w:rPr>
        <w:t>度小满基金</w:t>
      </w:r>
      <w:r>
        <w:rPr>
          <w:rFonts w:ascii="宋体" w:hAnsi="宋体" w:cs="宋体" w:hint="eastAsia"/>
          <w:szCs w:val="21"/>
        </w:rPr>
        <w:t>开通以下基金之间的转换业务，具体包括：</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5940"/>
        <w:gridCol w:w="1602"/>
      </w:tblGrid>
      <w:tr w:rsidR="00000000">
        <w:trPr>
          <w:trHeight w:val="90"/>
          <w:jc w:val="center"/>
        </w:trPr>
        <w:tc>
          <w:tcPr>
            <w:tcW w:w="676"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序号</w:t>
            </w:r>
          </w:p>
        </w:tc>
        <w:tc>
          <w:tcPr>
            <w:tcW w:w="5940"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基金名称</w:t>
            </w:r>
          </w:p>
        </w:tc>
        <w:tc>
          <w:tcPr>
            <w:tcW w:w="1602" w:type="dxa"/>
          </w:tcPr>
          <w:p w:rsidR="00000000" w:rsidRDefault="001152F5">
            <w:pPr>
              <w:widowControl/>
              <w:spacing w:line="400" w:lineRule="exact"/>
              <w:jc w:val="center"/>
              <w:rPr>
                <w:rFonts w:ascii="宋体" w:hAnsi="宋体" w:cs="宋体" w:hint="eastAsia"/>
                <w:b/>
                <w:szCs w:val="21"/>
              </w:rPr>
            </w:pPr>
            <w:r>
              <w:rPr>
                <w:rFonts w:ascii="宋体" w:hAnsi="宋体" w:cs="宋体" w:hint="eastAsia"/>
                <w:b/>
                <w:szCs w:val="21"/>
              </w:rPr>
              <w:t>基金代码</w:t>
            </w:r>
          </w:p>
        </w:tc>
      </w:tr>
      <w:tr w:rsidR="00000000">
        <w:trPr>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东吴嘉禾优势精选混合型开放式证券投资基金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580001</w:t>
            </w:r>
          </w:p>
        </w:tc>
      </w:tr>
      <w:tr w:rsidR="00000000">
        <w:trPr>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szCs w:val="21"/>
                <w:lang/>
              </w:rPr>
            </w:pPr>
            <w:r>
              <w:rPr>
                <w:rFonts w:ascii="宋体" w:hAnsi="宋体" w:cs="宋体" w:hint="eastAsia"/>
                <w:szCs w:val="21"/>
                <w:lang/>
              </w:rPr>
              <w:t>东吴价值成长双动力混合型证券投资基金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580002/011241</w:t>
            </w:r>
          </w:p>
        </w:tc>
      </w:tr>
      <w:tr w:rsidR="00000000">
        <w:trPr>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东吴行业轮动混合型证券投资基金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580003/011240</w:t>
            </w:r>
          </w:p>
        </w:tc>
      </w:tr>
      <w:tr w:rsidR="00000000">
        <w:trPr>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东吴进取策略灵活配置混合型开放式证券投资基金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580005/011242</w:t>
            </w:r>
          </w:p>
        </w:tc>
      </w:tr>
      <w:tr w:rsidR="00000000">
        <w:trPr>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东吴新经济混合型证券投资基金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58</w:t>
            </w:r>
            <w:r>
              <w:rPr>
                <w:rFonts w:ascii="宋体" w:hAnsi="宋体" w:cs="宋体" w:hint="eastAsia"/>
                <w:szCs w:val="21"/>
                <w:lang/>
              </w:rPr>
              <w:t>0006/012617</w:t>
            </w:r>
          </w:p>
        </w:tc>
      </w:tr>
      <w:tr w:rsidR="00000000">
        <w:trPr>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东吴安享量化灵活配置混合型证券投资基金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580007</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东吴新产业精选股票型证券投资基金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580008/011470</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东吴货币市场证券投资基金</w:t>
            </w:r>
            <w:r>
              <w:rPr>
                <w:rFonts w:ascii="宋体" w:hAnsi="宋体" w:cs="宋体" w:hint="eastAsia"/>
                <w:szCs w:val="21"/>
                <w:lang/>
              </w:rPr>
              <w:t>A</w:t>
            </w:r>
            <w:r>
              <w:rPr>
                <w:rFonts w:ascii="宋体" w:hAnsi="宋体" w:cs="宋体" w:hint="eastAsia"/>
                <w:szCs w:val="21"/>
                <w:lang/>
              </w:rPr>
              <w:t>级</w:t>
            </w:r>
            <w:r>
              <w:rPr>
                <w:rFonts w:ascii="宋体" w:hAnsi="宋体" w:cs="宋体" w:hint="eastAsia"/>
                <w:szCs w:val="21"/>
                <w:lang/>
              </w:rPr>
              <w:t>/B</w:t>
            </w:r>
            <w:r>
              <w:rPr>
                <w:rFonts w:ascii="宋体" w:hAnsi="宋体" w:cs="宋体" w:hint="eastAsia"/>
                <w:szCs w:val="21"/>
                <w:lang/>
              </w:rPr>
              <w:t>级</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583001/583101</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东吴中证新兴产业指数证券投资基金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585001</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东吴配置优化灵活配置混合型证券投资基金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582003/011707</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东吴多策略灵活配置混合型证券投资基金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580009/011949</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东吴阿尔法灵活配置混合型证券投资基金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000531</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东吴移动互联</w:t>
            </w:r>
            <w:r>
              <w:rPr>
                <w:rFonts w:ascii="宋体" w:hAnsi="宋体" w:cs="宋体" w:hint="eastAsia"/>
                <w:szCs w:val="21"/>
                <w:lang/>
              </w:rPr>
              <w:t>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001323/002170</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东吴新趋势价值线灵活配置混合型证券投资基金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001322</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东吴国企改革主题灵活配置混合型证券投资基金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002159/012615</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东吴安盈量化灵活配置混合型证券投资基金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002270</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东吴安鑫量化灵活配置混合型证券投资基金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002561</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东吴智慧医疗量化策略灵活配置混合型证券投资基金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szCs w:val="21"/>
                <w:lang/>
              </w:rPr>
            </w:pPr>
            <w:r>
              <w:rPr>
                <w:rFonts w:ascii="宋体" w:hAnsi="宋体" w:cs="宋体" w:hint="eastAsia"/>
                <w:szCs w:val="21"/>
                <w:lang/>
              </w:rPr>
              <w:t>002919/011948</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东吴增鑫宝货币市场基金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/B</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003588/003589</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东吴优益债券型证券投资</w:t>
            </w:r>
            <w:r>
              <w:rPr>
                <w:rFonts w:ascii="宋体" w:hAnsi="宋体" w:cs="宋体" w:hint="eastAsia"/>
                <w:szCs w:val="21"/>
                <w:lang/>
              </w:rPr>
              <w:t>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005144/005145</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东吴双三角股票型证券投资基金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005209/005210</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东吴悦秀纯债债券型证券投资基金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005573/005574</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东吴鼎泰纯债债券型证券投资基金</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006026</w:t>
            </w:r>
          </w:p>
        </w:tc>
      </w:tr>
      <w:tr w:rsidR="00000000">
        <w:trPr>
          <w:trHeight w:val="385"/>
          <w:jc w:val="center"/>
        </w:trPr>
        <w:tc>
          <w:tcPr>
            <w:tcW w:w="676" w:type="dxa"/>
          </w:tcPr>
          <w:p w:rsidR="00000000" w:rsidRDefault="001152F5">
            <w:pPr>
              <w:widowControl/>
              <w:numPr>
                <w:ilvl w:val="0"/>
                <w:numId w:val="4"/>
              </w:numPr>
              <w:spacing w:line="400" w:lineRule="exact"/>
              <w:jc w:val="center"/>
              <w:rPr>
                <w:rFonts w:ascii="宋体" w:hAnsi="宋体" w:cs="宋体" w:hint="eastAsia"/>
                <w:szCs w:val="21"/>
              </w:rPr>
            </w:pPr>
          </w:p>
        </w:tc>
        <w:tc>
          <w:tcPr>
            <w:tcW w:w="5940" w:type="dxa"/>
            <w:vAlign w:val="center"/>
          </w:tcPr>
          <w:p w:rsidR="00000000" w:rsidRDefault="001152F5">
            <w:pPr>
              <w:widowControl/>
              <w:textAlignment w:val="center"/>
              <w:rPr>
                <w:rFonts w:ascii="宋体" w:hAnsi="宋体" w:cs="宋体" w:hint="eastAsia"/>
                <w:szCs w:val="21"/>
                <w:lang/>
              </w:rPr>
            </w:pPr>
            <w:r>
              <w:rPr>
                <w:rFonts w:ascii="宋体" w:hAnsi="宋体" w:cs="宋体" w:hint="eastAsia"/>
                <w:szCs w:val="21"/>
                <w:lang/>
              </w:rPr>
              <w:t>东吴兴享成长混合型证券投资基金</w:t>
            </w:r>
            <w:r>
              <w:rPr>
                <w:rFonts w:ascii="宋体" w:hAnsi="宋体" w:cs="宋体" w:hint="eastAsia"/>
                <w:szCs w:val="21"/>
                <w:lang/>
              </w:rPr>
              <w:t>A</w:t>
            </w:r>
            <w:r>
              <w:rPr>
                <w:rFonts w:ascii="宋体" w:hAnsi="宋体" w:cs="宋体" w:hint="eastAsia"/>
                <w:szCs w:val="21"/>
                <w:lang/>
              </w:rPr>
              <w:t>类</w:t>
            </w:r>
            <w:r>
              <w:rPr>
                <w:rFonts w:ascii="宋体" w:hAnsi="宋体" w:cs="宋体" w:hint="eastAsia"/>
                <w:szCs w:val="21"/>
                <w:lang/>
              </w:rPr>
              <w:t>/C</w:t>
            </w:r>
            <w:r>
              <w:rPr>
                <w:rFonts w:ascii="宋体" w:hAnsi="宋体" w:cs="宋体" w:hint="eastAsia"/>
                <w:szCs w:val="21"/>
                <w:lang/>
              </w:rPr>
              <w:t>类</w:t>
            </w:r>
          </w:p>
        </w:tc>
        <w:tc>
          <w:tcPr>
            <w:tcW w:w="1602" w:type="dxa"/>
            <w:vAlign w:val="center"/>
          </w:tcPr>
          <w:p w:rsidR="00000000" w:rsidRDefault="001152F5">
            <w:pPr>
              <w:widowControl/>
              <w:spacing w:line="400" w:lineRule="exact"/>
              <w:jc w:val="left"/>
              <w:rPr>
                <w:rFonts w:ascii="宋体" w:hAnsi="宋体" w:cs="宋体" w:hint="eastAsia"/>
                <w:szCs w:val="21"/>
                <w:lang/>
              </w:rPr>
            </w:pPr>
            <w:r>
              <w:rPr>
                <w:rFonts w:ascii="宋体" w:hAnsi="宋体" w:cs="宋体" w:hint="eastAsia"/>
                <w:szCs w:val="21"/>
                <w:lang/>
              </w:rPr>
              <w:t>010330/011462</w:t>
            </w:r>
          </w:p>
        </w:tc>
      </w:tr>
    </w:tbl>
    <w:p w:rsidR="00000000" w:rsidRDefault="001152F5">
      <w:pPr>
        <w:widowControl/>
        <w:spacing w:line="400" w:lineRule="exact"/>
        <w:ind w:firstLineChars="100" w:firstLine="210"/>
        <w:jc w:val="left"/>
        <w:rPr>
          <w:rFonts w:ascii="宋体" w:hAnsi="宋体" w:cs="宋体" w:hint="eastAsia"/>
          <w:szCs w:val="21"/>
        </w:rPr>
      </w:pPr>
      <w:r>
        <w:rPr>
          <w:rFonts w:ascii="宋体" w:hAnsi="宋体" w:cs="宋体" w:hint="eastAsia"/>
          <w:szCs w:val="21"/>
        </w:rPr>
        <w:t>（一）、基金转换业务适用投资者范围</w:t>
      </w:r>
    </w:p>
    <w:p w:rsidR="00000000" w:rsidRDefault="001152F5">
      <w:pPr>
        <w:pStyle w:val="HTML"/>
        <w:spacing w:line="400" w:lineRule="exact"/>
        <w:ind w:firstLine="420"/>
        <w:rPr>
          <w:rFonts w:hint="eastAsia"/>
          <w:color w:val="auto"/>
          <w:sz w:val="21"/>
          <w:szCs w:val="21"/>
        </w:rPr>
      </w:pPr>
      <w:r>
        <w:rPr>
          <w:rFonts w:hint="eastAsia"/>
          <w:color w:val="auto"/>
          <w:sz w:val="21"/>
          <w:szCs w:val="21"/>
        </w:rPr>
        <w:t>已持有本公司管理的开放式基金产品的投资者。</w:t>
      </w:r>
    </w:p>
    <w:p w:rsidR="00000000" w:rsidRDefault="001152F5">
      <w:pPr>
        <w:pStyle w:val="HTML"/>
        <w:spacing w:line="400" w:lineRule="exact"/>
        <w:ind w:firstLineChars="100" w:firstLine="210"/>
        <w:rPr>
          <w:rFonts w:hint="eastAsia"/>
          <w:color w:val="auto"/>
          <w:sz w:val="21"/>
          <w:szCs w:val="21"/>
        </w:rPr>
      </w:pPr>
      <w:r>
        <w:rPr>
          <w:rFonts w:hint="eastAsia"/>
          <w:color w:val="auto"/>
          <w:sz w:val="21"/>
          <w:szCs w:val="21"/>
        </w:rPr>
        <w:t>（二）、基金转换受理时间</w:t>
      </w:r>
    </w:p>
    <w:p w:rsidR="00000000" w:rsidRDefault="001152F5">
      <w:pPr>
        <w:spacing w:line="400" w:lineRule="exact"/>
        <w:rPr>
          <w:rFonts w:ascii="宋体" w:hAnsi="宋体" w:cs="宋体" w:hint="eastAsia"/>
          <w:szCs w:val="21"/>
        </w:rPr>
      </w:pPr>
      <w:r>
        <w:rPr>
          <w:rFonts w:ascii="宋体" w:hAnsi="宋体" w:cs="宋体" w:hint="eastAsia"/>
          <w:szCs w:val="21"/>
        </w:rPr>
        <w:t xml:space="preserve">　　基金办理转换业务的开放日为上海证券交易所和深圳证券交易所交易日（本公司公告暂停转换时除</w:t>
      </w:r>
      <w:r>
        <w:rPr>
          <w:rFonts w:ascii="宋体" w:hAnsi="宋体" w:cs="宋体" w:hint="eastAsia"/>
          <w:szCs w:val="21"/>
        </w:rPr>
        <w:t>外）。具体业务办理时间与基金日常申购业务时间相同。</w:t>
      </w:r>
    </w:p>
    <w:p w:rsidR="00000000" w:rsidRDefault="001152F5">
      <w:pPr>
        <w:spacing w:line="400" w:lineRule="exact"/>
        <w:rPr>
          <w:rFonts w:ascii="宋体" w:hAnsi="宋体" w:cs="宋体" w:hint="eastAsia"/>
          <w:szCs w:val="21"/>
        </w:rPr>
      </w:pPr>
      <w:r>
        <w:rPr>
          <w:rFonts w:ascii="宋体" w:hAnsi="宋体" w:cs="宋体" w:hint="eastAsia"/>
          <w:szCs w:val="21"/>
        </w:rPr>
        <w:t xml:space="preserve">　（三）、基金转换业务规则</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基金转换是指开放式基金份额持有人将其持有的某只基金的部分或全部份额转换为同一基金管理人管理的另一只开放式基金的份额；</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基金转换只能转换为本公司管理的、同一注册登记人登记存管的、同一基金账户下的基金份额，并只能在同一销售机构进行，且该销售机构须同时代理拟转出基金及拟转入基金的销售；</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拟转出的基金必须处于可赎回状态，拟转入的基金必须处于可申购状态；</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目前只开通前端收费模式下进行基金转换，而不能将前端收费基金份额转换为</w:t>
      </w:r>
      <w:r>
        <w:rPr>
          <w:rFonts w:ascii="宋体" w:hAnsi="宋体" w:cs="宋体" w:hint="eastAsia"/>
          <w:szCs w:val="21"/>
        </w:rPr>
        <w:t>后端收费基金份额，或将后端收费基金份额转换为前端收费基金份额。如今后本公司开通后端收费模</w:t>
      </w:r>
      <w:r>
        <w:rPr>
          <w:rFonts w:ascii="宋体" w:hAnsi="宋体" w:cs="宋体" w:hint="eastAsia"/>
          <w:szCs w:val="21"/>
        </w:rPr>
        <w:t>式基金的转换业务，具体转换业务规则以相关公告内容为准；</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基金转换遵循“份额转换”的原则，转换申请份额精确到小数点后两位，单笔转换申请份额不得低于</w:t>
      </w:r>
      <w:r>
        <w:rPr>
          <w:rFonts w:ascii="宋体" w:hAnsi="宋体" w:cs="宋体" w:hint="eastAsia"/>
          <w:szCs w:val="21"/>
        </w:rPr>
        <w:t>1</w:t>
      </w:r>
      <w:r>
        <w:rPr>
          <w:rFonts w:ascii="宋体" w:hAnsi="宋体" w:cs="宋体" w:hint="eastAsia"/>
          <w:szCs w:val="21"/>
        </w:rPr>
        <w:t>份</w:t>
      </w:r>
      <w:r>
        <w:rPr>
          <w:rFonts w:ascii="宋体" w:hAnsi="宋体" w:cs="宋体" w:hint="eastAsia"/>
          <w:szCs w:val="21"/>
        </w:rPr>
        <w:t>(</w:t>
      </w:r>
      <w:r>
        <w:rPr>
          <w:rFonts w:ascii="宋体" w:hAnsi="宋体" w:cs="宋体" w:hint="eastAsia"/>
          <w:szCs w:val="21"/>
        </w:rPr>
        <w:t>货币基金不得低于</w:t>
      </w:r>
      <w:r>
        <w:rPr>
          <w:rFonts w:ascii="宋体" w:hAnsi="宋体" w:cs="宋体" w:hint="eastAsia"/>
          <w:szCs w:val="21"/>
        </w:rPr>
        <w:t>100</w:t>
      </w:r>
      <w:r>
        <w:rPr>
          <w:rFonts w:ascii="宋体" w:hAnsi="宋体" w:cs="宋体" w:hint="eastAsia"/>
          <w:szCs w:val="21"/>
        </w:rPr>
        <w:t>份）</w:t>
      </w:r>
      <w:r>
        <w:rPr>
          <w:rFonts w:ascii="宋体" w:hAnsi="宋体" w:cs="宋体" w:hint="eastAsia"/>
          <w:szCs w:val="21"/>
        </w:rPr>
        <w:t>。单笔转入申请不受转入基金最低申购限额限制和转出基金最低赎回数额限制。</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对于基金分红时，权益登记日申请转换转出的基金份额享有该次分红权益，权益登记日申请转换转入的基金份额不享有该次分红权益；</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基金转换采取未知价法，即基金的转换价格以转换</w:t>
      </w:r>
      <w:r>
        <w:rPr>
          <w:rFonts w:ascii="宋体" w:hAnsi="宋体" w:cs="宋体" w:hint="eastAsia"/>
          <w:szCs w:val="21"/>
        </w:rPr>
        <w:t>申请受理当日各转出、转入基金的份额净值为基准进行计算；</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8</w:t>
      </w:r>
      <w:r>
        <w:rPr>
          <w:rFonts w:ascii="宋体" w:hAnsi="宋体" w:cs="宋体" w:hint="eastAsia"/>
          <w:szCs w:val="21"/>
        </w:rPr>
        <w:t>、</w:t>
      </w:r>
      <w:r>
        <w:rPr>
          <w:rFonts w:ascii="宋体" w:hAnsi="宋体" w:cs="宋体" w:hint="eastAsia"/>
          <w:szCs w:val="21"/>
        </w:rPr>
        <w:t>转换业务遵循“先进先出”的业务规则，先确认的认购或者申购的基金份额在转换时先转换；</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9</w:t>
      </w:r>
      <w:r>
        <w:rPr>
          <w:rFonts w:ascii="宋体" w:hAnsi="宋体" w:cs="宋体" w:hint="eastAsia"/>
          <w:szCs w:val="21"/>
        </w:rPr>
        <w:t>、</w:t>
      </w:r>
      <w:r>
        <w:rPr>
          <w:rFonts w:ascii="宋体" w:hAnsi="宋体" w:cs="宋体" w:hint="eastAsia"/>
          <w:szCs w:val="21"/>
        </w:rPr>
        <w:t>单个开放日基金净赎回份额及净转换转出申请份额之和超出上一开放日基金总份额的</w:t>
      </w:r>
      <w:r>
        <w:rPr>
          <w:rFonts w:ascii="宋体" w:hAnsi="宋体" w:cs="宋体" w:hint="eastAsia"/>
          <w:szCs w:val="21"/>
        </w:rPr>
        <w:t>10%</w:t>
      </w:r>
      <w:r>
        <w:rPr>
          <w:rFonts w:ascii="宋体" w:hAnsi="宋体" w:cs="宋体" w:hint="eastAsia"/>
          <w:szCs w:val="21"/>
        </w:rPr>
        <w:t>时，为巨额赎回。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10</w:t>
      </w:r>
      <w:r>
        <w:rPr>
          <w:rFonts w:ascii="宋体" w:hAnsi="宋体" w:cs="宋体" w:hint="eastAsia"/>
          <w:szCs w:val="21"/>
        </w:rPr>
        <w:t>、</w:t>
      </w:r>
      <w:r>
        <w:rPr>
          <w:rFonts w:ascii="宋体" w:hAnsi="宋体" w:cs="宋体" w:hint="eastAsia"/>
          <w:szCs w:val="21"/>
        </w:rPr>
        <w:t>转入基金的持有时间将重新计算，与转出基</w:t>
      </w:r>
      <w:r>
        <w:rPr>
          <w:rFonts w:ascii="宋体" w:hAnsi="宋体" w:cs="宋体" w:hint="eastAsia"/>
          <w:szCs w:val="21"/>
        </w:rPr>
        <w:t>金的持有时间无关；</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11</w:t>
      </w:r>
      <w:r>
        <w:rPr>
          <w:rFonts w:ascii="宋体" w:hAnsi="宋体" w:cs="宋体" w:hint="eastAsia"/>
          <w:szCs w:val="21"/>
        </w:rPr>
        <w:t>、</w:t>
      </w:r>
      <w:r>
        <w:rPr>
          <w:rFonts w:ascii="宋体" w:hAnsi="宋体" w:cs="宋体" w:hint="eastAsia"/>
          <w:szCs w:val="21"/>
        </w:rPr>
        <w:t>投资者在Ｔ日办理的基金转换申请，基金注册登机构在</w:t>
      </w:r>
      <w:r>
        <w:rPr>
          <w:rFonts w:ascii="宋体" w:hAnsi="宋体" w:cs="宋体" w:hint="eastAsia"/>
          <w:szCs w:val="21"/>
        </w:rPr>
        <w:t>T+1</w:t>
      </w:r>
      <w:r>
        <w:rPr>
          <w:rFonts w:ascii="宋体" w:hAnsi="宋体" w:cs="宋体" w:hint="eastAsia"/>
          <w:szCs w:val="21"/>
        </w:rPr>
        <w:t>日内为投资者对该交易的有效性进行确认，在</w:t>
      </w:r>
      <w:r>
        <w:rPr>
          <w:rFonts w:ascii="宋体" w:hAnsi="宋体" w:cs="宋体" w:hint="eastAsia"/>
          <w:szCs w:val="21"/>
        </w:rPr>
        <w:t>T+2</w:t>
      </w:r>
      <w:r>
        <w:rPr>
          <w:rFonts w:ascii="宋体" w:hAnsi="宋体" w:cs="宋体" w:hint="eastAsia"/>
          <w:szCs w:val="21"/>
        </w:rPr>
        <w:t>日后（包括该日）投资者可通过基金份额发售机构和</w:t>
      </w:r>
      <w:r>
        <w:rPr>
          <w:rFonts w:ascii="宋体" w:hAnsi="宋体" w:cs="宋体" w:hint="eastAsia"/>
          <w:szCs w:val="21"/>
        </w:rPr>
        <w:t>度小满基金</w:t>
      </w:r>
      <w:r>
        <w:rPr>
          <w:rFonts w:ascii="宋体" w:hAnsi="宋体" w:cs="宋体" w:hint="eastAsia"/>
          <w:szCs w:val="21"/>
        </w:rPr>
        <w:t>官网查询成交情况；</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12</w:t>
      </w:r>
      <w:r>
        <w:rPr>
          <w:rFonts w:ascii="宋体" w:hAnsi="宋体" w:cs="宋体" w:hint="eastAsia"/>
          <w:szCs w:val="21"/>
        </w:rPr>
        <w:t>、</w:t>
      </w:r>
      <w:r>
        <w:rPr>
          <w:rFonts w:ascii="宋体" w:hAnsi="宋体" w:cs="宋体" w:hint="eastAsia"/>
          <w:szCs w:val="21"/>
        </w:rPr>
        <w:t>基金转换费用由基金持有人承担；</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13</w:t>
      </w:r>
      <w:r>
        <w:rPr>
          <w:rFonts w:ascii="宋体" w:hAnsi="宋体" w:cs="宋体" w:hint="eastAsia"/>
          <w:szCs w:val="21"/>
        </w:rPr>
        <w:t>、</w:t>
      </w:r>
      <w:r>
        <w:rPr>
          <w:rFonts w:ascii="宋体" w:hAnsi="宋体" w:cs="宋体" w:hint="eastAsia"/>
          <w:szCs w:val="21"/>
        </w:rPr>
        <w:t>本公司将根据今后发行的其他开放式基金的具体情况对本业务规则进行补充和调整。</w:t>
      </w:r>
    </w:p>
    <w:p w:rsidR="00000000" w:rsidRDefault="001152F5">
      <w:pPr>
        <w:spacing w:line="360" w:lineRule="auto"/>
        <w:rPr>
          <w:rFonts w:ascii="宋体" w:hAnsi="宋体" w:cs="宋体" w:hint="eastAsia"/>
          <w:szCs w:val="21"/>
        </w:rPr>
      </w:pPr>
      <w:r>
        <w:rPr>
          <w:rFonts w:ascii="宋体" w:hAnsi="宋体" w:cs="宋体" w:hint="eastAsia"/>
          <w:szCs w:val="21"/>
        </w:rPr>
        <w:t xml:space="preserve">　（四）、基金转换费及份额计算方法</w:t>
      </w:r>
    </w:p>
    <w:p w:rsidR="00000000" w:rsidRDefault="001152F5">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、基金转换费用由转出基金的赎回费和转出与转入基金的申购费补差两部分构成，具体收取情况视每次转换时两只基金的申购费率差异情况和赎回费率而定。基金转换费</w:t>
      </w:r>
      <w:r>
        <w:rPr>
          <w:rFonts w:ascii="宋体" w:hAnsi="宋体" w:cs="宋体" w:hint="eastAsia"/>
          <w:szCs w:val="21"/>
        </w:rPr>
        <w:t>用由基金份额持有人承担。</w:t>
      </w:r>
    </w:p>
    <w:p w:rsidR="00000000" w:rsidRDefault="001152F5">
      <w:pPr>
        <w:spacing w:line="360" w:lineRule="auto"/>
        <w:rPr>
          <w:rFonts w:ascii="宋体" w:hAnsi="宋体" w:cs="宋体" w:hint="eastAsia"/>
          <w:szCs w:val="21"/>
        </w:rPr>
      </w:pPr>
      <w:r>
        <w:rPr>
          <w:rFonts w:ascii="宋体" w:hAnsi="宋体" w:cs="宋体" w:hint="eastAsia"/>
          <w:szCs w:val="21"/>
        </w:rPr>
        <w:t xml:space="preserve">　　转换公式如下：</w:t>
      </w:r>
    </w:p>
    <w:p w:rsidR="00000000" w:rsidRDefault="001152F5">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）转出金额＝转出基金份额×转出基金Ｔ日基金份额净值</w:t>
      </w:r>
    </w:p>
    <w:p w:rsidR="00000000" w:rsidRDefault="001152F5">
      <w:pPr>
        <w:spacing w:line="360" w:lineRule="auto"/>
        <w:rPr>
          <w:rFonts w:ascii="宋体" w:hAnsi="宋体" w:cs="宋体" w:hint="eastAsia"/>
          <w:szCs w:val="21"/>
        </w:rPr>
      </w:pPr>
      <w:r>
        <w:rPr>
          <w:rFonts w:ascii="宋体" w:hAnsi="宋体" w:cs="宋体" w:hint="eastAsia"/>
          <w:szCs w:val="21"/>
        </w:rPr>
        <w:t xml:space="preserve">　　（此处的Ｔ日指基金转换申请日，下同）</w:t>
      </w:r>
    </w:p>
    <w:p w:rsidR="00000000" w:rsidRDefault="001152F5">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w:t>
      </w:r>
      <w:r>
        <w:rPr>
          <w:rFonts w:ascii="宋体" w:hAnsi="宋体" w:cs="宋体" w:hint="eastAsia"/>
          <w:szCs w:val="21"/>
        </w:rPr>
        <w:t>）转出赎回费＝转出金额×转出基金赎回费率</w:t>
      </w:r>
    </w:p>
    <w:p w:rsidR="00000000" w:rsidRDefault="001152F5">
      <w:pPr>
        <w:spacing w:line="360" w:lineRule="auto"/>
        <w:rPr>
          <w:rFonts w:ascii="宋体" w:hAnsi="宋体" w:cs="宋体" w:hint="eastAsia"/>
          <w:szCs w:val="21"/>
        </w:rPr>
      </w:pPr>
      <w:r>
        <w:rPr>
          <w:rFonts w:ascii="宋体" w:hAnsi="宋体" w:cs="宋体" w:hint="eastAsia"/>
          <w:szCs w:val="21"/>
        </w:rPr>
        <w:t xml:space="preserve">　　（注：</w:t>
      </w:r>
      <w:r>
        <w:rPr>
          <w:rFonts w:ascii="宋体" w:hAnsi="宋体" w:cs="宋体" w:hint="eastAsia"/>
          <w:szCs w:val="21"/>
        </w:rPr>
        <w:t xml:space="preserve"> </w:t>
      </w:r>
      <w:r>
        <w:rPr>
          <w:rFonts w:ascii="宋体" w:hAnsi="宋体" w:cs="宋体" w:hint="eastAsia"/>
          <w:szCs w:val="21"/>
        </w:rPr>
        <w:t>转出赎回费的至少</w:t>
      </w:r>
      <w:r>
        <w:rPr>
          <w:rFonts w:ascii="宋体" w:hAnsi="宋体" w:cs="宋体" w:hint="eastAsia"/>
          <w:szCs w:val="21"/>
        </w:rPr>
        <w:t>25</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将归入转出方基金的基金财产，具体计入比例详见基金合同）</w:t>
      </w:r>
    </w:p>
    <w:p w:rsidR="00000000" w:rsidRDefault="001152F5">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3</w:t>
      </w:r>
      <w:r>
        <w:rPr>
          <w:rFonts w:ascii="宋体" w:hAnsi="宋体" w:cs="宋体" w:hint="eastAsia"/>
          <w:szCs w:val="21"/>
        </w:rPr>
        <w:t>）转入金额＝转出金额－转出赎回费</w:t>
      </w:r>
    </w:p>
    <w:p w:rsidR="00000000" w:rsidRDefault="001152F5">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4</w:t>
      </w:r>
      <w:r>
        <w:rPr>
          <w:rFonts w:ascii="宋体" w:hAnsi="宋体" w:cs="宋体" w:hint="eastAsia"/>
          <w:szCs w:val="21"/>
        </w:rPr>
        <w:t>）如果，转出基金的申购费率＜</w:t>
      </w:r>
      <w:r>
        <w:rPr>
          <w:rFonts w:ascii="宋体" w:hAnsi="宋体" w:cs="宋体" w:hint="eastAsia"/>
          <w:szCs w:val="21"/>
        </w:rPr>
        <w:t xml:space="preserve"> </w:t>
      </w:r>
      <w:r>
        <w:rPr>
          <w:rFonts w:ascii="宋体" w:hAnsi="宋体" w:cs="宋体" w:hint="eastAsia"/>
          <w:szCs w:val="21"/>
        </w:rPr>
        <w:t>转入基金的申购费率，</w:t>
      </w:r>
    </w:p>
    <w:p w:rsidR="00000000" w:rsidRDefault="001152F5">
      <w:pPr>
        <w:spacing w:line="360" w:lineRule="auto"/>
        <w:rPr>
          <w:rFonts w:ascii="宋体" w:hAnsi="宋体" w:cs="宋体" w:hint="eastAsia"/>
          <w:szCs w:val="21"/>
        </w:rPr>
      </w:pPr>
      <w:r>
        <w:rPr>
          <w:rFonts w:ascii="宋体" w:hAnsi="宋体" w:cs="宋体" w:hint="eastAsia"/>
          <w:szCs w:val="21"/>
        </w:rPr>
        <w:t xml:space="preserve">　　申购补差费率＝转入基金的申购费率－转出基金的申购费率</w:t>
      </w:r>
    </w:p>
    <w:p w:rsidR="00000000" w:rsidRDefault="001152F5">
      <w:pPr>
        <w:spacing w:line="360" w:lineRule="auto"/>
        <w:rPr>
          <w:rFonts w:ascii="宋体" w:hAnsi="宋体" w:cs="宋体" w:hint="eastAsia"/>
          <w:szCs w:val="21"/>
        </w:rPr>
      </w:pPr>
      <w:r>
        <w:rPr>
          <w:rFonts w:ascii="宋体" w:hAnsi="宋体" w:cs="宋体" w:hint="eastAsia"/>
          <w:szCs w:val="21"/>
        </w:rPr>
        <w:t xml:space="preserve">　　申购补差费＝转入金额×申购补差费率／（</w:t>
      </w:r>
      <w:r>
        <w:rPr>
          <w:rFonts w:ascii="宋体" w:hAnsi="宋体" w:cs="宋体" w:hint="eastAsia"/>
          <w:szCs w:val="21"/>
        </w:rPr>
        <w:t>1</w:t>
      </w:r>
      <w:r>
        <w:rPr>
          <w:rFonts w:ascii="宋体" w:hAnsi="宋体" w:cs="宋体" w:hint="eastAsia"/>
          <w:szCs w:val="21"/>
        </w:rPr>
        <w:t>＋申购补差费率）</w:t>
      </w:r>
    </w:p>
    <w:p w:rsidR="00000000" w:rsidRDefault="001152F5">
      <w:pPr>
        <w:spacing w:line="360" w:lineRule="auto"/>
        <w:rPr>
          <w:rFonts w:ascii="宋体" w:hAnsi="宋体" w:cs="宋体" w:hint="eastAsia"/>
          <w:szCs w:val="21"/>
        </w:rPr>
      </w:pPr>
      <w:r>
        <w:rPr>
          <w:rFonts w:ascii="宋体" w:hAnsi="宋体" w:cs="宋体" w:hint="eastAsia"/>
          <w:szCs w:val="21"/>
        </w:rPr>
        <w:t xml:space="preserve">　　转入</w:t>
      </w:r>
      <w:r>
        <w:rPr>
          <w:rFonts w:ascii="宋体" w:hAnsi="宋体" w:cs="宋体" w:hint="eastAsia"/>
          <w:szCs w:val="21"/>
        </w:rPr>
        <w:t>净额＝转入金额－申购补差费</w:t>
      </w:r>
    </w:p>
    <w:p w:rsidR="00000000" w:rsidRDefault="001152F5">
      <w:pPr>
        <w:spacing w:line="360" w:lineRule="auto"/>
        <w:rPr>
          <w:rFonts w:ascii="宋体" w:hAnsi="宋体" w:cs="宋体" w:hint="eastAsia"/>
          <w:szCs w:val="21"/>
        </w:rPr>
      </w:pPr>
      <w:r>
        <w:rPr>
          <w:rFonts w:ascii="宋体" w:hAnsi="宋体" w:cs="宋体" w:hint="eastAsia"/>
          <w:szCs w:val="21"/>
        </w:rPr>
        <w:t xml:space="preserve">　　如果，转出基金的申购费率≥转入基金的申购费率，</w:t>
      </w:r>
    </w:p>
    <w:p w:rsidR="00000000" w:rsidRDefault="001152F5">
      <w:pPr>
        <w:spacing w:line="360" w:lineRule="auto"/>
        <w:rPr>
          <w:rFonts w:ascii="宋体" w:hAnsi="宋体" w:cs="宋体" w:hint="eastAsia"/>
          <w:szCs w:val="21"/>
        </w:rPr>
      </w:pPr>
      <w:r>
        <w:rPr>
          <w:rFonts w:ascii="宋体" w:hAnsi="宋体" w:cs="宋体" w:hint="eastAsia"/>
          <w:szCs w:val="21"/>
        </w:rPr>
        <w:t xml:space="preserve">　　转入净额＝转入金额</w:t>
      </w:r>
    </w:p>
    <w:p w:rsidR="00000000" w:rsidRDefault="001152F5">
      <w:pPr>
        <w:spacing w:line="360" w:lineRule="auto"/>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5</w:t>
      </w:r>
      <w:r>
        <w:rPr>
          <w:rFonts w:ascii="宋体" w:hAnsi="宋体" w:cs="宋体" w:hint="eastAsia"/>
          <w:szCs w:val="21"/>
        </w:rPr>
        <w:t>）转入份额＝转入净额÷转入基金Ｔ日基金份额净值</w:t>
      </w:r>
    </w:p>
    <w:p w:rsidR="00000000" w:rsidRDefault="001152F5">
      <w:pPr>
        <w:spacing w:line="360" w:lineRule="auto"/>
        <w:ind w:firstLine="420"/>
        <w:rPr>
          <w:rFonts w:ascii="宋体" w:hAnsi="宋体" w:cs="宋体" w:hint="eastAsia"/>
          <w:szCs w:val="21"/>
        </w:rPr>
      </w:pPr>
      <w:r>
        <w:rPr>
          <w:rFonts w:ascii="宋体" w:hAnsi="宋体" w:cs="宋体" w:hint="eastAsia"/>
          <w:szCs w:val="21"/>
        </w:rPr>
        <w:t>其中，转入基金的申购费率和转出基金的申购费率均以转出金额为确定依据。</w:t>
      </w:r>
    </w:p>
    <w:p w:rsidR="00000000" w:rsidRDefault="001152F5">
      <w:pPr>
        <w:spacing w:line="360" w:lineRule="auto"/>
        <w:ind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转出金额、转出基金转换费的计算保留小数点后两位，第三位四舍五入，由此产生的误差在转出基金资产中列支；转入份额、申购补差费的计算保留小数点后两位，第三位四舍五入，由此产生的误差在转入基金资产中列支。</w:t>
      </w:r>
    </w:p>
    <w:p w:rsidR="00000000" w:rsidRDefault="001152F5">
      <w:pPr>
        <w:spacing w:line="360" w:lineRule="auto"/>
        <w:ind w:firstLine="420"/>
        <w:rPr>
          <w:rFonts w:ascii="宋体" w:hAnsi="宋体" w:cs="宋体" w:hint="eastAsia"/>
          <w:kern w:val="0"/>
          <w:szCs w:val="21"/>
        </w:rPr>
      </w:pPr>
      <w:r>
        <w:rPr>
          <w:rFonts w:ascii="宋体" w:hAnsi="宋体" w:cs="宋体" w:hint="eastAsia"/>
          <w:kern w:val="0"/>
          <w:szCs w:val="21"/>
        </w:rPr>
        <w:t>3</w:t>
      </w:r>
      <w:r>
        <w:rPr>
          <w:rFonts w:ascii="宋体" w:hAnsi="宋体" w:cs="宋体" w:hint="eastAsia"/>
          <w:kern w:val="0"/>
          <w:szCs w:val="21"/>
        </w:rPr>
        <w:t>、对于实行级差申购费率</w:t>
      </w:r>
      <w:r>
        <w:rPr>
          <w:rFonts w:ascii="宋体" w:hAnsi="宋体" w:cs="宋体" w:hint="eastAsia"/>
          <w:kern w:val="0"/>
          <w:szCs w:val="21"/>
        </w:rPr>
        <w:t>(</w:t>
      </w:r>
      <w:r>
        <w:rPr>
          <w:rFonts w:ascii="宋体" w:hAnsi="宋体" w:cs="宋体" w:hint="eastAsia"/>
          <w:kern w:val="0"/>
          <w:szCs w:val="21"/>
        </w:rPr>
        <w:t>不同申购金额对应不同申购费率</w:t>
      </w:r>
      <w:r>
        <w:rPr>
          <w:rFonts w:ascii="宋体" w:hAnsi="宋体" w:cs="宋体" w:hint="eastAsia"/>
          <w:kern w:val="0"/>
          <w:szCs w:val="21"/>
        </w:rPr>
        <w:t>)</w:t>
      </w:r>
      <w:r>
        <w:rPr>
          <w:rFonts w:ascii="宋体" w:hAnsi="宋体" w:cs="宋体" w:hint="eastAsia"/>
          <w:kern w:val="0"/>
          <w:szCs w:val="21"/>
        </w:rPr>
        <w:t>的基金，以转入总金额对应的</w:t>
      </w:r>
      <w:r>
        <w:rPr>
          <w:rFonts w:ascii="宋体" w:hAnsi="宋体" w:cs="宋体" w:hint="eastAsia"/>
          <w:kern w:val="0"/>
          <w:szCs w:val="21"/>
        </w:rPr>
        <w:t>转出基金申购费率、转入基金申购费率计算申购补差费用；如转入总金额对应转出基金申购费或转入基金申购费为固定费用时，申购补差费用视为</w:t>
      </w:r>
      <w:r>
        <w:rPr>
          <w:rFonts w:ascii="宋体" w:hAnsi="宋体" w:cs="宋体" w:hint="eastAsia"/>
          <w:kern w:val="0"/>
          <w:szCs w:val="21"/>
        </w:rPr>
        <w:t>0</w:t>
      </w:r>
      <w:r>
        <w:rPr>
          <w:rFonts w:ascii="宋体" w:hAnsi="宋体" w:cs="宋体" w:hint="eastAsia"/>
          <w:kern w:val="0"/>
          <w:szCs w:val="21"/>
        </w:rPr>
        <w:t>。</w:t>
      </w:r>
    </w:p>
    <w:p w:rsidR="00000000" w:rsidRDefault="001152F5">
      <w:pPr>
        <w:spacing w:line="360" w:lineRule="auto"/>
        <w:ind w:firstLine="420"/>
        <w:rPr>
          <w:rFonts w:ascii="宋体" w:hAnsi="宋体" w:cs="宋体" w:hint="eastAsia"/>
          <w:kern w:val="0"/>
          <w:szCs w:val="21"/>
        </w:rPr>
      </w:pPr>
      <w:r>
        <w:rPr>
          <w:rFonts w:ascii="宋体" w:hAnsi="宋体" w:cs="宋体" w:hint="eastAsia"/>
          <w:kern w:val="0"/>
          <w:szCs w:val="21"/>
        </w:rPr>
        <w:t>4</w:t>
      </w:r>
      <w:r>
        <w:rPr>
          <w:rFonts w:ascii="宋体" w:hAnsi="宋体" w:cs="宋体" w:hint="eastAsia"/>
          <w:kern w:val="0"/>
          <w:szCs w:val="21"/>
        </w:rPr>
        <w:t>、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p>
    <w:p w:rsidR="00000000" w:rsidRDefault="001152F5">
      <w:pPr>
        <w:spacing w:line="360" w:lineRule="auto"/>
        <w:rPr>
          <w:rFonts w:ascii="宋体" w:hAnsi="宋体" w:cs="宋体" w:hint="eastAsia"/>
          <w:szCs w:val="21"/>
        </w:rPr>
      </w:pPr>
      <w:r>
        <w:rPr>
          <w:rFonts w:ascii="宋体" w:hAnsi="宋体" w:cs="宋体" w:hint="eastAsia"/>
          <w:szCs w:val="21"/>
        </w:rPr>
        <w:t xml:space="preserve">　（五）、暂停基金转换的情形及处理</w:t>
      </w:r>
    </w:p>
    <w:p w:rsidR="00000000" w:rsidRDefault="001152F5">
      <w:pPr>
        <w:spacing w:line="360" w:lineRule="auto"/>
        <w:rPr>
          <w:rFonts w:ascii="宋体" w:hAnsi="宋体" w:cs="宋体" w:hint="eastAsia"/>
          <w:szCs w:val="21"/>
        </w:rPr>
      </w:pPr>
      <w:r>
        <w:rPr>
          <w:rFonts w:ascii="宋体" w:hAnsi="宋体" w:cs="宋体" w:hint="eastAsia"/>
          <w:szCs w:val="21"/>
        </w:rPr>
        <w:t xml:space="preserve">　　出现下列情况之一时，基金管理人可以暂停接受基金份额持有人的基金转换申请：</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不可抗力的原因导致基金无法正常运作；</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证券交易场所在交易时</w:t>
      </w:r>
      <w:r>
        <w:rPr>
          <w:rFonts w:ascii="宋体" w:hAnsi="宋体" w:cs="宋体" w:hint="eastAsia"/>
          <w:szCs w:val="21"/>
        </w:rPr>
        <w:t>间非正常停市或证券交易场所依法决定临时停市，导致当日基金资产净值无法计算；</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因市场剧烈波动或其它原因而出现连续巨额赎回，导致基金的现金支付出现困难；</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基金管理人认为会有损于现有基金份额持有人利益的某笔转入或某笔转出；</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5</w:t>
      </w:r>
      <w:r>
        <w:rPr>
          <w:rFonts w:ascii="宋体" w:hAnsi="宋体" w:cs="宋体" w:hint="eastAsia"/>
          <w:szCs w:val="21"/>
        </w:rPr>
        <w:t>、</w:t>
      </w:r>
      <w:r>
        <w:rPr>
          <w:rFonts w:ascii="宋体" w:hAnsi="宋体" w:cs="宋体" w:hint="eastAsia"/>
          <w:szCs w:val="21"/>
        </w:rPr>
        <w:t>发生基金合同规定的暂停基金资产估值情况；</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6</w:t>
      </w:r>
      <w:r>
        <w:rPr>
          <w:rFonts w:ascii="宋体" w:hAnsi="宋体" w:cs="宋体" w:hint="eastAsia"/>
          <w:szCs w:val="21"/>
        </w:rPr>
        <w:t>、</w:t>
      </w:r>
      <w:r>
        <w:rPr>
          <w:rFonts w:ascii="宋体" w:hAnsi="宋体" w:cs="宋体" w:hint="eastAsia"/>
          <w:szCs w:val="21"/>
        </w:rPr>
        <w:t>基金资产规模过大，使基金管理人无法找到合适的投资品种，或可能对基金业绩产生负面影响，从而损害现有基金份额持有人的利益；</w:t>
      </w:r>
    </w:p>
    <w:p w:rsidR="00000000" w:rsidRDefault="001152F5">
      <w:pPr>
        <w:spacing w:line="360" w:lineRule="auto"/>
        <w:ind w:firstLineChars="200" w:firstLine="420"/>
        <w:rPr>
          <w:rFonts w:ascii="宋体" w:hAnsi="宋体" w:cs="宋体" w:hint="eastAsia"/>
          <w:szCs w:val="21"/>
        </w:rPr>
      </w:pPr>
      <w:r>
        <w:rPr>
          <w:rFonts w:ascii="宋体" w:hAnsi="宋体" w:cs="宋体" w:hint="eastAsia"/>
          <w:szCs w:val="21"/>
        </w:rPr>
        <w:t>7</w:t>
      </w:r>
      <w:r>
        <w:rPr>
          <w:rFonts w:ascii="宋体" w:hAnsi="宋体" w:cs="宋体" w:hint="eastAsia"/>
          <w:szCs w:val="21"/>
        </w:rPr>
        <w:t>、</w:t>
      </w:r>
      <w:r>
        <w:rPr>
          <w:rFonts w:ascii="宋体" w:hAnsi="宋体" w:cs="宋体" w:hint="eastAsia"/>
          <w:szCs w:val="21"/>
        </w:rPr>
        <w:t>法律、法规、规章规定的其他情形或其他在《基金合同》、《招募说明书》已载明并获中国证监会批准的特殊情形。</w:t>
      </w:r>
    </w:p>
    <w:p w:rsidR="00000000" w:rsidRDefault="001152F5">
      <w:pPr>
        <w:spacing w:line="360" w:lineRule="auto"/>
        <w:rPr>
          <w:rFonts w:ascii="宋体" w:hAnsi="宋体" w:cs="宋体" w:hint="eastAsia"/>
          <w:szCs w:val="21"/>
        </w:rPr>
      </w:pPr>
      <w:r>
        <w:rPr>
          <w:rFonts w:ascii="宋体" w:hAnsi="宋体" w:cs="宋体" w:hint="eastAsia"/>
          <w:szCs w:val="21"/>
        </w:rPr>
        <w:t xml:space="preserve">　　基金</w:t>
      </w:r>
      <w:r>
        <w:rPr>
          <w:rFonts w:ascii="宋体" w:hAnsi="宋体" w:cs="宋体" w:hint="eastAsia"/>
          <w:szCs w:val="21"/>
        </w:rPr>
        <w:t>暂停转换或暂停后重新开放转换时，基金管理人应立即向中国证监会备案并在至少一种中国证监会指定的信息披露媒体上公告。</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四、费率优惠</w:t>
      </w:r>
    </w:p>
    <w:p w:rsidR="00000000" w:rsidRDefault="001152F5">
      <w:pPr>
        <w:tabs>
          <w:tab w:val="left" w:pos="720"/>
        </w:tabs>
        <w:autoSpaceDE w:val="0"/>
        <w:autoSpaceDN w:val="0"/>
        <w:adjustRightInd w:val="0"/>
        <w:spacing w:line="360" w:lineRule="auto"/>
        <w:ind w:right="17" w:firstLineChars="200" w:firstLine="420"/>
        <w:jc w:val="left"/>
        <w:rPr>
          <w:rFonts w:ascii="宋体" w:hAnsi="宋体" w:cs="宋体" w:hint="eastAsia"/>
          <w:color w:val="000000"/>
          <w:szCs w:val="21"/>
        </w:rPr>
      </w:pPr>
      <w:r>
        <w:rPr>
          <w:rFonts w:ascii="宋体" w:hAnsi="宋体" w:cs="宋体" w:hint="eastAsia"/>
          <w:color w:val="000000"/>
          <w:szCs w:val="21"/>
        </w:rPr>
        <w:t>（一）</w:t>
      </w:r>
      <w:r>
        <w:rPr>
          <w:rFonts w:ascii="宋体" w:hAnsi="宋体" w:cs="宋体" w:hint="eastAsia"/>
          <w:color w:val="000000"/>
          <w:szCs w:val="21"/>
        </w:rPr>
        <w:t>费率优惠内容</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自</w:t>
      </w:r>
      <w:r>
        <w:rPr>
          <w:rFonts w:ascii="宋体" w:hAnsi="宋体" w:cs="宋体" w:hint="eastAsia"/>
          <w:color w:val="000000"/>
          <w:szCs w:val="21"/>
        </w:rPr>
        <w:t>2021</w:t>
      </w:r>
      <w:r>
        <w:rPr>
          <w:rFonts w:ascii="宋体" w:hAnsi="宋体" w:cs="宋体" w:hint="eastAsia"/>
          <w:color w:val="000000"/>
          <w:szCs w:val="21"/>
        </w:rPr>
        <w:t>年</w:t>
      </w:r>
      <w:r>
        <w:rPr>
          <w:rFonts w:ascii="宋体" w:hAnsi="宋体" w:cs="宋体" w:hint="eastAsia"/>
          <w:color w:val="000000"/>
          <w:szCs w:val="21"/>
        </w:rPr>
        <w:t>8</w:t>
      </w:r>
      <w:r>
        <w:rPr>
          <w:rFonts w:ascii="宋体" w:hAnsi="宋体" w:cs="宋体" w:hint="eastAsia"/>
          <w:color w:val="000000"/>
          <w:szCs w:val="21"/>
        </w:rPr>
        <w:t>月</w:t>
      </w:r>
      <w:r>
        <w:rPr>
          <w:rFonts w:ascii="宋体" w:hAnsi="宋体" w:cs="宋体" w:hint="eastAsia"/>
          <w:color w:val="000000"/>
          <w:szCs w:val="21"/>
        </w:rPr>
        <w:t>31</w:t>
      </w:r>
      <w:r>
        <w:rPr>
          <w:rFonts w:ascii="宋体" w:hAnsi="宋体" w:cs="宋体" w:hint="eastAsia"/>
          <w:color w:val="000000"/>
          <w:szCs w:val="21"/>
        </w:rPr>
        <w:t>日</w:t>
      </w:r>
      <w:r>
        <w:rPr>
          <w:rFonts w:ascii="宋体" w:hAnsi="宋体" w:cs="宋体" w:hint="eastAsia"/>
          <w:color w:val="000000"/>
          <w:szCs w:val="21"/>
        </w:rPr>
        <w:t>起，投资者通过</w:t>
      </w:r>
      <w:r>
        <w:rPr>
          <w:rFonts w:ascii="宋体" w:hAnsi="宋体" w:cs="宋体" w:hint="eastAsia"/>
          <w:color w:val="000000"/>
          <w:szCs w:val="21"/>
        </w:rPr>
        <w:t>度小满基金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申购（含定期定额申购）</w:t>
      </w:r>
      <w:r>
        <w:rPr>
          <w:rFonts w:ascii="宋体" w:hAnsi="宋体" w:cs="宋体" w:hint="eastAsia"/>
          <w:color w:val="000000"/>
          <w:szCs w:val="21"/>
        </w:rPr>
        <w:t>、转换</w:t>
      </w:r>
      <w:r>
        <w:rPr>
          <w:rFonts w:ascii="宋体" w:hAnsi="宋体" w:cs="宋体" w:hint="eastAsia"/>
          <w:color w:val="000000"/>
          <w:szCs w:val="21"/>
        </w:rPr>
        <w:t>本公司旗下基金，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申购费率</w:t>
      </w:r>
      <w:r>
        <w:rPr>
          <w:rFonts w:ascii="宋体" w:hAnsi="宋体" w:cs="宋体" w:hint="eastAsia"/>
          <w:color w:val="000000"/>
          <w:szCs w:val="21"/>
        </w:rPr>
        <w:t>、</w:t>
      </w:r>
      <w:r>
        <w:rPr>
          <w:rFonts w:ascii="宋体" w:hAnsi="宋体" w:cs="宋体"/>
          <w:color w:val="000000"/>
          <w:szCs w:val="21"/>
          <w:shd w:val="clear" w:color="auto" w:fill="FFFFFF"/>
        </w:rPr>
        <w:t>转出与转入基金的申购费补差费率</w:t>
      </w:r>
      <w:r>
        <w:rPr>
          <w:rFonts w:ascii="宋体" w:hAnsi="宋体" w:cs="宋体" w:hint="eastAsia"/>
          <w:color w:val="000000"/>
          <w:szCs w:val="21"/>
        </w:rPr>
        <w:t>我司后台不设折扣限制，以</w:t>
      </w:r>
      <w:r>
        <w:rPr>
          <w:rFonts w:ascii="宋体" w:hAnsi="宋体" w:cs="宋体" w:hint="eastAsia"/>
          <w:color w:val="000000"/>
          <w:szCs w:val="21"/>
        </w:rPr>
        <w:t>度小满基金</w:t>
      </w:r>
      <w:r>
        <w:rPr>
          <w:rFonts w:ascii="宋体" w:hAnsi="宋体" w:cs="宋体" w:hint="eastAsia"/>
          <w:color w:val="000000"/>
          <w:szCs w:val="21"/>
        </w:rPr>
        <w:t>上报费率为准。具体</w:t>
      </w:r>
      <w:r>
        <w:rPr>
          <w:rFonts w:ascii="宋体" w:hAnsi="宋体" w:cs="宋体" w:hint="eastAsia"/>
          <w:color w:val="000000"/>
          <w:szCs w:val="21"/>
        </w:rPr>
        <w:t>参与费率优惠的基金名称及</w:t>
      </w:r>
      <w:r>
        <w:rPr>
          <w:rFonts w:ascii="宋体" w:hAnsi="宋体" w:cs="宋体" w:hint="eastAsia"/>
          <w:color w:val="000000"/>
          <w:szCs w:val="21"/>
        </w:rPr>
        <w:t>折扣费率请参见</w:t>
      </w:r>
      <w:r>
        <w:rPr>
          <w:rFonts w:ascii="宋体" w:hAnsi="宋体" w:cs="宋体" w:hint="eastAsia"/>
          <w:color w:val="000000"/>
          <w:szCs w:val="21"/>
        </w:rPr>
        <w:t>度小满基金</w:t>
      </w:r>
      <w:r>
        <w:rPr>
          <w:rFonts w:ascii="宋体" w:hAnsi="宋体" w:cs="宋体" w:hint="eastAsia"/>
          <w:color w:val="000000"/>
          <w:szCs w:val="21"/>
        </w:rPr>
        <w:t>相关公告。基金原费率请详见基金合同、招募说明书（更新）等法律文件，以及本公司发布的最新业务公告。</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费率优惠期限内，如本公司</w:t>
      </w:r>
      <w:r>
        <w:rPr>
          <w:rFonts w:ascii="宋体" w:hAnsi="宋体" w:cs="宋体" w:hint="eastAsia"/>
          <w:color w:val="000000"/>
          <w:szCs w:val="21"/>
        </w:rPr>
        <w:t>新增通过</w:t>
      </w:r>
      <w:r>
        <w:rPr>
          <w:rFonts w:ascii="宋体" w:hAnsi="宋体" w:cs="宋体" w:hint="eastAsia"/>
          <w:color w:val="000000"/>
          <w:szCs w:val="21"/>
        </w:rPr>
        <w:t>度小满基金</w:t>
      </w:r>
      <w:r>
        <w:rPr>
          <w:rFonts w:ascii="宋体" w:hAnsi="宋体" w:cs="宋体" w:hint="eastAsia"/>
          <w:color w:val="000000"/>
          <w:szCs w:val="21"/>
        </w:rPr>
        <w:t>代销的基金产品，则自该基金产品开放申购当日起，将同时开通该基金上述费率优惠。</w:t>
      </w:r>
      <w:r>
        <w:rPr>
          <w:rFonts w:ascii="宋体" w:hAnsi="宋体" w:cs="宋体" w:hint="eastAsia"/>
          <w:color w:val="000000"/>
          <w:szCs w:val="21"/>
        </w:rPr>
        <w:t>费率优惠期限</w:t>
      </w:r>
      <w:r>
        <w:rPr>
          <w:rFonts w:ascii="宋体" w:hAnsi="宋体" w:cs="宋体" w:hint="eastAsia"/>
          <w:color w:val="000000"/>
          <w:szCs w:val="21"/>
        </w:rPr>
        <w:t>以</w:t>
      </w:r>
      <w:r>
        <w:rPr>
          <w:rFonts w:ascii="宋体" w:hAnsi="宋体" w:cs="宋体" w:hint="eastAsia"/>
          <w:color w:val="000000"/>
          <w:szCs w:val="21"/>
        </w:rPr>
        <w:t>度小满基金</w:t>
      </w:r>
      <w:r>
        <w:rPr>
          <w:rFonts w:ascii="宋体" w:hAnsi="宋体" w:cs="宋体" w:hint="eastAsia"/>
          <w:color w:val="000000"/>
          <w:szCs w:val="21"/>
        </w:rPr>
        <w:t>官方网站所示公告为准。</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（二）重要提示</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1</w:t>
      </w:r>
      <w:r>
        <w:rPr>
          <w:rFonts w:ascii="宋体" w:hAnsi="宋体" w:cs="宋体" w:hint="eastAsia"/>
          <w:color w:val="000000"/>
          <w:szCs w:val="21"/>
        </w:rPr>
        <w:t>、本费率优惠仅适用于我司产品在</w:t>
      </w:r>
      <w:r>
        <w:rPr>
          <w:rFonts w:ascii="宋体" w:hAnsi="宋体" w:cs="宋体" w:hint="eastAsia"/>
          <w:color w:val="000000"/>
          <w:szCs w:val="21"/>
        </w:rPr>
        <w:t>度小满基金</w:t>
      </w:r>
      <w:r>
        <w:rPr>
          <w:rFonts w:ascii="宋体" w:hAnsi="宋体" w:cs="宋体" w:hint="eastAsia"/>
          <w:color w:val="000000"/>
          <w:szCs w:val="21"/>
        </w:rPr>
        <w:t>处于正常申购期的基金产品的前端收费模式的申购手续费（含定期定额申购）</w:t>
      </w:r>
      <w:r>
        <w:rPr>
          <w:rFonts w:ascii="宋体" w:hAnsi="宋体" w:cs="宋体" w:hint="eastAsia"/>
          <w:color w:val="000000"/>
          <w:szCs w:val="21"/>
        </w:rPr>
        <w:t>、处于基金募集期的基金认购费及基金转换的申购补差费</w:t>
      </w:r>
      <w:r>
        <w:rPr>
          <w:rFonts w:ascii="宋体" w:hAnsi="宋体" w:cs="宋体" w:hint="eastAsia"/>
          <w:color w:val="000000"/>
          <w:szCs w:val="21"/>
        </w:rPr>
        <w:t>。</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2</w:t>
      </w:r>
      <w:r>
        <w:rPr>
          <w:rFonts w:ascii="宋体" w:hAnsi="宋体" w:cs="宋体" w:hint="eastAsia"/>
          <w:color w:val="000000"/>
          <w:szCs w:val="21"/>
        </w:rPr>
        <w:t>、本费率优惠仅适用于我司产品在</w:t>
      </w:r>
      <w:r>
        <w:rPr>
          <w:rFonts w:ascii="宋体" w:hAnsi="宋体" w:cs="宋体" w:hint="eastAsia"/>
          <w:color w:val="000000"/>
          <w:szCs w:val="21"/>
        </w:rPr>
        <w:t>度小满基金</w:t>
      </w:r>
      <w:r>
        <w:rPr>
          <w:rFonts w:ascii="宋体" w:hAnsi="宋体" w:cs="宋体" w:hint="eastAsia"/>
          <w:color w:val="000000"/>
          <w:szCs w:val="21"/>
        </w:rPr>
        <w:t>(</w:t>
      </w:r>
      <w:r>
        <w:rPr>
          <w:rFonts w:ascii="宋体" w:hAnsi="宋体" w:cs="宋体" w:hint="eastAsia"/>
          <w:color w:val="000000"/>
          <w:szCs w:val="21"/>
        </w:rPr>
        <w:t>认）</w:t>
      </w:r>
      <w:r>
        <w:rPr>
          <w:rFonts w:ascii="宋体" w:hAnsi="宋体" w:cs="宋体" w:hint="eastAsia"/>
          <w:color w:val="000000"/>
          <w:szCs w:val="21"/>
        </w:rPr>
        <w:t>申购业务的手续费，不包括基金赎回等其他业务的手续费。</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shd w:val="clear" w:color="auto" w:fill="FFFFFF"/>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基金转换是指基金份额持有人按照《基金合同》和基金管理人有效公告规定的条件，申请将其持</w:t>
      </w:r>
      <w:r>
        <w:rPr>
          <w:rFonts w:ascii="宋体" w:hAnsi="宋体" w:cs="宋体" w:hint="eastAsia"/>
          <w:color w:val="000000"/>
          <w:szCs w:val="21"/>
        </w:rPr>
        <w:t>有基金管理人管理的、某一基金的基金份额转为基金管理人管理的、且由同一注册登记机构办理注册登记的其他基金基金份额的行为。</w:t>
      </w:r>
      <w:r>
        <w:rPr>
          <w:rFonts w:ascii="宋体" w:hAnsi="宋体" w:cs="宋体"/>
          <w:color w:val="000000"/>
          <w:szCs w:val="21"/>
          <w:shd w:val="clear" w:color="auto" w:fill="FFFFFF"/>
        </w:rPr>
        <w:t>基金转换业务规则与转换费用请仔细阅读各基金的基金合同、更新的招募说明书等法律文件及相关公告</w:t>
      </w:r>
      <w:r>
        <w:rPr>
          <w:rFonts w:ascii="宋体" w:hAnsi="宋体" w:cs="宋体" w:hint="eastAsia"/>
          <w:color w:val="000000"/>
          <w:szCs w:val="21"/>
          <w:shd w:val="clear" w:color="auto" w:fill="FFFFFF"/>
        </w:rPr>
        <w:t>。</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4</w:t>
      </w:r>
      <w:r>
        <w:rPr>
          <w:rFonts w:ascii="宋体" w:hAnsi="宋体" w:cs="宋体" w:hint="eastAsia"/>
          <w:color w:val="000000"/>
          <w:szCs w:val="21"/>
          <w:shd w:val="clear" w:color="auto" w:fill="FFFFFF"/>
        </w:rPr>
        <w:t>、</w:t>
      </w:r>
      <w:r>
        <w:rPr>
          <w:rFonts w:ascii="宋体" w:hAnsi="宋体" w:cs="宋体"/>
          <w:color w:val="000000"/>
          <w:szCs w:val="21"/>
          <w:shd w:val="clear" w:color="auto" w:fill="FFFFFF"/>
        </w:rPr>
        <w:t>基金申购补差费用是基金转换费用的一部分。申购补差费用按照转换金额对应的转出基金与转入基金的申购费率差额进行补差，具体收取情况视每次转换时两只基金的申购费率的差异情况而定。转入基金时，从申购费用低的基金向申购费用高的基金转换时，每次收取申购补差费用；从申购费用高的基金向申购费用低的基金转换时，不收</w:t>
      </w:r>
      <w:r>
        <w:rPr>
          <w:rFonts w:ascii="宋体" w:hAnsi="宋体" w:cs="宋体"/>
          <w:color w:val="000000"/>
          <w:szCs w:val="21"/>
          <w:shd w:val="clear" w:color="auto" w:fill="FFFFFF"/>
        </w:rPr>
        <w:t>取申购补差费用。</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5</w:t>
      </w:r>
      <w:r>
        <w:rPr>
          <w:rFonts w:ascii="宋体" w:hAnsi="宋体" w:cs="宋体" w:hint="eastAsia"/>
          <w:color w:val="000000"/>
          <w:szCs w:val="21"/>
        </w:rPr>
        <w:t>、费率优惠解释权归</w:t>
      </w:r>
      <w:r>
        <w:rPr>
          <w:rFonts w:ascii="宋体" w:hAnsi="宋体" w:cs="宋体" w:hint="eastAsia"/>
          <w:color w:val="000000"/>
          <w:szCs w:val="21"/>
        </w:rPr>
        <w:t>度小满基金</w:t>
      </w:r>
      <w:r>
        <w:rPr>
          <w:rFonts w:ascii="宋体" w:hAnsi="宋体" w:cs="宋体" w:hint="eastAsia"/>
          <w:color w:val="000000"/>
          <w:szCs w:val="21"/>
        </w:rPr>
        <w:t>所有，有关费率优惠的具体规定如有变化，敬请投资者留意前述代销机构的有关规定。</w:t>
      </w:r>
      <w:r>
        <w:rPr>
          <w:rFonts w:ascii="宋体" w:hAnsi="宋体" w:cs="宋体" w:hint="eastAsia"/>
          <w:color w:val="000000"/>
          <w:szCs w:val="21"/>
        </w:rPr>
        <w:t xml:space="preserve"> </w:t>
      </w:r>
    </w:p>
    <w:p w:rsidR="00000000" w:rsidRDefault="001152F5">
      <w:pPr>
        <w:tabs>
          <w:tab w:val="left" w:pos="720"/>
        </w:tabs>
        <w:autoSpaceDE w:val="0"/>
        <w:autoSpaceDN w:val="0"/>
        <w:adjustRightInd w:val="0"/>
        <w:spacing w:line="360" w:lineRule="auto"/>
        <w:ind w:right="18" w:firstLineChars="200" w:firstLine="420"/>
        <w:jc w:val="left"/>
        <w:rPr>
          <w:rFonts w:ascii="宋体" w:hAnsi="宋体" w:cs="宋体" w:hint="eastAsia"/>
          <w:color w:val="000000"/>
          <w:szCs w:val="21"/>
        </w:rPr>
      </w:pPr>
      <w:r>
        <w:rPr>
          <w:rFonts w:ascii="宋体" w:hAnsi="宋体" w:cs="宋体" w:hint="eastAsia"/>
          <w:color w:val="000000"/>
          <w:szCs w:val="21"/>
        </w:rPr>
        <w:t>6</w:t>
      </w:r>
      <w:r>
        <w:rPr>
          <w:rFonts w:ascii="宋体" w:hAnsi="宋体" w:cs="宋体" w:hint="eastAsia"/>
          <w:color w:val="000000"/>
          <w:szCs w:val="21"/>
        </w:rPr>
        <w:t>、费率优惠期间，业务办理的流程以</w:t>
      </w:r>
      <w:r>
        <w:rPr>
          <w:rFonts w:ascii="宋体" w:hAnsi="宋体" w:cs="宋体" w:hint="eastAsia"/>
          <w:color w:val="000000"/>
          <w:szCs w:val="21"/>
        </w:rPr>
        <w:t>度小满基金</w:t>
      </w:r>
      <w:r>
        <w:rPr>
          <w:rFonts w:ascii="宋体" w:hAnsi="宋体" w:cs="宋体" w:hint="eastAsia"/>
          <w:color w:val="000000"/>
          <w:szCs w:val="21"/>
        </w:rPr>
        <w:t>的规定为准。投资者欲了解基金产品的详细情况，请仔细阅读基金的基金合同、招募说明书等法律文件。</w:t>
      </w:r>
      <w:r>
        <w:rPr>
          <w:rFonts w:ascii="宋体" w:hAnsi="宋体" w:cs="宋体" w:hint="eastAsia"/>
          <w:color w:val="000000"/>
          <w:szCs w:val="21"/>
        </w:rPr>
        <w:t xml:space="preserve"> </w:t>
      </w:r>
    </w:p>
    <w:p w:rsidR="00000000" w:rsidRDefault="001152F5">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p>
    <w:p w:rsidR="00000000" w:rsidRDefault="001152F5">
      <w:pPr>
        <w:tabs>
          <w:tab w:val="left" w:pos="720"/>
        </w:tabs>
        <w:autoSpaceDE w:val="0"/>
        <w:autoSpaceDN w:val="0"/>
        <w:adjustRightInd w:val="0"/>
        <w:spacing w:line="400" w:lineRule="exact"/>
        <w:ind w:right="18" w:firstLineChars="200" w:firstLine="420"/>
        <w:jc w:val="left"/>
        <w:rPr>
          <w:rFonts w:ascii="宋体" w:hAnsi="宋体" w:cs="宋体" w:hint="eastAsia"/>
          <w:color w:val="000000"/>
          <w:szCs w:val="21"/>
        </w:rPr>
      </w:pPr>
      <w:r>
        <w:rPr>
          <w:rFonts w:ascii="宋体" w:hAnsi="宋体" w:cs="宋体" w:hint="eastAsia"/>
          <w:color w:val="000000"/>
          <w:szCs w:val="21"/>
        </w:rPr>
        <w:t>五</w:t>
      </w:r>
      <w:r>
        <w:rPr>
          <w:rFonts w:ascii="宋体" w:hAnsi="宋体" w:cs="宋体" w:hint="eastAsia"/>
          <w:color w:val="000000"/>
          <w:szCs w:val="21"/>
        </w:rPr>
        <w:t>、投资者可通过以下途径了解或咨询相关情况</w:t>
      </w:r>
      <w:r>
        <w:rPr>
          <w:rFonts w:ascii="宋体" w:hAnsi="宋体" w:cs="宋体" w:hint="eastAsia"/>
          <w:color w:val="000000"/>
          <w:szCs w:val="21"/>
        </w:rPr>
        <w:t xml:space="preserve"> </w:t>
      </w:r>
    </w:p>
    <w:p w:rsidR="00000000" w:rsidRDefault="001152F5">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1</w:t>
      </w:r>
      <w:r>
        <w:rPr>
          <w:rFonts w:ascii="宋体" w:hAnsi="宋体" w:cs="宋体" w:hint="eastAsia"/>
          <w:kern w:val="0"/>
          <w:szCs w:val="21"/>
        </w:rPr>
        <w:t>、北京度小满基金销售有限公司</w:t>
      </w:r>
    </w:p>
    <w:p w:rsidR="00000000" w:rsidRDefault="001152F5">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 xml:space="preserve">   </w:t>
      </w:r>
      <w:r>
        <w:rPr>
          <w:rFonts w:ascii="宋体" w:hAnsi="宋体" w:cs="宋体" w:hint="eastAsia"/>
          <w:kern w:val="0"/>
          <w:szCs w:val="21"/>
        </w:rPr>
        <w:t>客户服务热线：</w:t>
      </w:r>
      <w:r>
        <w:rPr>
          <w:rFonts w:ascii="宋体" w:hAnsi="宋体" w:cs="宋体" w:hint="eastAsia"/>
          <w:kern w:val="0"/>
          <w:szCs w:val="21"/>
        </w:rPr>
        <w:t>95055-4</w:t>
      </w:r>
    </w:p>
    <w:p w:rsidR="00000000" w:rsidRDefault="001152F5">
      <w:pPr>
        <w:spacing w:line="400" w:lineRule="exact"/>
        <w:ind w:firstLineChars="304" w:firstLine="638"/>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kern w:val="0"/>
          <w:szCs w:val="21"/>
        </w:rPr>
        <w:t>公司网址：</w:t>
      </w:r>
      <w:hyperlink r:id="rId7" w:history="1">
        <w:r>
          <w:rPr>
            <w:rFonts w:ascii="宋体" w:hAnsi="宋体" w:cs="宋体" w:hint="eastAsia"/>
            <w:kern w:val="0"/>
            <w:szCs w:val="21"/>
          </w:rPr>
          <w:t>www.duxi</w:t>
        </w:r>
        <w:r>
          <w:rPr>
            <w:rFonts w:ascii="宋体" w:hAnsi="宋体" w:cs="宋体" w:hint="eastAsia"/>
            <w:kern w:val="0"/>
            <w:szCs w:val="21"/>
          </w:rPr>
          <w:t>aomanfund.com</w:t>
        </w:r>
      </w:hyperlink>
      <w:hyperlink r:id="rId8" w:history="1"/>
    </w:p>
    <w:p w:rsidR="00000000" w:rsidRDefault="001152F5">
      <w:pPr>
        <w:spacing w:line="400" w:lineRule="exact"/>
        <w:ind w:firstLineChars="304" w:firstLine="638"/>
        <w:rPr>
          <w:rFonts w:ascii="宋体" w:hAnsi="宋体" w:cs="宋体" w:hint="eastAsia"/>
          <w:kern w:val="0"/>
          <w:szCs w:val="21"/>
        </w:rPr>
      </w:pPr>
    </w:p>
    <w:p w:rsidR="00000000" w:rsidRDefault="001152F5">
      <w:pPr>
        <w:spacing w:line="400" w:lineRule="exact"/>
        <w:ind w:firstLineChars="200" w:firstLine="420"/>
        <w:rPr>
          <w:rFonts w:ascii="宋体" w:hAnsi="宋体" w:cs="宋体" w:hint="eastAsia"/>
          <w:kern w:val="0"/>
          <w:szCs w:val="21"/>
        </w:rPr>
      </w:pPr>
      <w:r>
        <w:rPr>
          <w:rFonts w:ascii="宋体" w:hAnsi="宋体" w:cs="宋体" w:hint="eastAsia"/>
          <w:kern w:val="0"/>
          <w:szCs w:val="21"/>
        </w:rPr>
        <w:t>2</w:t>
      </w:r>
      <w:r>
        <w:rPr>
          <w:rFonts w:ascii="宋体" w:hAnsi="宋体" w:cs="宋体" w:hint="eastAsia"/>
          <w:kern w:val="0"/>
          <w:szCs w:val="21"/>
        </w:rPr>
        <w:t>、</w:t>
      </w:r>
      <w:r>
        <w:rPr>
          <w:rFonts w:ascii="宋体" w:hAnsi="宋体" w:cs="宋体" w:hint="eastAsia"/>
          <w:kern w:val="0"/>
          <w:szCs w:val="21"/>
        </w:rPr>
        <w:t>东吴基金管理有限公司</w:t>
      </w:r>
      <w:r>
        <w:rPr>
          <w:rFonts w:ascii="宋体" w:hAnsi="宋体" w:cs="宋体" w:hint="eastAsia"/>
          <w:kern w:val="0"/>
          <w:szCs w:val="21"/>
        </w:rPr>
        <w:t xml:space="preserve"> </w:t>
      </w:r>
    </w:p>
    <w:p w:rsidR="00000000" w:rsidRDefault="001152F5">
      <w:pPr>
        <w:spacing w:line="400" w:lineRule="exact"/>
        <w:rPr>
          <w:rFonts w:ascii="宋体" w:hAnsi="宋体" w:cs="宋体" w:hint="eastAsia"/>
          <w:kern w:val="0"/>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客户服务热线：</w:t>
      </w:r>
      <w:r>
        <w:rPr>
          <w:rFonts w:ascii="宋体" w:hAnsi="宋体" w:cs="宋体" w:hint="eastAsia"/>
          <w:kern w:val="0"/>
          <w:szCs w:val="21"/>
        </w:rPr>
        <w:t>400-821-0588</w:t>
      </w:r>
      <w:r>
        <w:rPr>
          <w:rFonts w:ascii="宋体" w:hAnsi="宋体" w:cs="宋体" w:hint="eastAsia"/>
          <w:kern w:val="0"/>
          <w:szCs w:val="21"/>
        </w:rPr>
        <w:t>（免长途话费）</w:t>
      </w:r>
    </w:p>
    <w:p w:rsidR="00000000" w:rsidRDefault="001152F5">
      <w:pPr>
        <w:spacing w:line="400" w:lineRule="exact"/>
        <w:rPr>
          <w:rFonts w:ascii="宋体" w:hAnsi="宋体" w:cs="宋体" w:hint="eastAsia"/>
          <w:szCs w:val="21"/>
        </w:rPr>
      </w:pPr>
      <w:r>
        <w:rPr>
          <w:rFonts w:ascii="宋体" w:hAnsi="宋体" w:cs="宋体" w:hint="eastAsia"/>
          <w:kern w:val="0"/>
          <w:szCs w:val="21"/>
        </w:rPr>
        <w:t xml:space="preserve">　　</w:t>
      </w:r>
      <w:r>
        <w:rPr>
          <w:rFonts w:ascii="宋体" w:hAnsi="宋体" w:cs="宋体" w:hint="eastAsia"/>
          <w:szCs w:val="21"/>
        </w:rPr>
        <w:t xml:space="preserve">   </w:t>
      </w:r>
      <w:r>
        <w:rPr>
          <w:rFonts w:ascii="宋体" w:hAnsi="宋体" w:cs="宋体" w:hint="eastAsia"/>
          <w:kern w:val="0"/>
          <w:szCs w:val="21"/>
        </w:rPr>
        <w:t>公司网址：</w:t>
      </w:r>
      <w:hyperlink r:id="rId9" w:history="1">
        <w:r>
          <w:rPr>
            <w:rFonts w:ascii="宋体" w:hAnsi="宋体" w:cs="宋体" w:hint="eastAsia"/>
            <w:szCs w:val="21"/>
          </w:rPr>
          <w:t>www.scfund.com.cn</w:t>
        </w:r>
      </w:hyperlink>
    </w:p>
    <w:p w:rsidR="00000000" w:rsidRDefault="001152F5">
      <w:pPr>
        <w:spacing w:line="360" w:lineRule="auto"/>
        <w:ind w:firstLineChars="200" w:firstLine="420"/>
        <w:rPr>
          <w:rFonts w:ascii="宋体" w:hAnsi="宋体" w:cs="宋体" w:hint="eastAsia"/>
          <w:color w:val="000000"/>
          <w:kern w:val="0"/>
          <w:szCs w:val="21"/>
        </w:rPr>
      </w:pPr>
    </w:p>
    <w:p w:rsidR="00000000" w:rsidRDefault="001152F5">
      <w:pPr>
        <w:spacing w:line="360" w:lineRule="auto"/>
        <w:ind w:firstLineChars="200" w:firstLine="420"/>
        <w:rPr>
          <w:rFonts w:ascii="宋体" w:hAnsi="宋体" w:cs="宋体" w:hint="eastAsia"/>
          <w:color w:val="000000"/>
          <w:kern w:val="0"/>
          <w:szCs w:val="21"/>
        </w:rPr>
      </w:pPr>
      <w:r>
        <w:rPr>
          <w:rFonts w:ascii="宋体" w:hAnsi="宋体" w:cs="宋体" w:hint="eastAsia"/>
          <w:color w:val="000000"/>
          <w:kern w:val="0"/>
          <w:szCs w:val="21"/>
        </w:rPr>
        <w:t>六</w:t>
      </w:r>
      <w:r>
        <w:rPr>
          <w:rFonts w:ascii="宋体" w:hAnsi="宋体" w:cs="宋体" w:hint="eastAsia"/>
          <w:color w:val="000000"/>
          <w:kern w:val="0"/>
          <w:szCs w:val="21"/>
        </w:rPr>
        <w:t>、风险提示</w:t>
      </w:r>
    </w:p>
    <w:p w:rsidR="00000000" w:rsidRDefault="001152F5">
      <w:pPr>
        <w:spacing w:line="360" w:lineRule="auto"/>
        <w:ind w:firstLineChars="200" w:firstLine="420"/>
        <w:rPr>
          <w:rFonts w:ascii="宋体" w:hAnsi="宋体" w:cs="宋体" w:hint="eastAsia"/>
          <w:szCs w:val="21"/>
        </w:rPr>
      </w:pPr>
      <w:r>
        <w:rPr>
          <w:rFonts w:ascii="宋体" w:hAnsi="宋体" w:cs="宋体" w:hint="eastAsia"/>
          <w:color w:val="000000"/>
          <w:kern w:val="0"/>
          <w:szCs w:val="21"/>
        </w:rPr>
        <w:t>本公司承诺以诚实信用、勤勉尽责的原则管理和运用基金资产，但不保证基金一定盈利，也不保证最低收益。敬请投资者在投资前认真阅读我司旗下基金的《基金合同》和《招募说</w:t>
      </w:r>
      <w:r>
        <w:rPr>
          <w:rFonts w:ascii="宋体" w:hAnsi="宋体" w:cs="宋体" w:hint="eastAsia"/>
          <w:color w:val="000000"/>
          <w:kern w:val="0"/>
          <w:szCs w:val="21"/>
        </w:rPr>
        <w:t>明书》</w:t>
      </w:r>
      <w:r>
        <w:rPr>
          <w:rFonts w:ascii="宋体" w:hAnsi="宋体" w:cs="宋体" w:hint="eastAsia"/>
          <w:szCs w:val="21"/>
        </w:rPr>
        <w:t>。</w:t>
      </w:r>
    </w:p>
    <w:p w:rsidR="00000000" w:rsidRDefault="001152F5">
      <w:pPr>
        <w:spacing w:line="400" w:lineRule="exact"/>
        <w:rPr>
          <w:rFonts w:ascii="宋体" w:hAnsi="宋体" w:cs="宋体" w:hint="eastAsia"/>
          <w:szCs w:val="21"/>
        </w:rPr>
      </w:pPr>
      <w:r>
        <w:rPr>
          <w:rFonts w:ascii="宋体" w:hAnsi="宋体" w:cs="宋体" w:hint="eastAsia"/>
          <w:szCs w:val="21"/>
        </w:rPr>
        <w:t xml:space="preserve">     </w:t>
      </w:r>
    </w:p>
    <w:p w:rsidR="00000000" w:rsidRDefault="001152F5">
      <w:pPr>
        <w:spacing w:line="400" w:lineRule="exac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特此公告。</w:t>
      </w:r>
      <w:r>
        <w:rPr>
          <w:rFonts w:ascii="宋体" w:hAnsi="宋体" w:cs="宋体" w:hint="eastAsia"/>
          <w:szCs w:val="21"/>
        </w:rPr>
        <w:t xml:space="preserve"> </w:t>
      </w:r>
    </w:p>
    <w:p w:rsidR="00000000" w:rsidRDefault="001152F5">
      <w:pPr>
        <w:spacing w:line="400" w:lineRule="exact"/>
        <w:rPr>
          <w:rFonts w:ascii="宋体" w:hAnsi="宋体" w:cs="宋体" w:hint="eastAsia"/>
          <w:szCs w:val="21"/>
        </w:rPr>
      </w:pPr>
    </w:p>
    <w:p w:rsidR="00000000" w:rsidRDefault="001152F5">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东吴基金管理有限公司</w:t>
      </w:r>
    </w:p>
    <w:p w:rsidR="00000000" w:rsidRDefault="001152F5">
      <w:pPr>
        <w:spacing w:line="400" w:lineRule="exact"/>
        <w:jc w:val="right"/>
        <w:rPr>
          <w:rFonts w:ascii="宋体" w:hAnsi="宋体" w:cs="宋体" w:hint="eastAsia"/>
          <w:szCs w:val="21"/>
        </w:rPr>
      </w:pPr>
      <w:r>
        <w:rPr>
          <w:rFonts w:ascii="宋体" w:hAnsi="宋体" w:cs="宋体" w:hint="eastAsia"/>
          <w:szCs w:val="21"/>
        </w:rPr>
        <w:t xml:space="preserve">                                      </w:t>
      </w:r>
      <w:r>
        <w:rPr>
          <w:rFonts w:ascii="宋体" w:hAnsi="宋体" w:cs="宋体" w:hint="eastAsia"/>
          <w:szCs w:val="21"/>
        </w:rPr>
        <w:t>2021</w:t>
      </w:r>
      <w:r>
        <w:rPr>
          <w:rFonts w:ascii="宋体" w:hAnsi="宋体" w:cs="宋体" w:hint="eastAsia"/>
          <w:szCs w:val="21"/>
        </w:rPr>
        <w:t>年</w:t>
      </w:r>
      <w:r>
        <w:rPr>
          <w:rFonts w:ascii="宋体" w:hAnsi="宋体" w:cs="宋体" w:hint="eastAsia"/>
          <w:szCs w:val="21"/>
        </w:rPr>
        <w:t>8</w:t>
      </w:r>
      <w:r>
        <w:rPr>
          <w:rFonts w:ascii="宋体" w:hAnsi="宋体" w:cs="宋体" w:hint="eastAsia"/>
          <w:szCs w:val="21"/>
        </w:rPr>
        <w:t>月</w:t>
      </w:r>
      <w:r>
        <w:rPr>
          <w:rFonts w:ascii="宋体" w:hAnsi="宋体" w:cs="宋体" w:hint="eastAsia"/>
          <w:szCs w:val="21"/>
        </w:rPr>
        <w:t>28</w:t>
      </w:r>
      <w:r>
        <w:rPr>
          <w:rFonts w:ascii="宋体" w:hAnsi="宋体" w:cs="宋体" w:hint="eastAsia"/>
          <w:szCs w:val="21"/>
        </w:rPr>
        <w:t>日</w:t>
      </w:r>
    </w:p>
    <w:sectPr w:rsidR="0000000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2F5" w:rsidRPr="001152F5" w:rsidRDefault="001152F5" w:rsidP="001152F5">
      <w:pPr>
        <w:rPr>
          <w:sz w:val="24"/>
        </w:rPr>
      </w:pPr>
      <w:r>
        <w:separator/>
      </w:r>
    </w:p>
  </w:endnote>
  <w:endnote w:type="continuationSeparator" w:id="0">
    <w:p w:rsidR="001152F5" w:rsidRPr="001152F5" w:rsidRDefault="001152F5" w:rsidP="001152F5">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ˎ̥">
    <w:altName w:val="Times New Roman"/>
    <w:charset w:val="00"/>
    <w:family w:val="roman"/>
    <w:pitch w:val="default"/>
    <w:sig w:usb0="00000000" w:usb1="00000000" w:usb2="00000000" w:usb3="00000000" w:csb0="00040001" w:csb1="00000000"/>
  </w:font>
  <w:font w:name="方正仿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F5" w:rsidRDefault="001152F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F5" w:rsidRDefault="001152F5">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F5" w:rsidRDefault="001152F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2F5" w:rsidRPr="001152F5" w:rsidRDefault="001152F5" w:rsidP="001152F5">
      <w:pPr>
        <w:rPr>
          <w:sz w:val="24"/>
        </w:rPr>
      </w:pPr>
      <w:r>
        <w:separator/>
      </w:r>
    </w:p>
  </w:footnote>
  <w:footnote w:type="continuationSeparator" w:id="0">
    <w:p w:rsidR="001152F5" w:rsidRPr="001152F5" w:rsidRDefault="001152F5" w:rsidP="001152F5">
      <w:pPr>
        <w:rPr>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F5" w:rsidRDefault="001152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F5" w:rsidRDefault="001152F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F5" w:rsidRDefault="001152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6D637B"/>
    <w:multiLevelType w:val="singleLevel"/>
    <w:tmpl w:val="E86D637B"/>
    <w:lvl w:ilvl="0">
      <w:start w:val="1"/>
      <w:numFmt w:val="decimal"/>
      <w:lvlText w:val="%1."/>
      <w:lvlJc w:val="left"/>
      <w:pPr>
        <w:ind w:left="425" w:hanging="425"/>
      </w:pPr>
      <w:rPr>
        <w:rFonts w:hint="default"/>
      </w:rPr>
    </w:lvl>
  </w:abstractNum>
  <w:abstractNum w:abstractNumId="1">
    <w:nsid w:val="39EB2679"/>
    <w:multiLevelType w:val="multilevel"/>
    <w:tmpl w:val="39EB2679"/>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0" w:firstLine="0"/>
      </w:pPr>
      <w:rPr>
        <w:rFonts w:ascii="宋体" w:eastAsia="宋体" w:hint="eastAsia"/>
        <w:b/>
        <w:i w:val="0"/>
        <w:sz w:val="28"/>
      </w:rPr>
    </w:lvl>
    <w:lvl w:ilvl="2">
      <w:start w:val="1"/>
      <w:numFmt w:val="chineseCountingThousand"/>
      <w:suff w:val="nothing"/>
      <w:lvlText w:val="（%3）"/>
      <w:lvlJc w:val="left"/>
      <w:pPr>
        <w:ind w:left="0" w:firstLine="510"/>
      </w:pPr>
      <w:rPr>
        <w:rFonts w:hint="eastAsia"/>
      </w:rPr>
    </w:lvl>
    <w:lvl w:ilvl="3">
      <w:start w:val="1"/>
      <w:numFmt w:val="decimal"/>
      <w:suff w:val="nothing"/>
      <w:lvlText w:val="%4．"/>
      <w:lvlJc w:val="left"/>
      <w:pPr>
        <w:ind w:left="0" w:firstLine="624"/>
      </w:pPr>
      <w:rPr>
        <w:rFonts w:hint="eastAsia"/>
      </w:rPr>
    </w:lvl>
    <w:lvl w:ilvl="4">
      <w:start w:val="1"/>
      <w:numFmt w:val="decimal"/>
      <w:suff w:val="nothing"/>
      <w:lvlText w:val="（%5）"/>
      <w:lvlJc w:val="left"/>
      <w:pPr>
        <w:ind w:left="57" w:firstLine="510"/>
      </w:pPr>
      <w:rPr>
        <w:rFonts w:hint="eastAsia"/>
        <w:b/>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4B8DC1D"/>
    <w:multiLevelType w:val="singleLevel"/>
    <w:tmpl w:val="54B8DC1D"/>
    <w:lvl w:ilvl="0">
      <w:start w:val="1"/>
      <w:numFmt w:val="decimal"/>
      <w:lvlText w:val="%1."/>
      <w:lvlJc w:val="left"/>
      <w:pPr>
        <w:ind w:left="425" w:hanging="425"/>
      </w:pPr>
      <w:rPr>
        <w:rFonts w:hint="default"/>
      </w:rPr>
    </w:lvl>
  </w:abstractNum>
  <w:abstractNum w:abstractNumId="3">
    <w:nsid w:val="5E28EE34"/>
    <w:multiLevelType w:val="singleLevel"/>
    <w:tmpl w:val="5E28EE34"/>
    <w:lvl w:ilvl="0">
      <w:start w:val="1"/>
      <w:numFmt w:val="decimal"/>
      <w:lvlText w:val="%1."/>
      <w:lvlJc w:val="left"/>
      <w:pPr>
        <w:ind w:left="425" w:hanging="425"/>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trackRevisions/>
  <w:doNotTrackMoves/>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64D"/>
    <w:rsid w:val="00002377"/>
    <w:rsid w:val="0001137F"/>
    <w:rsid w:val="0001592A"/>
    <w:rsid w:val="0009599E"/>
    <w:rsid w:val="000A42E0"/>
    <w:rsid w:val="000B1FB9"/>
    <w:rsid w:val="000D59AC"/>
    <w:rsid w:val="000F612E"/>
    <w:rsid w:val="001152F5"/>
    <w:rsid w:val="00123F4F"/>
    <w:rsid w:val="00174219"/>
    <w:rsid w:val="00180EFA"/>
    <w:rsid w:val="00185A7B"/>
    <w:rsid w:val="001A262C"/>
    <w:rsid w:val="001B0862"/>
    <w:rsid w:val="001B278B"/>
    <w:rsid w:val="001C2706"/>
    <w:rsid w:val="001C6613"/>
    <w:rsid w:val="001D1398"/>
    <w:rsid w:val="002038DF"/>
    <w:rsid w:val="00264D21"/>
    <w:rsid w:val="00286994"/>
    <w:rsid w:val="00293433"/>
    <w:rsid w:val="002B5F30"/>
    <w:rsid w:val="002C2F4D"/>
    <w:rsid w:val="002D2115"/>
    <w:rsid w:val="002D5F30"/>
    <w:rsid w:val="002F49D9"/>
    <w:rsid w:val="00312488"/>
    <w:rsid w:val="00330975"/>
    <w:rsid w:val="00354A87"/>
    <w:rsid w:val="00374201"/>
    <w:rsid w:val="003878A4"/>
    <w:rsid w:val="00393AFF"/>
    <w:rsid w:val="00394115"/>
    <w:rsid w:val="00397F6D"/>
    <w:rsid w:val="003C68FA"/>
    <w:rsid w:val="003F797E"/>
    <w:rsid w:val="004035F4"/>
    <w:rsid w:val="004155AF"/>
    <w:rsid w:val="00434FA4"/>
    <w:rsid w:val="00437AFE"/>
    <w:rsid w:val="004433D6"/>
    <w:rsid w:val="004558F4"/>
    <w:rsid w:val="00471B57"/>
    <w:rsid w:val="004B6426"/>
    <w:rsid w:val="004E1C88"/>
    <w:rsid w:val="00523264"/>
    <w:rsid w:val="00526DF2"/>
    <w:rsid w:val="00532036"/>
    <w:rsid w:val="00553C77"/>
    <w:rsid w:val="00563060"/>
    <w:rsid w:val="005A720A"/>
    <w:rsid w:val="005B3D09"/>
    <w:rsid w:val="005C250A"/>
    <w:rsid w:val="005F6388"/>
    <w:rsid w:val="005F6E1C"/>
    <w:rsid w:val="0062730D"/>
    <w:rsid w:val="0064633D"/>
    <w:rsid w:val="006805B6"/>
    <w:rsid w:val="00686C85"/>
    <w:rsid w:val="0068707E"/>
    <w:rsid w:val="006966C9"/>
    <w:rsid w:val="006B745E"/>
    <w:rsid w:val="006C76F5"/>
    <w:rsid w:val="006D6841"/>
    <w:rsid w:val="006E4A44"/>
    <w:rsid w:val="006E70D0"/>
    <w:rsid w:val="006F62E7"/>
    <w:rsid w:val="007267FF"/>
    <w:rsid w:val="00726A6C"/>
    <w:rsid w:val="00741ED7"/>
    <w:rsid w:val="00745320"/>
    <w:rsid w:val="00757DF8"/>
    <w:rsid w:val="00775E0F"/>
    <w:rsid w:val="007A3EE4"/>
    <w:rsid w:val="007D1EBA"/>
    <w:rsid w:val="007D5E95"/>
    <w:rsid w:val="007F3ED7"/>
    <w:rsid w:val="007F632E"/>
    <w:rsid w:val="00826717"/>
    <w:rsid w:val="00831E1A"/>
    <w:rsid w:val="00837B68"/>
    <w:rsid w:val="008847A9"/>
    <w:rsid w:val="0089461A"/>
    <w:rsid w:val="008D143D"/>
    <w:rsid w:val="008D5D10"/>
    <w:rsid w:val="008E2110"/>
    <w:rsid w:val="008F2B68"/>
    <w:rsid w:val="008F6401"/>
    <w:rsid w:val="008F7008"/>
    <w:rsid w:val="00901D9C"/>
    <w:rsid w:val="00922629"/>
    <w:rsid w:val="00922BB1"/>
    <w:rsid w:val="00932064"/>
    <w:rsid w:val="00941470"/>
    <w:rsid w:val="00956EF3"/>
    <w:rsid w:val="0098011F"/>
    <w:rsid w:val="009C5FD9"/>
    <w:rsid w:val="009E1C84"/>
    <w:rsid w:val="009E6B58"/>
    <w:rsid w:val="009F5CEA"/>
    <w:rsid w:val="00A04D69"/>
    <w:rsid w:val="00A1064D"/>
    <w:rsid w:val="00A140B7"/>
    <w:rsid w:val="00A23CF0"/>
    <w:rsid w:val="00A23F6E"/>
    <w:rsid w:val="00A24F19"/>
    <w:rsid w:val="00A33CF6"/>
    <w:rsid w:val="00A362A8"/>
    <w:rsid w:val="00A46F58"/>
    <w:rsid w:val="00A56789"/>
    <w:rsid w:val="00A66DE2"/>
    <w:rsid w:val="00A90763"/>
    <w:rsid w:val="00AA36E9"/>
    <w:rsid w:val="00AB4D59"/>
    <w:rsid w:val="00AB57C3"/>
    <w:rsid w:val="00AD31E6"/>
    <w:rsid w:val="00AE7776"/>
    <w:rsid w:val="00B0646C"/>
    <w:rsid w:val="00B20C4E"/>
    <w:rsid w:val="00B247B9"/>
    <w:rsid w:val="00B54A3E"/>
    <w:rsid w:val="00B63E86"/>
    <w:rsid w:val="00B7560D"/>
    <w:rsid w:val="00B82CA0"/>
    <w:rsid w:val="00BA13C9"/>
    <w:rsid w:val="00BB6BBB"/>
    <w:rsid w:val="00BD031D"/>
    <w:rsid w:val="00BD7E83"/>
    <w:rsid w:val="00BE6693"/>
    <w:rsid w:val="00BE76E5"/>
    <w:rsid w:val="00C165AF"/>
    <w:rsid w:val="00C17BA5"/>
    <w:rsid w:val="00C2200A"/>
    <w:rsid w:val="00C42510"/>
    <w:rsid w:val="00C52319"/>
    <w:rsid w:val="00C5547D"/>
    <w:rsid w:val="00C5667B"/>
    <w:rsid w:val="00C56FF7"/>
    <w:rsid w:val="00C6298D"/>
    <w:rsid w:val="00C63722"/>
    <w:rsid w:val="00C65C6A"/>
    <w:rsid w:val="00CC7510"/>
    <w:rsid w:val="00CD3BB0"/>
    <w:rsid w:val="00CD74EE"/>
    <w:rsid w:val="00D257C8"/>
    <w:rsid w:val="00D416D1"/>
    <w:rsid w:val="00D80ACE"/>
    <w:rsid w:val="00DA45D7"/>
    <w:rsid w:val="00DF5DFE"/>
    <w:rsid w:val="00E13A02"/>
    <w:rsid w:val="00E225AA"/>
    <w:rsid w:val="00E3060C"/>
    <w:rsid w:val="00E41840"/>
    <w:rsid w:val="00E61458"/>
    <w:rsid w:val="00EA0A52"/>
    <w:rsid w:val="00EC5B25"/>
    <w:rsid w:val="00ED20EB"/>
    <w:rsid w:val="00ED30A2"/>
    <w:rsid w:val="00EE38E4"/>
    <w:rsid w:val="00EF357C"/>
    <w:rsid w:val="00F1164F"/>
    <w:rsid w:val="00F12E1F"/>
    <w:rsid w:val="00F33854"/>
    <w:rsid w:val="00F45DF7"/>
    <w:rsid w:val="00F57D17"/>
    <w:rsid w:val="00F62BB7"/>
    <w:rsid w:val="00F854C4"/>
    <w:rsid w:val="00F91A49"/>
    <w:rsid w:val="00FA490F"/>
    <w:rsid w:val="00FA728E"/>
    <w:rsid w:val="00FC5112"/>
    <w:rsid w:val="00FC5A8B"/>
    <w:rsid w:val="00FD5138"/>
    <w:rsid w:val="018141F9"/>
    <w:rsid w:val="01DA3C64"/>
    <w:rsid w:val="025E6EF2"/>
    <w:rsid w:val="02614111"/>
    <w:rsid w:val="028E4041"/>
    <w:rsid w:val="02A9126A"/>
    <w:rsid w:val="02C4633C"/>
    <w:rsid w:val="02FE7A2C"/>
    <w:rsid w:val="037B608B"/>
    <w:rsid w:val="03BF4636"/>
    <w:rsid w:val="05282922"/>
    <w:rsid w:val="05FD0EAD"/>
    <w:rsid w:val="06171B42"/>
    <w:rsid w:val="076808B4"/>
    <w:rsid w:val="07E27256"/>
    <w:rsid w:val="07EC11B9"/>
    <w:rsid w:val="089B75B6"/>
    <w:rsid w:val="097914DE"/>
    <w:rsid w:val="0A641E54"/>
    <w:rsid w:val="0AFA04AF"/>
    <w:rsid w:val="0B2854B7"/>
    <w:rsid w:val="0C1734E6"/>
    <w:rsid w:val="0CDA088F"/>
    <w:rsid w:val="0D781E29"/>
    <w:rsid w:val="0F5A6124"/>
    <w:rsid w:val="103852DA"/>
    <w:rsid w:val="103D7A7A"/>
    <w:rsid w:val="11D35ECA"/>
    <w:rsid w:val="12260115"/>
    <w:rsid w:val="126C35C1"/>
    <w:rsid w:val="12ED0AC1"/>
    <w:rsid w:val="13A147CE"/>
    <w:rsid w:val="1412586F"/>
    <w:rsid w:val="144D74F1"/>
    <w:rsid w:val="149A6E87"/>
    <w:rsid w:val="149B08DC"/>
    <w:rsid w:val="15284B7A"/>
    <w:rsid w:val="156173A0"/>
    <w:rsid w:val="15C4305D"/>
    <w:rsid w:val="15D6596A"/>
    <w:rsid w:val="16887312"/>
    <w:rsid w:val="16BB2E3C"/>
    <w:rsid w:val="16E41E49"/>
    <w:rsid w:val="176C38A0"/>
    <w:rsid w:val="17837E4E"/>
    <w:rsid w:val="183F3F70"/>
    <w:rsid w:val="185A6A58"/>
    <w:rsid w:val="196E49C7"/>
    <w:rsid w:val="1BED5CE0"/>
    <w:rsid w:val="1CA27161"/>
    <w:rsid w:val="1CDF3654"/>
    <w:rsid w:val="1FC7683A"/>
    <w:rsid w:val="1FDF5B04"/>
    <w:rsid w:val="20040DFF"/>
    <w:rsid w:val="213212D6"/>
    <w:rsid w:val="21FC2E7E"/>
    <w:rsid w:val="224C5A31"/>
    <w:rsid w:val="225C7323"/>
    <w:rsid w:val="2269333F"/>
    <w:rsid w:val="22B107F8"/>
    <w:rsid w:val="235231CF"/>
    <w:rsid w:val="23A83A0D"/>
    <w:rsid w:val="24140680"/>
    <w:rsid w:val="24425BDD"/>
    <w:rsid w:val="24714534"/>
    <w:rsid w:val="2534229A"/>
    <w:rsid w:val="25EC6BD7"/>
    <w:rsid w:val="27C45851"/>
    <w:rsid w:val="27E36121"/>
    <w:rsid w:val="280C74C5"/>
    <w:rsid w:val="28525604"/>
    <w:rsid w:val="297E1EFC"/>
    <w:rsid w:val="2A656EEF"/>
    <w:rsid w:val="2AAE6793"/>
    <w:rsid w:val="2B382728"/>
    <w:rsid w:val="2B5C6850"/>
    <w:rsid w:val="2BAD2685"/>
    <w:rsid w:val="2C445CD5"/>
    <w:rsid w:val="2CB23497"/>
    <w:rsid w:val="2D2F0A6E"/>
    <w:rsid w:val="2E290C48"/>
    <w:rsid w:val="2E297F73"/>
    <w:rsid w:val="2EFD62B4"/>
    <w:rsid w:val="2FAA2872"/>
    <w:rsid w:val="2FCA1259"/>
    <w:rsid w:val="300E3606"/>
    <w:rsid w:val="30693C6B"/>
    <w:rsid w:val="309148BA"/>
    <w:rsid w:val="32B61B46"/>
    <w:rsid w:val="33464B7A"/>
    <w:rsid w:val="33576347"/>
    <w:rsid w:val="33915228"/>
    <w:rsid w:val="351A72AD"/>
    <w:rsid w:val="35282C5A"/>
    <w:rsid w:val="354D41DF"/>
    <w:rsid w:val="36371F6E"/>
    <w:rsid w:val="36AC5178"/>
    <w:rsid w:val="370C6F24"/>
    <w:rsid w:val="373E372F"/>
    <w:rsid w:val="38137F9C"/>
    <w:rsid w:val="384D2127"/>
    <w:rsid w:val="385A5804"/>
    <w:rsid w:val="39E949C6"/>
    <w:rsid w:val="39FB0130"/>
    <w:rsid w:val="3A0D38CD"/>
    <w:rsid w:val="3AA653F4"/>
    <w:rsid w:val="3BCF2D0F"/>
    <w:rsid w:val="3C44454F"/>
    <w:rsid w:val="3DA939C5"/>
    <w:rsid w:val="3E1F1601"/>
    <w:rsid w:val="3E431917"/>
    <w:rsid w:val="3EA74EA6"/>
    <w:rsid w:val="3FD656B3"/>
    <w:rsid w:val="40591B82"/>
    <w:rsid w:val="412133EB"/>
    <w:rsid w:val="41F017A8"/>
    <w:rsid w:val="431369E3"/>
    <w:rsid w:val="443C6B00"/>
    <w:rsid w:val="44E670C8"/>
    <w:rsid w:val="453E3F7B"/>
    <w:rsid w:val="46692B10"/>
    <w:rsid w:val="467C28B2"/>
    <w:rsid w:val="46B05CA5"/>
    <w:rsid w:val="47C17D67"/>
    <w:rsid w:val="48463A92"/>
    <w:rsid w:val="488515F1"/>
    <w:rsid w:val="489354A0"/>
    <w:rsid w:val="49083735"/>
    <w:rsid w:val="490F7BDD"/>
    <w:rsid w:val="4AAF17BC"/>
    <w:rsid w:val="4AFB1112"/>
    <w:rsid w:val="4C8C3A8E"/>
    <w:rsid w:val="4D473B61"/>
    <w:rsid w:val="4E053C46"/>
    <w:rsid w:val="4EC201C3"/>
    <w:rsid w:val="4F1C2EFD"/>
    <w:rsid w:val="4F691C56"/>
    <w:rsid w:val="4FA249DE"/>
    <w:rsid w:val="4FD81752"/>
    <w:rsid w:val="51C41695"/>
    <w:rsid w:val="524B0146"/>
    <w:rsid w:val="52861B73"/>
    <w:rsid w:val="53506042"/>
    <w:rsid w:val="57564D00"/>
    <w:rsid w:val="5794651A"/>
    <w:rsid w:val="580F7213"/>
    <w:rsid w:val="58BB67A0"/>
    <w:rsid w:val="58DA0FD3"/>
    <w:rsid w:val="58FF5142"/>
    <w:rsid w:val="59391735"/>
    <w:rsid w:val="59C33488"/>
    <w:rsid w:val="5A765101"/>
    <w:rsid w:val="5A9F0071"/>
    <w:rsid w:val="5B850857"/>
    <w:rsid w:val="5BA33C64"/>
    <w:rsid w:val="5C712910"/>
    <w:rsid w:val="5D057564"/>
    <w:rsid w:val="5E2A5AED"/>
    <w:rsid w:val="5E7D2556"/>
    <w:rsid w:val="5F110351"/>
    <w:rsid w:val="5FAA4FFC"/>
    <w:rsid w:val="6025124B"/>
    <w:rsid w:val="603D5AAD"/>
    <w:rsid w:val="6072134A"/>
    <w:rsid w:val="608A7D81"/>
    <w:rsid w:val="61186496"/>
    <w:rsid w:val="61BE058B"/>
    <w:rsid w:val="61F61A03"/>
    <w:rsid w:val="6219297F"/>
    <w:rsid w:val="62E01DCA"/>
    <w:rsid w:val="63857653"/>
    <w:rsid w:val="63D931E2"/>
    <w:rsid w:val="641D434E"/>
    <w:rsid w:val="650A6E75"/>
    <w:rsid w:val="651560BA"/>
    <w:rsid w:val="652E52F0"/>
    <w:rsid w:val="65890AB7"/>
    <w:rsid w:val="66240165"/>
    <w:rsid w:val="66F43AF7"/>
    <w:rsid w:val="67787F8D"/>
    <w:rsid w:val="67F266AF"/>
    <w:rsid w:val="68FC32F2"/>
    <w:rsid w:val="69A07404"/>
    <w:rsid w:val="69E95778"/>
    <w:rsid w:val="6A596387"/>
    <w:rsid w:val="6A732B77"/>
    <w:rsid w:val="6B3016EB"/>
    <w:rsid w:val="6B5D0E73"/>
    <w:rsid w:val="6BBB6AAD"/>
    <w:rsid w:val="6DB15CE3"/>
    <w:rsid w:val="6DCF7A62"/>
    <w:rsid w:val="6EB448FD"/>
    <w:rsid w:val="6F383D07"/>
    <w:rsid w:val="6F421085"/>
    <w:rsid w:val="706C7FA2"/>
    <w:rsid w:val="71127BA2"/>
    <w:rsid w:val="7187084F"/>
    <w:rsid w:val="71C7588E"/>
    <w:rsid w:val="726F6D4C"/>
    <w:rsid w:val="738A48F7"/>
    <w:rsid w:val="73F12CD0"/>
    <w:rsid w:val="73FD2CDB"/>
    <w:rsid w:val="753271D8"/>
    <w:rsid w:val="757438E6"/>
    <w:rsid w:val="768C1119"/>
    <w:rsid w:val="77492C07"/>
    <w:rsid w:val="776C6CE8"/>
    <w:rsid w:val="77923065"/>
    <w:rsid w:val="77B37523"/>
    <w:rsid w:val="77EF43DC"/>
    <w:rsid w:val="783C4C84"/>
    <w:rsid w:val="78501E3B"/>
    <w:rsid w:val="795A5208"/>
    <w:rsid w:val="79833C7C"/>
    <w:rsid w:val="79C91A00"/>
    <w:rsid w:val="79DB41C3"/>
    <w:rsid w:val="7A5709DC"/>
    <w:rsid w:val="7A8F4748"/>
    <w:rsid w:val="7A9629B0"/>
    <w:rsid w:val="7B9F358C"/>
    <w:rsid w:val="7C271FE0"/>
    <w:rsid w:val="7CE03CA6"/>
    <w:rsid w:val="7D0801C2"/>
    <w:rsid w:val="7D3B2EE5"/>
    <w:rsid w:val="7DA60233"/>
    <w:rsid w:val="7DE92D15"/>
    <w:rsid w:val="7E1A4758"/>
    <w:rsid w:val="7F1076A5"/>
    <w:rsid w:val="7FCD3814"/>
    <w:rsid w:val="7FFC290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5">
    <w:name w:val="heading 5"/>
    <w:basedOn w:val="a"/>
    <w:next w:val="a"/>
    <w:qFormat/>
    <w:pPr>
      <w:numPr>
        <w:ilvl w:val="4"/>
        <w:numId w:val="1"/>
      </w:numPr>
      <w:adjustRightInd w:val="0"/>
      <w:spacing w:before="40" w:after="20" w:line="288" w:lineRule="auto"/>
      <w:textAlignment w:val="baseline"/>
      <w:outlineLvl w:val="4"/>
    </w:pPr>
    <w:rPr>
      <w:kern w:val="0"/>
      <w:sz w:val="28"/>
      <w:szCs w:val="20"/>
    </w:rPr>
  </w:style>
  <w:style w:type="character" w:default="1" w:styleId="a0">
    <w:name w:val="Default Paragraph Font"/>
    <w:link w:val="CharCharCharChar"/>
    <w:semiHidden/>
    <w:rPr>
      <w:sz w:val="24"/>
    </w:rPr>
  </w:style>
  <w:style w:type="table" w:default="1" w:styleId="a1">
    <w:name w:val="Normal Table"/>
    <w:semiHidden/>
    <w:rPr>
      <w:rFonts w:ascii="Calibri" w:hAnsi="Calibri" w:cs="Calibri"/>
      <w:kern w:val="2"/>
      <w:sz w:val="21"/>
      <w:szCs w:val="22"/>
    </w:rPr>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styleId="a4">
    <w:name w:val="Hyperlink"/>
    <w:basedOn w:val="a0"/>
    <w:rPr>
      <w:color w:val="0000FF"/>
      <w:u w:val="single"/>
    </w:rPr>
  </w:style>
  <w:style w:type="character" w:styleId="a5">
    <w:name w:val="page number"/>
    <w:basedOn w:val="a0"/>
  </w:style>
  <w:style w:type="character" w:customStyle="1" w:styleId="emailstyle23">
    <w:name w:val="emailstyle23"/>
    <w:rPr>
      <w:rFonts w:ascii="Calibri" w:hAnsi="Calibri" w:cs="Calibri" w:hint="default"/>
      <w:color w:val="1F497D"/>
    </w:rPr>
  </w:style>
  <w:style w:type="character" w:customStyle="1" w:styleId="Char0">
    <w:name w:val="批注框文本 Char"/>
    <w:link w:val="a6"/>
    <w:rPr>
      <w:rFonts w:ascii="宋体" w:eastAsia="宋体" w:hAnsi="宋体" w:cs="宋体" w:hint="eastAsia"/>
    </w:rPr>
  </w:style>
  <w:style w:type="character" w:styleId="a7">
    <w:name w:val="Strong"/>
    <w:basedOn w:val="a0"/>
    <w:qFormat/>
    <w:rPr>
      <w:b/>
    </w:rPr>
  </w:style>
  <w:style w:type="character" w:customStyle="1" w:styleId="txtcontent11">
    <w:name w:val="txtcontent11"/>
    <w:rPr>
      <w:rFonts w:ascii="ˎ̥" w:hAnsi="ˎ̥" w:hint="default"/>
      <w:b w:val="0"/>
      <w:bCs w:val="0"/>
      <w:color w:val="000000"/>
      <w:sz w:val="21"/>
      <w:szCs w:val="21"/>
    </w:rPr>
  </w:style>
  <w:style w:type="character" w:styleId="a8">
    <w:name w:val="FollowedHyperlink"/>
    <w:basedOn w:val="a0"/>
    <w:rPr>
      <w:color w:val="800080"/>
      <w:u w:val="single"/>
    </w:rPr>
  </w:style>
  <w:style w:type="character" w:customStyle="1" w:styleId="da">
    <w:name w:val="da"/>
    <w:basedOn w:val="a0"/>
  </w:style>
  <w:style w:type="character" w:styleId="a9">
    <w:name w:val="annotation reference"/>
    <w:semiHidden/>
    <w:rPr>
      <w:sz w:val="21"/>
      <w:szCs w:val="21"/>
    </w:rPr>
  </w:style>
  <w:style w:type="character" w:customStyle="1" w:styleId="emailstyle27">
    <w:name w:val="emailstyle27"/>
    <w:rPr>
      <w:rFonts w:ascii="Calibri" w:hAnsi="Calibri" w:cs="Calibri" w:hint="default"/>
      <w:color w:val="1F497D"/>
    </w:rPr>
  </w:style>
  <w:style w:type="character" w:customStyle="1" w:styleId="emailstyle21">
    <w:name w:val="emailstyle21"/>
    <w:rPr>
      <w:rFonts w:ascii="Calibri" w:hAnsi="Calibri" w:cs="Calibri" w:hint="default"/>
      <w:color w:val="1F497D"/>
    </w:rPr>
  </w:style>
  <w:style w:type="character" w:customStyle="1" w:styleId="emailstyle22">
    <w:name w:val="emailstyle22"/>
    <w:rPr>
      <w:rFonts w:ascii="Calibri" w:hAnsi="Calibri" w:cs="Calibri" w:hint="default"/>
      <w:color w:val="1F497D"/>
    </w:rPr>
  </w:style>
  <w:style w:type="character" w:customStyle="1" w:styleId="emailstyle20">
    <w:name w:val="emailstyle20"/>
    <w:rPr>
      <w:rFonts w:ascii="Calibri" w:hAnsi="Calibri" w:cs="Calibri" w:hint="default"/>
      <w:color w:val="1F497D"/>
    </w:rPr>
  </w:style>
  <w:style w:type="character" w:customStyle="1" w:styleId="Char1">
    <w:name w:val="页脚 Char"/>
    <w:link w:val="aa"/>
    <w:rPr>
      <w:kern w:val="2"/>
      <w:sz w:val="18"/>
      <w:szCs w:val="18"/>
    </w:rPr>
  </w:style>
  <w:style w:type="character" w:customStyle="1" w:styleId="emailstyle25">
    <w:name w:val="emailstyle25"/>
    <w:rPr>
      <w:rFonts w:ascii="Calibri" w:hAnsi="Calibri" w:cs="Calibri" w:hint="default"/>
      <w:color w:val="1F497D"/>
    </w:rPr>
  </w:style>
  <w:style w:type="character" w:customStyle="1" w:styleId="Char2">
    <w:name w:val="文档结构图 Char"/>
    <w:link w:val="ab"/>
    <w:rPr>
      <w:rFonts w:ascii="宋体"/>
      <w:kern w:val="2"/>
      <w:sz w:val="18"/>
      <w:szCs w:val="18"/>
    </w:rPr>
  </w:style>
  <w:style w:type="character" w:customStyle="1" w:styleId="emailstyle26">
    <w:name w:val="emailstyle26"/>
    <w:rPr>
      <w:rFonts w:ascii="Calibri" w:hAnsi="Calibri" w:cs="Calibri" w:hint="default"/>
      <w:color w:val="1F497D"/>
    </w:rPr>
  </w:style>
  <w:style w:type="character" w:customStyle="1" w:styleId="emailstyle24">
    <w:name w:val="emailstyle24"/>
    <w:rPr>
      <w:rFonts w:ascii="Calibri" w:hAnsi="Calibri" w:cs="Calibri" w:hint="default"/>
      <w:color w:val="1F497D"/>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1"/>
    <w:pPr>
      <w:tabs>
        <w:tab w:val="center" w:pos="4153"/>
        <w:tab w:val="right" w:pos="8306"/>
      </w:tabs>
      <w:snapToGrid w:val="0"/>
      <w:jc w:val="left"/>
    </w:pPr>
    <w:rPr>
      <w:sz w:val="18"/>
      <w:szCs w:val="18"/>
    </w:rPr>
  </w:style>
  <w:style w:type="paragraph" w:styleId="ac">
    <w:name w:val="annotation subject"/>
    <w:basedOn w:val="ad"/>
    <w:next w:val="ad"/>
    <w:semiHidden/>
    <w:rPr>
      <w:b/>
      <w:bCs/>
    </w:rPr>
  </w:style>
  <w:style w:type="paragraph" w:styleId="a6">
    <w:name w:val="Balloon Text"/>
    <w:basedOn w:val="a"/>
    <w:link w:val="Char0"/>
    <w:semiHidden/>
    <w:rPr>
      <w:sz w:val="18"/>
      <w:szCs w:val="18"/>
    </w:rPr>
  </w:style>
  <w:style w:type="paragraph" w:styleId="ad">
    <w:name w:val="annotation text"/>
    <w:basedOn w:val="a"/>
    <w:semiHidden/>
    <w:pPr>
      <w:jc w:val="left"/>
    </w:pPr>
  </w:style>
  <w:style w:type="paragraph" w:styleId="ab">
    <w:name w:val="Document Map"/>
    <w:basedOn w:val="a"/>
    <w:link w:val="Char2"/>
    <w:rPr>
      <w:rFonts w:ascii="宋体"/>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e">
    <w:name w:val="Normal (Web)"/>
    <w:basedOn w:val="a"/>
    <w:pPr>
      <w:widowControl/>
      <w:spacing w:before="100" w:beforeAutospacing="1" w:after="100" w:afterAutospacing="1"/>
      <w:jc w:val="left"/>
    </w:pPr>
    <w:rPr>
      <w:rFonts w:ascii="宋体" w:hAnsi="宋体"/>
      <w:kern w:val="0"/>
      <w:sz w:val="24"/>
    </w:rPr>
  </w:style>
  <w:style w:type="paragraph" w:customStyle="1" w:styleId="CharCharCharChar">
    <w:name w:val=" Char Char Char Char"/>
    <w:basedOn w:val="a"/>
    <w:link w:val="a0"/>
    <w:pPr>
      <w:tabs>
        <w:tab w:val="left" w:pos="360"/>
      </w:tabs>
    </w:pPr>
    <w:rPr>
      <w:sz w:val="24"/>
    </w:rPr>
  </w:style>
  <w:style w:type="paragraph" w:customStyle="1" w:styleId="CharCharCharCharCharCharChar">
    <w:name w:val=" Char Char Char Char Char Char Char"/>
    <w:basedOn w:val="a"/>
    <w:pPr>
      <w:tabs>
        <w:tab w:val="left" w:pos="360"/>
      </w:tabs>
    </w:pPr>
    <w:rPr>
      <w:sz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eastAsia="方正仿宋简体"/>
      <w:sz w:val="32"/>
      <w:szCs w:val="20"/>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gccpb.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uxiaomanfun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fund.com.cn"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5984</Characters>
  <Application>Microsoft Office Word</Application>
  <DocSecurity>4</DocSecurity>
  <PresentationFormat/>
  <Lines>49</Lines>
  <Paragraphs>14</Paragraphs>
  <Slides>0</Slides>
  <Notes>0</Notes>
  <HiddenSlides>0</HiddenSlides>
  <MMClips>0</MMClips>
  <ScaleCrop>false</ScaleCrop>
  <Manager/>
  <Company>DW</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东吴基金管理有限公司关于旗下部分基金新增北京度小满基金销售有限公司为代销机构、开通定期定额及转换业务并参加费率优惠的公告</dc:title>
  <dc:subject/>
  <dc:creator>dw</dc:creator>
  <cp:keywords/>
  <dc:description/>
  <cp:lastModifiedBy>ZHONGM</cp:lastModifiedBy>
  <cp:revision>2</cp:revision>
  <cp:lastPrinted>2015-06-11T02:51:00Z</cp:lastPrinted>
  <dcterms:created xsi:type="dcterms:W3CDTF">2021-08-27T16:54:00Z</dcterms:created>
  <dcterms:modified xsi:type="dcterms:W3CDTF">2021-08-27T16:54:00Z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3896FDD7D1844B3483BA4373911801A2</vt:lpwstr>
  </property>
</Properties>
</file>