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03" w:rsidRDefault="00EC0BE1" w:rsidP="00DA2103">
      <w:pPr>
        <w:pStyle w:val="Default"/>
        <w:spacing w:line="360" w:lineRule="auto"/>
        <w:jc w:val="center"/>
        <w:rPr>
          <w:rFonts w:ascii="Times New Roman" w:hAnsi="Times New Roman" w:cs="Times New Roman"/>
          <w:b/>
          <w:bCs/>
          <w:color w:val="auto"/>
          <w:kern w:val="2"/>
          <w:sz w:val="28"/>
          <w:szCs w:val="28"/>
        </w:rPr>
      </w:pPr>
      <w:r w:rsidRPr="00EC0BE1">
        <w:rPr>
          <w:rFonts w:ascii="Times New Roman" w:hAnsi="Times New Roman" w:cs="Times New Roman" w:hint="eastAsia"/>
          <w:b/>
          <w:bCs/>
          <w:color w:val="auto"/>
          <w:kern w:val="2"/>
          <w:sz w:val="28"/>
          <w:szCs w:val="28"/>
        </w:rPr>
        <w:t>弘毅远方国证民企领先</w:t>
      </w:r>
      <w:r w:rsidRPr="00EC0BE1">
        <w:rPr>
          <w:rFonts w:ascii="Times New Roman" w:hAnsi="Times New Roman" w:cs="Times New Roman" w:hint="eastAsia"/>
          <w:b/>
          <w:bCs/>
          <w:color w:val="auto"/>
          <w:kern w:val="2"/>
          <w:sz w:val="28"/>
          <w:szCs w:val="28"/>
        </w:rPr>
        <w:t>100</w:t>
      </w:r>
      <w:r w:rsidRPr="00EC0BE1">
        <w:rPr>
          <w:rFonts w:ascii="Times New Roman" w:hAnsi="Times New Roman" w:cs="Times New Roman" w:hint="eastAsia"/>
          <w:b/>
          <w:bCs/>
          <w:color w:val="auto"/>
          <w:kern w:val="2"/>
          <w:sz w:val="28"/>
          <w:szCs w:val="28"/>
        </w:rPr>
        <w:t>交易型开放式指数证券投资基金</w:t>
      </w:r>
    </w:p>
    <w:p w:rsidR="00F53BB2" w:rsidRDefault="00E35A68" w:rsidP="00DA2103">
      <w:pPr>
        <w:pStyle w:val="Default"/>
        <w:spacing w:line="360" w:lineRule="auto"/>
        <w:jc w:val="center"/>
        <w:rPr>
          <w:rFonts w:ascii="Times New Roman" w:hAnsi="Times New Roman" w:cs="Times New Roman"/>
          <w:b/>
          <w:bCs/>
          <w:color w:val="auto"/>
          <w:kern w:val="2"/>
          <w:sz w:val="28"/>
          <w:szCs w:val="28"/>
        </w:rPr>
      </w:pPr>
      <w:r w:rsidRPr="00E35A68">
        <w:rPr>
          <w:rFonts w:ascii="Times New Roman" w:hAnsi="Times New Roman" w:cs="Times New Roman" w:hint="eastAsia"/>
          <w:b/>
          <w:bCs/>
          <w:color w:val="auto"/>
          <w:kern w:val="2"/>
          <w:sz w:val="28"/>
          <w:szCs w:val="28"/>
        </w:rPr>
        <w:t>场内交易价格溢价风险第二次提示公告</w:t>
      </w:r>
    </w:p>
    <w:p w:rsidR="00DA2103" w:rsidRPr="008F4247" w:rsidRDefault="00DA2103" w:rsidP="00DA2103">
      <w:pPr>
        <w:pStyle w:val="Default"/>
        <w:spacing w:line="360" w:lineRule="auto"/>
        <w:jc w:val="center"/>
        <w:rPr>
          <w:rFonts w:ascii="Times New Roman" w:hAnsi="Times New Roman" w:cs="Times New Roman" w:hint="eastAsia"/>
          <w:color w:val="1E1E1E"/>
          <w:sz w:val="21"/>
          <w:szCs w:val="21"/>
        </w:rPr>
      </w:pPr>
    </w:p>
    <w:p w:rsidR="00F53BB2" w:rsidRPr="008F4247" w:rsidRDefault="00490293"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近期，弘毅远方基金</w:t>
      </w:r>
      <w:r w:rsidR="00F53BB2" w:rsidRPr="008F4247">
        <w:rPr>
          <w:rFonts w:ascii="Times New Roman" w:hAnsi="Times New Roman" w:cs="Times New Roman"/>
          <w:bCs/>
          <w:color w:val="auto"/>
          <w:kern w:val="2"/>
          <w:szCs w:val="20"/>
        </w:rPr>
        <w:t>管理有限公司（以下简称</w:t>
      </w:r>
      <w:r w:rsidR="00F53BB2" w:rsidRPr="008F4247">
        <w:rPr>
          <w:rFonts w:ascii="Times New Roman" w:hAnsi="Times New Roman" w:cs="Times New Roman"/>
          <w:bCs/>
          <w:color w:val="auto"/>
          <w:kern w:val="2"/>
          <w:szCs w:val="20"/>
        </w:rPr>
        <w:t>“</w:t>
      </w:r>
      <w:r w:rsidR="00F53BB2" w:rsidRPr="008F4247">
        <w:rPr>
          <w:rFonts w:ascii="Times New Roman" w:hAnsi="Times New Roman" w:cs="Times New Roman"/>
          <w:bCs/>
          <w:color w:val="auto"/>
          <w:kern w:val="2"/>
          <w:szCs w:val="20"/>
        </w:rPr>
        <w:t>本基金管理人</w:t>
      </w:r>
      <w:r w:rsidR="00F53BB2" w:rsidRPr="008F4247">
        <w:rPr>
          <w:rFonts w:ascii="Times New Roman" w:hAnsi="Times New Roman" w:cs="Times New Roman"/>
          <w:bCs/>
          <w:color w:val="auto"/>
          <w:kern w:val="2"/>
          <w:szCs w:val="20"/>
        </w:rPr>
        <w:t>”</w:t>
      </w:r>
      <w:r w:rsidR="00F53BB2" w:rsidRPr="008F4247">
        <w:rPr>
          <w:rFonts w:ascii="Times New Roman" w:hAnsi="Times New Roman" w:cs="Times New Roman"/>
          <w:bCs/>
          <w:color w:val="auto"/>
          <w:kern w:val="2"/>
          <w:szCs w:val="20"/>
        </w:rPr>
        <w:t>）旗下</w:t>
      </w:r>
      <w:r w:rsidR="00EC0BE1" w:rsidRPr="00EC0BE1">
        <w:rPr>
          <w:rFonts w:ascii="Times New Roman" w:hAnsi="Times New Roman" w:cs="Times New Roman" w:hint="eastAsia"/>
          <w:bCs/>
          <w:color w:val="auto"/>
          <w:kern w:val="2"/>
          <w:szCs w:val="20"/>
        </w:rPr>
        <w:t>弘毅远方国证民企领先</w:t>
      </w:r>
      <w:r w:rsidR="00EC0BE1" w:rsidRPr="00EC0BE1">
        <w:rPr>
          <w:rFonts w:ascii="Times New Roman" w:hAnsi="Times New Roman" w:cs="Times New Roman" w:hint="eastAsia"/>
          <w:bCs/>
          <w:color w:val="auto"/>
          <w:kern w:val="2"/>
          <w:szCs w:val="20"/>
        </w:rPr>
        <w:t>100</w:t>
      </w:r>
      <w:r w:rsidR="00EC0BE1" w:rsidRPr="00EC0BE1">
        <w:rPr>
          <w:rFonts w:ascii="Times New Roman" w:hAnsi="Times New Roman" w:cs="Times New Roman" w:hint="eastAsia"/>
          <w:bCs/>
          <w:color w:val="auto"/>
          <w:kern w:val="2"/>
          <w:szCs w:val="20"/>
        </w:rPr>
        <w:t>交易型开放式指数证券投资基金</w:t>
      </w:r>
      <w:r w:rsidR="00F53BB2" w:rsidRPr="008F4247">
        <w:rPr>
          <w:rFonts w:ascii="Times New Roman" w:hAnsi="Times New Roman" w:cs="Times New Roman"/>
          <w:bCs/>
          <w:color w:val="auto"/>
          <w:kern w:val="2"/>
          <w:szCs w:val="20"/>
        </w:rPr>
        <w:t>（场内简称：</w:t>
      </w:r>
      <w:r w:rsidR="00EC0BE1" w:rsidRPr="00EC0BE1">
        <w:rPr>
          <w:rFonts w:ascii="Times New Roman" w:hAnsi="Times New Roman" w:cs="Times New Roman" w:hint="eastAsia"/>
          <w:bCs/>
          <w:color w:val="auto"/>
          <w:kern w:val="2"/>
          <w:szCs w:val="20"/>
        </w:rPr>
        <w:t>民企领先</w:t>
      </w:r>
      <w:r w:rsidR="00EC0BE1" w:rsidRPr="00EC0BE1">
        <w:rPr>
          <w:rFonts w:ascii="Times New Roman" w:hAnsi="Times New Roman" w:cs="Times New Roman" w:hint="eastAsia"/>
          <w:bCs/>
          <w:color w:val="auto"/>
          <w:kern w:val="2"/>
          <w:szCs w:val="20"/>
        </w:rPr>
        <w:t>100ETF</w:t>
      </w:r>
      <w:r w:rsidR="00F53BB2" w:rsidRPr="008F4247">
        <w:rPr>
          <w:rFonts w:ascii="Times New Roman" w:hAnsi="Times New Roman" w:cs="Times New Roman"/>
          <w:bCs/>
          <w:color w:val="auto"/>
          <w:kern w:val="2"/>
          <w:szCs w:val="20"/>
        </w:rPr>
        <w:t>；交易代码：</w:t>
      </w:r>
      <w:r w:rsidR="00EC0BE1" w:rsidRPr="00EC0BE1">
        <w:rPr>
          <w:rFonts w:ascii="Times New Roman" w:hAnsi="Times New Roman" w:cs="Times New Roman"/>
          <w:bCs/>
          <w:color w:val="auto"/>
          <w:kern w:val="2"/>
          <w:szCs w:val="20"/>
        </w:rPr>
        <w:t>159973</w:t>
      </w:r>
      <w:r w:rsidR="0033485F" w:rsidRPr="008F4247">
        <w:rPr>
          <w:rFonts w:ascii="Times New Roman" w:hAnsi="Times New Roman" w:cs="Times New Roman"/>
          <w:bCs/>
          <w:color w:val="auto"/>
          <w:kern w:val="2"/>
          <w:szCs w:val="20"/>
        </w:rPr>
        <w:t>，以下简称</w:t>
      </w:r>
      <w:r w:rsidR="0033485F" w:rsidRPr="008F4247">
        <w:rPr>
          <w:rFonts w:ascii="Times New Roman" w:hAnsi="Times New Roman" w:cs="Times New Roman"/>
          <w:bCs/>
          <w:color w:val="auto"/>
          <w:kern w:val="2"/>
          <w:szCs w:val="20"/>
        </w:rPr>
        <w:t>“</w:t>
      </w:r>
      <w:r w:rsidR="0033485F" w:rsidRPr="008F4247">
        <w:rPr>
          <w:rFonts w:ascii="Times New Roman" w:hAnsi="Times New Roman" w:cs="Times New Roman"/>
          <w:bCs/>
          <w:color w:val="auto"/>
          <w:kern w:val="2"/>
          <w:szCs w:val="20"/>
        </w:rPr>
        <w:t>本基金</w:t>
      </w:r>
      <w:r w:rsidR="0033485F" w:rsidRPr="008F4247">
        <w:rPr>
          <w:rFonts w:ascii="Times New Roman" w:hAnsi="Times New Roman" w:cs="Times New Roman"/>
          <w:bCs/>
          <w:color w:val="auto"/>
          <w:kern w:val="2"/>
          <w:szCs w:val="20"/>
        </w:rPr>
        <w:t>”</w:t>
      </w:r>
      <w:r w:rsidR="00A43E2E">
        <w:rPr>
          <w:rFonts w:ascii="Times New Roman" w:hAnsi="Times New Roman" w:cs="Times New Roman"/>
          <w:bCs/>
          <w:color w:val="auto"/>
          <w:kern w:val="2"/>
          <w:szCs w:val="20"/>
        </w:rPr>
        <w:t>）二级</w:t>
      </w:r>
      <w:r w:rsidR="00A43E2E">
        <w:rPr>
          <w:rFonts w:ascii="Times New Roman" w:hAnsi="Times New Roman" w:cs="Times New Roman" w:hint="eastAsia"/>
          <w:bCs/>
          <w:color w:val="auto"/>
          <w:kern w:val="2"/>
          <w:szCs w:val="20"/>
        </w:rPr>
        <w:t>市场</w:t>
      </w:r>
      <w:r w:rsidR="000E5911" w:rsidRPr="008F4247">
        <w:rPr>
          <w:rFonts w:ascii="Times New Roman" w:hAnsi="Times New Roman" w:cs="Times New Roman"/>
          <w:bCs/>
          <w:color w:val="auto"/>
          <w:kern w:val="2"/>
          <w:szCs w:val="20"/>
        </w:rPr>
        <w:t>交易价格</w:t>
      </w:r>
      <w:r w:rsidR="0001766C">
        <w:rPr>
          <w:rFonts w:ascii="Times New Roman" w:hAnsi="Times New Roman" w:cs="Times New Roman" w:hint="eastAsia"/>
          <w:bCs/>
          <w:color w:val="auto"/>
          <w:kern w:val="2"/>
          <w:szCs w:val="20"/>
        </w:rPr>
        <w:t>出现大幅度溢价</w:t>
      </w:r>
      <w:r w:rsidR="005F0ADD">
        <w:rPr>
          <w:rFonts w:ascii="Times New Roman" w:hAnsi="Times New Roman" w:cs="Times New Roman"/>
          <w:bCs/>
          <w:color w:val="auto"/>
          <w:kern w:val="2"/>
          <w:szCs w:val="20"/>
        </w:rPr>
        <w:t>。</w:t>
      </w:r>
      <w:r w:rsidR="00E35A68" w:rsidRPr="00E35A68">
        <w:rPr>
          <w:rFonts w:ascii="Times New Roman" w:hAnsi="Times New Roman" w:cs="Times New Roman" w:hint="eastAsia"/>
          <w:bCs/>
          <w:color w:val="auto"/>
          <w:kern w:val="2"/>
          <w:szCs w:val="20"/>
        </w:rPr>
        <w:t>2021</w:t>
      </w:r>
      <w:r w:rsidR="00E35A68" w:rsidRPr="00E35A68">
        <w:rPr>
          <w:rFonts w:ascii="Times New Roman" w:hAnsi="Times New Roman" w:cs="Times New Roman" w:hint="eastAsia"/>
          <w:bCs/>
          <w:color w:val="auto"/>
          <w:kern w:val="2"/>
          <w:szCs w:val="20"/>
        </w:rPr>
        <w:t>年</w:t>
      </w:r>
      <w:r w:rsidR="00E35A68">
        <w:rPr>
          <w:rFonts w:ascii="Times New Roman" w:hAnsi="Times New Roman" w:cs="Times New Roman" w:hint="eastAsia"/>
          <w:bCs/>
          <w:color w:val="auto"/>
          <w:kern w:val="2"/>
          <w:szCs w:val="20"/>
        </w:rPr>
        <w:t>8</w:t>
      </w:r>
      <w:r w:rsidR="00E35A68" w:rsidRPr="00E35A68">
        <w:rPr>
          <w:rFonts w:ascii="Times New Roman" w:hAnsi="Times New Roman" w:cs="Times New Roman" w:hint="eastAsia"/>
          <w:bCs/>
          <w:color w:val="auto"/>
          <w:kern w:val="2"/>
          <w:szCs w:val="20"/>
        </w:rPr>
        <w:t>月</w:t>
      </w:r>
      <w:r w:rsidR="00E35A68">
        <w:rPr>
          <w:rFonts w:ascii="Times New Roman" w:hAnsi="Times New Roman" w:cs="Times New Roman"/>
          <w:bCs/>
          <w:color w:val="auto"/>
          <w:kern w:val="2"/>
          <w:szCs w:val="20"/>
        </w:rPr>
        <w:t>26</w:t>
      </w:r>
      <w:r w:rsidR="00E35A68" w:rsidRPr="00E35A68">
        <w:rPr>
          <w:rFonts w:ascii="Times New Roman" w:hAnsi="Times New Roman" w:cs="Times New Roman" w:hint="eastAsia"/>
          <w:bCs/>
          <w:color w:val="auto"/>
          <w:kern w:val="2"/>
          <w:szCs w:val="20"/>
        </w:rPr>
        <w:t>日，本基金二级市场收盘价为</w:t>
      </w:r>
      <w:r w:rsidR="00E35A68">
        <w:rPr>
          <w:rFonts w:ascii="Times New Roman" w:hAnsi="Times New Roman" w:cs="Times New Roman"/>
          <w:bCs/>
          <w:color w:val="auto"/>
          <w:kern w:val="2"/>
          <w:szCs w:val="20"/>
        </w:rPr>
        <w:t>2.109</w:t>
      </w:r>
      <w:r w:rsidR="00E35A68" w:rsidRPr="00E35A68">
        <w:rPr>
          <w:rFonts w:ascii="Times New Roman" w:hAnsi="Times New Roman" w:cs="Times New Roman" w:hint="eastAsia"/>
          <w:bCs/>
          <w:color w:val="auto"/>
          <w:kern w:val="2"/>
          <w:szCs w:val="20"/>
        </w:rPr>
        <w:t>元，相对于当日</w:t>
      </w:r>
      <w:r w:rsidR="00E35A68">
        <w:rPr>
          <w:rFonts w:ascii="Times New Roman" w:hAnsi="Times New Roman" w:cs="Times New Roman"/>
          <w:bCs/>
          <w:color w:val="auto"/>
          <w:kern w:val="2"/>
          <w:szCs w:val="20"/>
        </w:rPr>
        <w:t>1.8843</w:t>
      </w:r>
      <w:r w:rsidR="00E35A68" w:rsidRPr="00E35A68">
        <w:rPr>
          <w:rFonts w:ascii="Times New Roman" w:hAnsi="Times New Roman" w:cs="Times New Roman" w:hint="eastAsia"/>
          <w:bCs/>
          <w:color w:val="auto"/>
          <w:kern w:val="2"/>
          <w:szCs w:val="20"/>
        </w:rPr>
        <w:t>元的基金份额净值，溢价幅度为</w:t>
      </w:r>
      <w:r w:rsidR="00E35A68">
        <w:rPr>
          <w:rFonts w:ascii="Times New Roman" w:hAnsi="Times New Roman" w:cs="Times New Roman"/>
          <w:bCs/>
          <w:color w:val="auto"/>
          <w:kern w:val="2"/>
          <w:szCs w:val="20"/>
        </w:rPr>
        <w:t>11.</w:t>
      </w:r>
      <w:r w:rsidR="00E35A68">
        <w:rPr>
          <w:rFonts w:ascii="Times New Roman" w:hAnsi="Times New Roman" w:cs="Times New Roman" w:hint="eastAsia"/>
          <w:bCs/>
          <w:color w:val="auto"/>
          <w:kern w:val="2"/>
          <w:szCs w:val="20"/>
        </w:rPr>
        <w:t>9</w:t>
      </w:r>
      <w:r w:rsidR="00E35A68">
        <w:rPr>
          <w:rFonts w:ascii="Times New Roman" w:hAnsi="Times New Roman" w:cs="Times New Roman"/>
          <w:bCs/>
          <w:color w:val="auto"/>
          <w:kern w:val="2"/>
          <w:szCs w:val="20"/>
        </w:rPr>
        <w:t>2</w:t>
      </w:r>
      <w:r w:rsidR="00E35A68" w:rsidRPr="00E35A68">
        <w:rPr>
          <w:rFonts w:ascii="Times New Roman" w:hAnsi="Times New Roman" w:cs="Times New Roman" w:hint="eastAsia"/>
          <w:bCs/>
          <w:color w:val="auto"/>
          <w:kern w:val="2"/>
          <w:szCs w:val="20"/>
        </w:rPr>
        <w:t>%</w:t>
      </w:r>
      <w:r w:rsidR="00E35A68" w:rsidRPr="00E35A68">
        <w:rPr>
          <w:rFonts w:ascii="Times New Roman" w:hAnsi="Times New Roman" w:cs="Times New Roman" w:hint="eastAsia"/>
          <w:bCs/>
          <w:color w:val="auto"/>
          <w:kern w:val="2"/>
          <w:szCs w:val="20"/>
        </w:rPr>
        <w:t>。</w:t>
      </w:r>
      <w:r w:rsidR="000E5911" w:rsidRPr="008F4247">
        <w:rPr>
          <w:rFonts w:ascii="Times New Roman" w:hAnsi="Times New Roman" w:cs="Times New Roman"/>
          <w:bCs/>
          <w:color w:val="auto"/>
          <w:kern w:val="2"/>
          <w:szCs w:val="20"/>
        </w:rPr>
        <w:t>202</w:t>
      </w:r>
      <w:r w:rsidR="001A728F">
        <w:rPr>
          <w:rFonts w:ascii="Times New Roman" w:hAnsi="Times New Roman" w:cs="Times New Roman"/>
          <w:bCs/>
          <w:color w:val="auto"/>
          <w:kern w:val="2"/>
          <w:szCs w:val="20"/>
        </w:rPr>
        <w:t>1</w:t>
      </w:r>
      <w:r w:rsidR="000E5911" w:rsidRPr="008F4247">
        <w:rPr>
          <w:rFonts w:ascii="Times New Roman" w:hAnsi="Times New Roman" w:cs="Times New Roman"/>
          <w:bCs/>
          <w:color w:val="auto"/>
          <w:kern w:val="2"/>
          <w:szCs w:val="20"/>
        </w:rPr>
        <w:t>年</w:t>
      </w:r>
      <w:r w:rsidR="003209ED">
        <w:rPr>
          <w:rFonts w:ascii="Times New Roman" w:hAnsi="Times New Roman" w:cs="Times New Roman" w:hint="eastAsia"/>
          <w:bCs/>
          <w:color w:val="auto"/>
          <w:kern w:val="2"/>
          <w:szCs w:val="20"/>
        </w:rPr>
        <w:t>8</w:t>
      </w:r>
      <w:r w:rsidR="000E5911" w:rsidRPr="008F4247">
        <w:rPr>
          <w:rFonts w:ascii="Times New Roman" w:hAnsi="Times New Roman" w:cs="Times New Roman"/>
          <w:bCs/>
          <w:color w:val="auto"/>
          <w:kern w:val="2"/>
          <w:szCs w:val="20"/>
        </w:rPr>
        <w:t>月</w:t>
      </w:r>
      <w:r w:rsidR="003209ED">
        <w:rPr>
          <w:rFonts w:ascii="Times New Roman" w:hAnsi="Times New Roman" w:cs="Times New Roman" w:hint="eastAsia"/>
          <w:bCs/>
          <w:color w:val="auto"/>
          <w:kern w:val="2"/>
          <w:szCs w:val="20"/>
        </w:rPr>
        <w:t>2</w:t>
      </w:r>
      <w:r w:rsidR="00E35A68">
        <w:rPr>
          <w:rFonts w:ascii="Times New Roman" w:hAnsi="Times New Roman" w:cs="Times New Roman"/>
          <w:bCs/>
          <w:color w:val="auto"/>
          <w:kern w:val="2"/>
          <w:szCs w:val="20"/>
        </w:rPr>
        <w:t>7</w:t>
      </w:r>
      <w:r w:rsidR="000E5911" w:rsidRPr="008F4247">
        <w:rPr>
          <w:rFonts w:ascii="Times New Roman" w:hAnsi="Times New Roman" w:cs="Times New Roman"/>
          <w:bCs/>
          <w:color w:val="auto"/>
          <w:kern w:val="2"/>
          <w:szCs w:val="20"/>
        </w:rPr>
        <w:t>日，本基</w:t>
      </w:r>
      <w:r w:rsidR="000E5911" w:rsidRPr="006E1703">
        <w:rPr>
          <w:rFonts w:ascii="Times New Roman" w:hAnsi="Times New Roman" w:cs="Times New Roman"/>
          <w:bCs/>
          <w:color w:val="auto"/>
          <w:kern w:val="2"/>
          <w:szCs w:val="20"/>
        </w:rPr>
        <w:t>金二级市场收盘价为</w:t>
      </w:r>
      <w:r w:rsidR="003209ED">
        <w:rPr>
          <w:rFonts w:ascii="Times New Roman" w:hAnsi="Times New Roman" w:cs="Times New Roman"/>
          <w:bCs/>
          <w:color w:val="auto"/>
          <w:kern w:val="2"/>
          <w:szCs w:val="20"/>
        </w:rPr>
        <w:t>2.109</w:t>
      </w:r>
      <w:r w:rsidR="000E5911" w:rsidRPr="006E1703">
        <w:rPr>
          <w:rFonts w:ascii="Times New Roman" w:hAnsi="Times New Roman" w:cs="Times New Roman"/>
          <w:bCs/>
          <w:color w:val="auto"/>
          <w:kern w:val="2"/>
          <w:szCs w:val="20"/>
        </w:rPr>
        <w:t>元</w:t>
      </w:r>
      <w:r w:rsidR="000E5911" w:rsidRPr="008F4247">
        <w:rPr>
          <w:rFonts w:ascii="Times New Roman" w:hAnsi="Times New Roman" w:cs="Times New Roman"/>
          <w:bCs/>
          <w:color w:val="auto"/>
          <w:kern w:val="2"/>
          <w:szCs w:val="20"/>
        </w:rPr>
        <w:t>，明显高于基金份额参考净值，投资者如果盲目投资于高溢价率的基金，可能遭受重大损失。</w:t>
      </w:r>
    </w:p>
    <w:p w:rsidR="00F53BB2" w:rsidRPr="008F4247" w:rsidRDefault="00F53BB2"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为此，本基金管理人提示如下：</w:t>
      </w:r>
      <w:r w:rsidRPr="008F4247">
        <w:rPr>
          <w:rFonts w:ascii="Times New Roman" w:hAnsi="Times New Roman" w:cs="Times New Roman"/>
          <w:bCs/>
          <w:color w:val="auto"/>
          <w:kern w:val="2"/>
          <w:szCs w:val="20"/>
        </w:rPr>
        <w:t xml:space="preserve"> </w:t>
      </w:r>
    </w:p>
    <w:p w:rsidR="0033485F" w:rsidRPr="008F4247" w:rsidRDefault="00F53BB2"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1</w:t>
      </w:r>
      <w:r w:rsidRPr="008F4247">
        <w:rPr>
          <w:rFonts w:ascii="Times New Roman" w:hAnsi="Times New Roman" w:cs="Times New Roman"/>
          <w:bCs/>
          <w:color w:val="auto"/>
          <w:kern w:val="2"/>
          <w:szCs w:val="20"/>
        </w:rPr>
        <w:t>、</w:t>
      </w:r>
      <w:r w:rsidR="0033485F" w:rsidRPr="008F4247">
        <w:rPr>
          <w:rFonts w:ascii="Times New Roman" w:hAnsi="Times New Roman" w:cs="Times New Roman"/>
          <w:bCs/>
          <w:color w:val="auto"/>
          <w:kern w:val="2"/>
          <w:szCs w:val="20"/>
        </w:rPr>
        <w:t>本基金为交易型开放式基金，除可在二级市场交易外，投资人还可以申购、赎回本基金。</w:t>
      </w:r>
    </w:p>
    <w:p w:rsidR="00F53BB2" w:rsidRPr="008F4247" w:rsidRDefault="0033485F"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2</w:t>
      </w:r>
      <w:r w:rsidRPr="008F4247">
        <w:rPr>
          <w:rFonts w:ascii="Times New Roman" w:hAnsi="Times New Roman" w:cs="Times New Roman"/>
          <w:bCs/>
          <w:color w:val="auto"/>
          <w:kern w:val="2"/>
          <w:szCs w:val="20"/>
        </w:rPr>
        <w:t>、本基金二级市场</w:t>
      </w:r>
      <w:r w:rsidR="00F53BB2" w:rsidRPr="008F4247">
        <w:rPr>
          <w:rFonts w:ascii="Times New Roman" w:hAnsi="Times New Roman" w:cs="Times New Roman"/>
          <w:bCs/>
          <w:color w:val="auto"/>
          <w:kern w:val="2"/>
          <w:szCs w:val="20"/>
        </w:rPr>
        <w:t>的交易价格，除了有份额参考净值变化的风险外，还会受到市场的系统性风险、流动性风险等其他风险影响，可能使投资者面临损失。</w:t>
      </w:r>
    </w:p>
    <w:p w:rsidR="00F53BB2" w:rsidRPr="008F4247" w:rsidRDefault="0033485F"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3</w:t>
      </w:r>
      <w:r w:rsidR="00F53BB2" w:rsidRPr="008F4247">
        <w:rPr>
          <w:rFonts w:ascii="Times New Roman" w:hAnsi="Times New Roman" w:cs="Times New Roman"/>
          <w:bCs/>
          <w:color w:val="auto"/>
          <w:kern w:val="2"/>
          <w:szCs w:val="20"/>
        </w:rPr>
        <w:t>、截至本公告披露日，</w:t>
      </w:r>
      <w:r w:rsidRPr="008F4247">
        <w:rPr>
          <w:rFonts w:ascii="Times New Roman" w:hAnsi="Times New Roman" w:cs="Times New Roman"/>
          <w:bCs/>
          <w:color w:val="auto"/>
          <w:kern w:val="2"/>
          <w:szCs w:val="20"/>
        </w:rPr>
        <w:t>本基金</w:t>
      </w:r>
      <w:r w:rsidR="00F53BB2" w:rsidRPr="008F4247">
        <w:rPr>
          <w:rFonts w:ascii="Times New Roman" w:hAnsi="Times New Roman" w:cs="Times New Roman"/>
          <w:bCs/>
          <w:color w:val="auto"/>
          <w:kern w:val="2"/>
          <w:szCs w:val="20"/>
        </w:rPr>
        <w:t>运作正常。本基金管理人仍将严格按照法律法规及基金合同进行投资运作。</w:t>
      </w:r>
      <w:r w:rsidR="00F53BB2" w:rsidRPr="008F4247">
        <w:rPr>
          <w:rFonts w:ascii="Times New Roman" w:hAnsi="Times New Roman" w:cs="Times New Roman"/>
          <w:bCs/>
          <w:color w:val="auto"/>
          <w:kern w:val="2"/>
          <w:szCs w:val="20"/>
        </w:rPr>
        <w:t xml:space="preserve"> </w:t>
      </w:r>
    </w:p>
    <w:p w:rsidR="00490293" w:rsidRPr="008F4247" w:rsidRDefault="0033485F"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4</w:t>
      </w:r>
      <w:r w:rsidR="00F53BB2" w:rsidRPr="008F4247">
        <w:rPr>
          <w:rFonts w:ascii="Times New Roman" w:hAnsi="Times New Roman" w:cs="Times New Roman"/>
          <w:bCs/>
          <w:color w:val="auto"/>
          <w:kern w:val="2"/>
          <w:szCs w:val="20"/>
        </w:rPr>
        <w:t>、截至本公告披露日，</w:t>
      </w:r>
      <w:r w:rsidRPr="008F4247">
        <w:rPr>
          <w:rFonts w:ascii="Times New Roman" w:hAnsi="Times New Roman" w:cs="Times New Roman"/>
          <w:bCs/>
          <w:color w:val="auto"/>
          <w:kern w:val="2"/>
          <w:szCs w:val="20"/>
        </w:rPr>
        <w:t>本基金</w:t>
      </w:r>
      <w:r w:rsidR="00F53BB2" w:rsidRPr="008F4247">
        <w:rPr>
          <w:rFonts w:ascii="Times New Roman" w:hAnsi="Times New Roman" w:cs="Times New Roman"/>
          <w:bCs/>
          <w:color w:val="auto"/>
          <w:kern w:val="2"/>
          <w:szCs w:val="20"/>
        </w:rPr>
        <w:t>无其他应披露而未披露的重大信息。本基金管理人仍将严格按照有关规定和要求，及时做好信息披露工作。</w:t>
      </w:r>
      <w:r w:rsidR="00F53BB2" w:rsidRPr="008F4247">
        <w:rPr>
          <w:rFonts w:ascii="Times New Roman" w:hAnsi="Times New Roman" w:cs="Times New Roman"/>
          <w:bCs/>
          <w:color w:val="auto"/>
          <w:kern w:val="2"/>
          <w:szCs w:val="20"/>
        </w:rPr>
        <w:t xml:space="preserve"> </w:t>
      </w:r>
    </w:p>
    <w:p w:rsidR="00D92F3D" w:rsidRPr="008F4247" w:rsidRDefault="00D92F3D" w:rsidP="00490293">
      <w:pPr>
        <w:pStyle w:val="Default"/>
        <w:spacing w:line="360" w:lineRule="auto"/>
        <w:ind w:firstLineChars="200" w:firstLine="480"/>
        <w:rPr>
          <w:rFonts w:ascii="Times New Roman" w:hAnsi="Times New Roman" w:cs="Times New Roman"/>
          <w:b/>
          <w:bCs/>
          <w:color w:val="auto"/>
          <w:kern w:val="2"/>
          <w:szCs w:val="20"/>
        </w:rPr>
      </w:pPr>
    </w:p>
    <w:p w:rsidR="00490293" w:rsidRPr="008F4247" w:rsidRDefault="00F53BB2" w:rsidP="00490293">
      <w:pPr>
        <w:pStyle w:val="Default"/>
        <w:spacing w:line="360" w:lineRule="auto"/>
        <w:ind w:firstLineChars="200" w:firstLine="480"/>
        <w:rPr>
          <w:rFonts w:ascii="Times New Roman" w:hAnsi="Times New Roman" w:cs="Times New Roman"/>
          <w:b/>
          <w:bCs/>
          <w:color w:val="auto"/>
          <w:kern w:val="2"/>
          <w:szCs w:val="20"/>
        </w:rPr>
      </w:pPr>
      <w:r w:rsidRPr="008F4247">
        <w:rPr>
          <w:rFonts w:ascii="Times New Roman" w:hAnsi="Times New Roman" w:cs="Times New Roman"/>
          <w:b/>
          <w:bCs/>
          <w:color w:val="auto"/>
          <w:kern w:val="2"/>
          <w:szCs w:val="20"/>
        </w:rPr>
        <w:t>风险提示：</w:t>
      </w:r>
    </w:p>
    <w:p w:rsidR="00F53BB2" w:rsidRPr="008F4247" w:rsidRDefault="00490293"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本基金管理人承诺以诚实信用、勤勉尽责的原则管理和运用基金财产，但不保证基金一定盈利，也不保证最低收益。基金的过往业绩并不代表其将来表现，基金管理人管理的其他基金的业绩并不构成对本基金业绩表现的保证。投资有风险，敬请投资者认真阅读基金的相关法律文件，了解基金产品的详细情况，选择与自身风险识别能力和风险承受能力相匹配的基金产品进行投资。本公告的解释权归本基金管理人所有。</w:t>
      </w:r>
      <w:r w:rsidR="00F53BB2" w:rsidRPr="008F4247">
        <w:rPr>
          <w:rFonts w:ascii="Times New Roman" w:hAnsi="Times New Roman" w:cs="Times New Roman"/>
          <w:bCs/>
          <w:color w:val="auto"/>
          <w:kern w:val="2"/>
          <w:szCs w:val="20"/>
        </w:rPr>
        <w:t xml:space="preserve"> </w:t>
      </w:r>
    </w:p>
    <w:p w:rsidR="00F53BB2" w:rsidRPr="008F4247" w:rsidRDefault="00F53BB2" w:rsidP="00490293">
      <w:pPr>
        <w:pStyle w:val="Default"/>
        <w:spacing w:line="360" w:lineRule="auto"/>
        <w:ind w:firstLineChars="200" w:firstLine="480"/>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特此公告。</w:t>
      </w:r>
      <w:r w:rsidRPr="008F4247">
        <w:rPr>
          <w:rFonts w:ascii="Times New Roman" w:hAnsi="Times New Roman" w:cs="Times New Roman"/>
          <w:bCs/>
          <w:color w:val="auto"/>
          <w:kern w:val="2"/>
          <w:szCs w:val="20"/>
        </w:rPr>
        <w:t xml:space="preserve"> </w:t>
      </w:r>
    </w:p>
    <w:p w:rsidR="00503F45" w:rsidRPr="008F4247" w:rsidRDefault="00503F45" w:rsidP="00490293">
      <w:pPr>
        <w:pStyle w:val="Default"/>
        <w:spacing w:line="360" w:lineRule="auto"/>
        <w:ind w:firstLineChars="200" w:firstLine="480"/>
        <w:rPr>
          <w:rFonts w:ascii="Times New Roman" w:hAnsi="Times New Roman" w:cs="Times New Roman"/>
          <w:bCs/>
          <w:color w:val="auto"/>
          <w:kern w:val="2"/>
          <w:szCs w:val="20"/>
        </w:rPr>
      </w:pPr>
    </w:p>
    <w:p w:rsidR="00F53BB2" w:rsidRPr="008F4247" w:rsidRDefault="00490293" w:rsidP="00490293">
      <w:pPr>
        <w:pStyle w:val="Default"/>
        <w:spacing w:line="360" w:lineRule="auto"/>
        <w:jc w:val="right"/>
        <w:rPr>
          <w:rFonts w:ascii="Times New Roman" w:hAnsi="Times New Roman" w:cs="Times New Roman"/>
          <w:bCs/>
          <w:color w:val="auto"/>
          <w:kern w:val="2"/>
          <w:szCs w:val="20"/>
        </w:rPr>
      </w:pPr>
      <w:r w:rsidRPr="008F4247">
        <w:rPr>
          <w:rFonts w:ascii="Times New Roman" w:hAnsi="Times New Roman" w:cs="Times New Roman"/>
          <w:bCs/>
          <w:color w:val="auto"/>
          <w:kern w:val="2"/>
          <w:szCs w:val="20"/>
        </w:rPr>
        <w:t>弘毅远方基金</w:t>
      </w:r>
      <w:r w:rsidR="00F53BB2" w:rsidRPr="008F4247">
        <w:rPr>
          <w:rFonts w:ascii="Times New Roman" w:hAnsi="Times New Roman" w:cs="Times New Roman"/>
          <w:bCs/>
          <w:color w:val="auto"/>
          <w:kern w:val="2"/>
          <w:szCs w:val="20"/>
        </w:rPr>
        <w:t>管理有限公司</w:t>
      </w:r>
      <w:r w:rsidR="00F53BB2" w:rsidRPr="008F4247">
        <w:rPr>
          <w:rFonts w:ascii="Times New Roman" w:hAnsi="Times New Roman" w:cs="Times New Roman"/>
          <w:bCs/>
          <w:color w:val="auto"/>
          <w:kern w:val="2"/>
          <w:szCs w:val="20"/>
        </w:rPr>
        <w:t xml:space="preserve"> </w:t>
      </w:r>
    </w:p>
    <w:p w:rsidR="00F53BB2" w:rsidRPr="00490293" w:rsidRDefault="00F53BB2" w:rsidP="00102E4D">
      <w:pPr>
        <w:pStyle w:val="Default"/>
        <w:spacing w:line="360" w:lineRule="auto"/>
        <w:jc w:val="right"/>
        <w:rPr>
          <w:rFonts w:ascii="Times New Roman" w:hAnsi="Times New Roman" w:cs="Times New Roman" w:hint="eastAsia"/>
          <w:bCs/>
          <w:color w:val="auto"/>
          <w:kern w:val="2"/>
          <w:szCs w:val="20"/>
        </w:rPr>
      </w:pPr>
      <w:r w:rsidRPr="008F4247">
        <w:rPr>
          <w:rFonts w:ascii="Times New Roman" w:hAnsi="Times New Roman" w:cs="Times New Roman"/>
          <w:bCs/>
          <w:color w:val="auto"/>
          <w:kern w:val="2"/>
          <w:szCs w:val="20"/>
        </w:rPr>
        <w:t>202</w:t>
      </w:r>
      <w:r w:rsidR="001A728F">
        <w:rPr>
          <w:rFonts w:ascii="Times New Roman" w:hAnsi="Times New Roman" w:cs="Times New Roman"/>
          <w:bCs/>
          <w:color w:val="auto"/>
          <w:kern w:val="2"/>
          <w:szCs w:val="20"/>
        </w:rPr>
        <w:t>1</w:t>
      </w:r>
      <w:r w:rsidRPr="008F4247">
        <w:rPr>
          <w:rFonts w:ascii="Times New Roman" w:hAnsi="Times New Roman" w:cs="Times New Roman"/>
          <w:bCs/>
          <w:color w:val="auto"/>
          <w:kern w:val="2"/>
          <w:szCs w:val="20"/>
        </w:rPr>
        <w:t>年</w:t>
      </w:r>
      <w:r w:rsidR="003209ED">
        <w:rPr>
          <w:rFonts w:ascii="Times New Roman" w:hAnsi="Times New Roman" w:cs="Times New Roman"/>
          <w:bCs/>
          <w:color w:val="auto"/>
          <w:kern w:val="2"/>
          <w:szCs w:val="20"/>
        </w:rPr>
        <w:t>8</w:t>
      </w:r>
      <w:r w:rsidRPr="008F4247">
        <w:rPr>
          <w:rFonts w:ascii="Times New Roman" w:hAnsi="Times New Roman" w:cs="Times New Roman"/>
          <w:bCs/>
          <w:color w:val="auto"/>
          <w:kern w:val="2"/>
          <w:szCs w:val="20"/>
        </w:rPr>
        <w:t>月</w:t>
      </w:r>
      <w:r w:rsidR="003209ED">
        <w:rPr>
          <w:rFonts w:ascii="Times New Roman" w:hAnsi="Times New Roman" w:cs="Times New Roman" w:hint="eastAsia"/>
          <w:bCs/>
          <w:color w:val="auto"/>
          <w:kern w:val="2"/>
          <w:szCs w:val="20"/>
        </w:rPr>
        <w:t>2</w:t>
      </w:r>
      <w:r w:rsidR="007475A5">
        <w:rPr>
          <w:rFonts w:ascii="Times New Roman" w:hAnsi="Times New Roman" w:cs="Times New Roman"/>
          <w:bCs/>
          <w:color w:val="auto"/>
          <w:kern w:val="2"/>
          <w:szCs w:val="20"/>
        </w:rPr>
        <w:t>8</w:t>
      </w:r>
      <w:r w:rsidRPr="008F4247">
        <w:rPr>
          <w:rFonts w:ascii="Times New Roman" w:hAnsi="Times New Roman" w:cs="Times New Roman"/>
          <w:bCs/>
          <w:color w:val="auto"/>
          <w:kern w:val="2"/>
          <w:szCs w:val="20"/>
        </w:rPr>
        <w:t>日</w:t>
      </w:r>
    </w:p>
    <w:sectPr w:rsidR="00F53BB2" w:rsidRPr="00490293">
      <w:pgSz w:w="11906" w:h="17338"/>
      <w:pgMar w:top="1939" w:right="1554" w:bottom="1440" w:left="163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469" w:rsidRDefault="00727469" w:rsidP="00490293">
      <w:r>
        <w:separator/>
      </w:r>
    </w:p>
  </w:endnote>
  <w:endnote w:type="continuationSeparator" w:id="0">
    <w:p w:rsidR="00727469" w:rsidRDefault="00727469" w:rsidP="00490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469" w:rsidRDefault="00727469" w:rsidP="00490293">
      <w:r>
        <w:separator/>
      </w:r>
    </w:p>
  </w:footnote>
  <w:footnote w:type="continuationSeparator" w:id="0">
    <w:p w:rsidR="00727469" w:rsidRDefault="00727469" w:rsidP="00490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293"/>
    <w:rsid w:val="00013C0B"/>
    <w:rsid w:val="0001766C"/>
    <w:rsid w:val="00030359"/>
    <w:rsid w:val="000B7EE1"/>
    <w:rsid w:val="000E5911"/>
    <w:rsid w:val="00102E4D"/>
    <w:rsid w:val="00146665"/>
    <w:rsid w:val="00150CC4"/>
    <w:rsid w:val="00190EBE"/>
    <w:rsid w:val="001A728F"/>
    <w:rsid w:val="001B4B21"/>
    <w:rsid w:val="001D33AD"/>
    <w:rsid w:val="002943EF"/>
    <w:rsid w:val="002C3566"/>
    <w:rsid w:val="003176B8"/>
    <w:rsid w:val="003209ED"/>
    <w:rsid w:val="0033485F"/>
    <w:rsid w:val="00351B5B"/>
    <w:rsid w:val="00362476"/>
    <w:rsid w:val="00376041"/>
    <w:rsid w:val="003A2043"/>
    <w:rsid w:val="003A7432"/>
    <w:rsid w:val="00482CC9"/>
    <w:rsid w:val="00490293"/>
    <w:rsid w:val="004D4843"/>
    <w:rsid w:val="00503F45"/>
    <w:rsid w:val="00510ADB"/>
    <w:rsid w:val="005424D9"/>
    <w:rsid w:val="00582B48"/>
    <w:rsid w:val="005F0ADD"/>
    <w:rsid w:val="006001F3"/>
    <w:rsid w:val="00605BC8"/>
    <w:rsid w:val="00617972"/>
    <w:rsid w:val="0062176D"/>
    <w:rsid w:val="006538A3"/>
    <w:rsid w:val="00667F09"/>
    <w:rsid w:val="00673A74"/>
    <w:rsid w:val="00693F51"/>
    <w:rsid w:val="006C62B7"/>
    <w:rsid w:val="006E1703"/>
    <w:rsid w:val="006F5F0F"/>
    <w:rsid w:val="00727469"/>
    <w:rsid w:val="00732938"/>
    <w:rsid w:val="007475A5"/>
    <w:rsid w:val="00750214"/>
    <w:rsid w:val="007851E1"/>
    <w:rsid w:val="00794AD3"/>
    <w:rsid w:val="007A0E69"/>
    <w:rsid w:val="007E3C93"/>
    <w:rsid w:val="00806DAD"/>
    <w:rsid w:val="008329AF"/>
    <w:rsid w:val="00846BB1"/>
    <w:rsid w:val="00860757"/>
    <w:rsid w:val="008631E1"/>
    <w:rsid w:val="008E4F35"/>
    <w:rsid w:val="008F4247"/>
    <w:rsid w:val="008F66D2"/>
    <w:rsid w:val="00926F50"/>
    <w:rsid w:val="00973865"/>
    <w:rsid w:val="009A7EF6"/>
    <w:rsid w:val="009E5FC7"/>
    <w:rsid w:val="00A15A6A"/>
    <w:rsid w:val="00A43E2E"/>
    <w:rsid w:val="00A77C72"/>
    <w:rsid w:val="00B34561"/>
    <w:rsid w:val="00B81D04"/>
    <w:rsid w:val="00BE07F0"/>
    <w:rsid w:val="00BF00BB"/>
    <w:rsid w:val="00CC0E0C"/>
    <w:rsid w:val="00CD6576"/>
    <w:rsid w:val="00D21E69"/>
    <w:rsid w:val="00D51BEE"/>
    <w:rsid w:val="00D62FE1"/>
    <w:rsid w:val="00D8630B"/>
    <w:rsid w:val="00D92F3D"/>
    <w:rsid w:val="00DA2103"/>
    <w:rsid w:val="00DD1FD6"/>
    <w:rsid w:val="00E35A68"/>
    <w:rsid w:val="00EA5EBE"/>
    <w:rsid w:val="00EC0BE1"/>
    <w:rsid w:val="00ED3F47"/>
    <w:rsid w:val="00EE2419"/>
    <w:rsid w:val="00F53BB2"/>
    <w:rsid w:val="00FA2902"/>
    <w:rsid w:val="00FA319A"/>
    <w:rsid w:val="00FB3352"/>
    <w:rsid w:val="00FF4255"/>
    <w:rsid w:val="00FF5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3">
    <w:name w:val="header"/>
    <w:basedOn w:val="a"/>
    <w:link w:val="Char"/>
    <w:uiPriority w:val="99"/>
    <w:unhideWhenUsed/>
    <w:rsid w:val="004902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90293"/>
    <w:rPr>
      <w:rFonts w:cs="Times New Roman"/>
      <w:sz w:val="18"/>
      <w:szCs w:val="18"/>
    </w:rPr>
  </w:style>
  <w:style w:type="paragraph" w:styleId="a4">
    <w:name w:val="footer"/>
    <w:basedOn w:val="a"/>
    <w:link w:val="Char0"/>
    <w:uiPriority w:val="99"/>
    <w:unhideWhenUsed/>
    <w:rsid w:val="00490293"/>
    <w:pPr>
      <w:tabs>
        <w:tab w:val="center" w:pos="4153"/>
        <w:tab w:val="right" w:pos="8306"/>
      </w:tabs>
      <w:snapToGrid w:val="0"/>
      <w:jc w:val="left"/>
    </w:pPr>
    <w:rPr>
      <w:sz w:val="18"/>
      <w:szCs w:val="18"/>
    </w:rPr>
  </w:style>
  <w:style w:type="character" w:customStyle="1" w:styleId="Char0">
    <w:name w:val="页脚 Char"/>
    <w:link w:val="a4"/>
    <w:uiPriority w:val="99"/>
    <w:locked/>
    <w:rsid w:val="00490293"/>
    <w:rPr>
      <w:rFonts w:cs="Times New Roman"/>
      <w:sz w:val="18"/>
      <w:szCs w:val="18"/>
    </w:rPr>
  </w:style>
  <w:style w:type="paragraph" w:styleId="a5">
    <w:name w:val="Title"/>
    <w:basedOn w:val="a"/>
    <w:next w:val="a"/>
    <w:link w:val="Char1"/>
    <w:uiPriority w:val="10"/>
    <w:qFormat/>
    <w:rsid w:val="00490293"/>
    <w:pPr>
      <w:spacing w:before="240" w:after="60"/>
      <w:jc w:val="center"/>
      <w:outlineLvl w:val="0"/>
    </w:pPr>
    <w:rPr>
      <w:rFonts w:ascii="Calibri Light" w:hAnsi="Calibri Light"/>
      <w:b/>
      <w:bCs/>
      <w:sz w:val="32"/>
      <w:szCs w:val="32"/>
    </w:rPr>
  </w:style>
  <w:style w:type="character" w:customStyle="1" w:styleId="Char1">
    <w:name w:val="标题 Char"/>
    <w:link w:val="a5"/>
    <w:uiPriority w:val="10"/>
    <w:locked/>
    <w:rsid w:val="00490293"/>
    <w:rPr>
      <w:rFonts w:ascii="Calibri Light" w:eastAsia="宋体" w:hAnsi="Calibri Light" w:cs="Times New Roman"/>
      <w:b/>
      <w:bCs/>
      <w:sz w:val="32"/>
      <w:szCs w:val="32"/>
    </w:rPr>
  </w:style>
  <w:style w:type="paragraph" w:styleId="a6">
    <w:name w:val="Balloon Text"/>
    <w:basedOn w:val="a"/>
    <w:link w:val="Char2"/>
    <w:uiPriority w:val="99"/>
    <w:semiHidden/>
    <w:unhideWhenUsed/>
    <w:rsid w:val="00482CC9"/>
    <w:rPr>
      <w:sz w:val="18"/>
      <w:szCs w:val="18"/>
    </w:rPr>
  </w:style>
  <w:style w:type="character" w:customStyle="1" w:styleId="Char2">
    <w:name w:val="批注框文本 Char"/>
    <w:link w:val="a6"/>
    <w:uiPriority w:val="99"/>
    <w:semiHidden/>
    <w:rsid w:val="00482CC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4</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弘毅远方国证消费100交易型开放式证券投资基金场内交易价格溢价风险提示公告</dc:title>
  <dc:subject/>
  <dc:creator>周泽颖</dc:creator>
  <cp:keywords/>
  <dc:description/>
  <cp:lastModifiedBy>ZHONGM</cp:lastModifiedBy>
  <cp:revision>2</cp:revision>
  <cp:lastPrinted>2021-01-06T08:53:00Z</cp:lastPrinted>
  <dcterms:created xsi:type="dcterms:W3CDTF">2021-08-27T16:54:00Z</dcterms:created>
  <dcterms:modified xsi:type="dcterms:W3CDTF">2021-08-27T16:54:00Z</dcterms:modified>
</cp:coreProperties>
</file>