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FD63C1">
      <w:pPr>
        <w:spacing w:line="360" w:lineRule="auto"/>
        <w:jc w:val="center"/>
        <w:rPr>
          <w:rFonts w:hAnsi="宋体"/>
          <w:b/>
          <w:bCs/>
          <w:color w:val="000000"/>
          <w:sz w:val="24"/>
        </w:rPr>
      </w:pPr>
      <w:bookmarkStart w:id="0" w:name="_GoBack"/>
      <w:bookmarkEnd w:id="0"/>
      <w:r>
        <w:rPr>
          <w:rFonts w:hAnsi="宋体" w:hint="eastAsia"/>
          <w:b/>
          <w:bCs/>
          <w:color w:val="000000"/>
          <w:sz w:val="24"/>
        </w:rPr>
        <w:t>华夏基金管理有限公司关于旗下部分开放式基金新增代销机构的公告</w:t>
      </w:r>
    </w:p>
    <w:p w:rsidR="00E03419" w:rsidRDefault="00E03419" w:rsidP="00FD63C1">
      <w:pPr>
        <w:spacing w:line="360" w:lineRule="auto"/>
        <w:jc w:val="center"/>
        <w:rPr>
          <w:b/>
          <w:bCs/>
          <w:color w:val="000000"/>
          <w:sz w:val="24"/>
        </w:rPr>
      </w:pPr>
    </w:p>
    <w:p w:rsidR="00E03419" w:rsidRDefault="00E03419" w:rsidP="00FD63C1">
      <w:pPr>
        <w:spacing w:line="360" w:lineRule="auto"/>
        <w:ind w:firstLineChars="200" w:firstLine="480"/>
        <w:rPr>
          <w:rFonts w:hAnsi="宋体"/>
          <w:color w:val="000000"/>
          <w:sz w:val="24"/>
        </w:rPr>
      </w:pPr>
      <w:r>
        <w:rPr>
          <w:rFonts w:hAnsi="宋体" w:hint="eastAsia"/>
          <w:color w:val="000000"/>
          <w:sz w:val="24"/>
        </w:rPr>
        <w:t>根据华夏基金管理有限公司（以下简称“本公司”）与</w:t>
      </w:r>
      <w:r w:rsidR="00C27E1E" w:rsidRPr="00C27E1E">
        <w:rPr>
          <w:rFonts w:hAnsi="宋体" w:hint="eastAsia"/>
          <w:color w:val="000000"/>
          <w:sz w:val="24"/>
        </w:rPr>
        <w:t>上海利得基金销售有限公司</w:t>
      </w:r>
      <w:r w:rsidR="00C27E1E">
        <w:rPr>
          <w:rFonts w:hAnsi="宋体" w:hint="eastAsia"/>
          <w:color w:val="000000"/>
          <w:sz w:val="24"/>
        </w:rPr>
        <w:t>和</w:t>
      </w:r>
      <w:r w:rsidR="00C27E1E" w:rsidRPr="00C27E1E">
        <w:rPr>
          <w:rFonts w:hAnsi="宋体" w:hint="eastAsia"/>
          <w:color w:val="000000"/>
          <w:sz w:val="24"/>
        </w:rPr>
        <w:t>华泰证券股份有限公司</w:t>
      </w:r>
      <w:r>
        <w:rPr>
          <w:rFonts w:hAnsi="宋体" w:hint="eastAsia"/>
          <w:color w:val="000000"/>
          <w:sz w:val="24"/>
        </w:rPr>
        <w:t>签署的代销协议，</w:t>
      </w:r>
      <w:r>
        <w:rPr>
          <w:rFonts w:hint="eastAsia"/>
          <w:sz w:val="24"/>
        </w:rPr>
        <w:t>投资者可自</w:t>
      </w:r>
      <w:r w:rsidR="00304E9C">
        <w:rPr>
          <w:sz w:val="24"/>
        </w:rPr>
        <w:t>2021</w:t>
      </w:r>
      <w:r w:rsidR="00304E9C">
        <w:rPr>
          <w:rFonts w:hint="eastAsia"/>
          <w:sz w:val="24"/>
        </w:rPr>
        <w:t>年</w:t>
      </w:r>
      <w:r w:rsidR="00443D55">
        <w:rPr>
          <w:sz w:val="24"/>
        </w:rPr>
        <w:t>8</w:t>
      </w:r>
      <w:r w:rsidR="00304E9C">
        <w:rPr>
          <w:rFonts w:hint="eastAsia"/>
          <w:sz w:val="24"/>
        </w:rPr>
        <w:t>月</w:t>
      </w:r>
      <w:r w:rsidR="00C27E1E">
        <w:rPr>
          <w:sz w:val="24"/>
        </w:rPr>
        <w:t>23</w:t>
      </w:r>
      <w:r>
        <w:rPr>
          <w:rFonts w:hint="eastAsia"/>
          <w:sz w:val="24"/>
        </w:rPr>
        <w:t>日起在</w:t>
      </w:r>
      <w:r w:rsidR="004936C5">
        <w:rPr>
          <w:rFonts w:hint="eastAsia"/>
          <w:sz w:val="24"/>
        </w:rPr>
        <w:t>上述</w:t>
      </w:r>
      <w:r w:rsidR="00854B1E" w:rsidRPr="00A13715">
        <w:rPr>
          <w:rFonts w:hAnsi="宋体" w:hint="eastAsia"/>
          <w:sz w:val="24"/>
        </w:rPr>
        <w:t>销售</w:t>
      </w:r>
      <w:r w:rsidR="00854B1E">
        <w:rPr>
          <w:rFonts w:hAnsi="宋体" w:hint="eastAsia"/>
          <w:sz w:val="24"/>
        </w:rPr>
        <w:t>机构</w:t>
      </w:r>
      <w:r>
        <w:rPr>
          <w:rFonts w:hint="eastAsia"/>
          <w:sz w:val="24"/>
        </w:rPr>
        <w:t>办理</w:t>
      </w:r>
      <w:r>
        <w:rPr>
          <w:rFonts w:hAnsi="宋体" w:hint="eastAsia"/>
          <w:color w:val="000000"/>
          <w:sz w:val="24"/>
        </w:rPr>
        <w:t>本公司旗下</w:t>
      </w:r>
      <w:r>
        <w:rPr>
          <w:rFonts w:hint="eastAsia"/>
          <w:sz w:val="24"/>
        </w:rPr>
        <w:t>部分开放式基金的</w:t>
      </w:r>
      <w:r w:rsidR="00C27E1E" w:rsidRPr="00C27E1E">
        <w:rPr>
          <w:rFonts w:hint="eastAsia"/>
          <w:sz w:val="24"/>
        </w:rPr>
        <w:t>申购、赎回、转换、定期定额申购业务</w:t>
      </w:r>
      <w:r w:rsidR="00896280">
        <w:rPr>
          <w:rFonts w:hint="eastAsia"/>
          <w:sz w:val="24"/>
        </w:rPr>
        <w:t>，</w:t>
      </w:r>
      <w:r w:rsidR="00830C4C">
        <w:rPr>
          <w:rFonts w:hint="eastAsia"/>
          <w:sz w:val="24"/>
        </w:rPr>
        <w:t>各基金业务开放情况及业务办理状态遵循其具体规定</w:t>
      </w:r>
      <w:r>
        <w:rPr>
          <w:rFonts w:hAnsi="宋体" w:hint="eastAsia"/>
          <w:color w:val="000000"/>
          <w:sz w:val="24"/>
        </w:rPr>
        <w:t>。</w:t>
      </w:r>
      <w:r w:rsidR="00527860">
        <w:rPr>
          <w:rFonts w:hAnsi="宋体" w:hint="eastAsia"/>
          <w:color w:val="000000"/>
          <w:sz w:val="24"/>
        </w:rPr>
        <w:t>具体情况如下：</w:t>
      </w:r>
    </w:p>
    <w:p w:rsidR="00651647" w:rsidRDefault="003F49AE" w:rsidP="00FD63C1">
      <w:pPr>
        <w:pStyle w:val="ac"/>
        <w:numPr>
          <w:ilvl w:val="0"/>
          <w:numId w:val="1"/>
        </w:numPr>
        <w:spacing w:line="360" w:lineRule="auto"/>
        <w:ind w:firstLineChars="0"/>
        <w:outlineLvl w:val="0"/>
        <w:rPr>
          <w:rFonts w:hAnsi="宋体"/>
          <w:color w:val="000000"/>
          <w:sz w:val="24"/>
        </w:rPr>
      </w:pPr>
      <w:r>
        <w:rPr>
          <w:rFonts w:hAnsi="宋体" w:hint="eastAsia"/>
          <w:color w:val="000000"/>
          <w:sz w:val="24"/>
        </w:rPr>
        <w:t>基金</w:t>
      </w:r>
      <w:r w:rsidR="0044531C">
        <w:rPr>
          <w:rFonts w:hAnsi="宋体" w:hint="eastAsia"/>
          <w:color w:val="000000"/>
          <w:sz w:val="24"/>
        </w:rPr>
        <w:t>及</w:t>
      </w:r>
      <w:r w:rsidR="0051089B">
        <w:rPr>
          <w:rFonts w:hAnsi="宋体" w:hint="eastAsia"/>
          <w:color w:val="000000"/>
          <w:sz w:val="24"/>
        </w:rPr>
        <w:t>新增</w:t>
      </w:r>
      <w:r w:rsidR="00F52317">
        <w:rPr>
          <w:rFonts w:hAnsi="宋体" w:hint="eastAsia"/>
          <w:color w:val="000000"/>
          <w:sz w:val="24"/>
        </w:rPr>
        <w:t>上线</w:t>
      </w:r>
      <w:r>
        <w:rPr>
          <w:rFonts w:hAnsi="宋体" w:hint="eastAsia"/>
          <w:color w:val="000000"/>
          <w:sz w:val="24"/>
        </w:rPr>
        <w:t>代销机构明细</w:t>
      </w:r>
    </w:p>
    <w:tbl>
      <w:tblPr>
        <w:tblStyle w:val="ad"/>
        <w:tblW w:w="0" w:type="auto"/>
        <w:jc w:val="center"/>
        <w:tblLook w:val="04A0"/>
      </w:tblPr>
      <w:tblGrid>
        <w:gridCol w:w="1658"/>
        <w:gridCol w:w="3863"/>
        <w:gridCol w:w="2260"/>
      </w:tblGrid>
      <w:tr w:rsidR="00C27E1E" w:rsidTr="00C27E1E">
        <w:trPr>
          <w:jc w:val="center"/>
        </w:trPr>
        <w:tc>
          <w:tcPr>
            <w:tcW w:w="1658" w:type="dxa"/>
            <w:vAlign w:val="center"/>
          </w:tcPr>
          <w:p w:rsidR="00C27E1E" w:rsidRPr="007E5345" w:rsidRDefault="00C27E1E" w:rsidP="00C27E1E">
            <w:pPr>
              <w:jc w:val="center"/>
              <w:rPr>
                <w:b/>
                <w:szCs w:val="21"/>
              </w:rPr>
            </w:pPr>
            <w:r w:rsidRPr="007E5345">
              <w:rPr>
                <w:rFonts w:hint="eastAsia"/>
                <w:b/>
                <w:szCs w:val="21"/>
              </w:rPr>
              <w:t>基金代码</w:t>
            </w:r>
          </w:p>
        </w:tc>
        <w:tc>
          <w:tcPr>
            <w:tcW w:w="0" w:type="auto"/>
            <w:vAlign w:val="center"/>
          </w:tcPr>
          <w:p w:rsidR="00C27E1E" w:rsidRPr="007E5345" w:rsidRDefault="00C27E1E" w:rsidP="00C27E1E">
            <w:pPr>
              <w:jc w:val="center"/>
              <w:rPr>
                <w:b/>
                <w:szCs w:val="21"/>
              </w:rPr>
            </w:pPr>
            <w:r w:rsidRPr="007E5345">
              <w:rPr>
                <w:rFonts w:hint="eastAsia"/>
                <w:b/>
                <w:szCs w:val="21"/>
              </w:rPr>
              <w:t>基金简称</w:t>
            </w:r>
          </w:p>
        </w:tc>
        <w:tc>
          <w:tcPr>
            <w:tcW w:w="2260" w:type="dxa"/>
            <w:vAlign w:val="center"/>
          </w:tcPr>
          <w:p w:rsidR="00C27E1E" w:rsidRPr="007E5345" w:rsidRDefault="00C27E1E" w:rsidP="00C27E1E">
            <w:pPr>
              <w:pStyle w:val="ac"/>
              <w:spacing w:line="360" w:lineRule="auto"/>
              <w:ind w:firstLineChars="0" w:firstLine="0"/>
              <w:jc w:val="center"/>
              <w:outlineLvl w:val="0"/>
              <w:rPr>
                <w:b/>
                <w:szCs w:val="21"/>
              </w:rPr>
            </w:pPr>
            <w:r w:rsidRPr="007E5345">
              <w:rPr>
                <w:rFonts w:hint="eastAsia"/>
                <w:b/>
                <w:szCs w:val="21"/>
              </w:rPr>
              <w:t>新增上线代销机构</w:t>
            </w:r>
          </w:p>
        </w:tc>
      </w:tr>
      <w:tr w:rsidR="00C27E1E" w:rsidTr="00C27E1E">
        <w:trPr>
          <w:jc w:val="center"/>
        </w:trPr>
        <w:tc>
          <w:tcPr>
            <w:tcW w:w="1658" w:type="dxa"/>
          </w:tcPr>
          <w:p w:rsidR="00C27E1E" w:rsidRPr="00C51040" w:rsidRDefault="00C27E1E" w:rsidP="00C27E1E">
            <w:pPr>
              <w:jc w:val="center"/>
            </w:pPr>
            <w:r w:rsidRPr="00C51040">
              <w:rPr>
                <w:rFonts w:hint="eastAsia"/>
              </w:rPr>
              <w:t>007350</w:t>
            </w:r>
          </w:p>
        </w:tc>
        <w:tc>
          <w:tcPr>
            <w:tcW w:w="0" w:type="auto"/>
          </w:tcPr>
          <w:p w:rsidR="00C27E1E" w:rsidRPr="00C51040" w:rsidRDefault="00C27E1E" w:rsidP="00C27E1E">
            <w:r w:rsidRPr="00C51040">
              <w:rPr>
                <w:rFonts w:hint="eastAsia"/>
              </w:rPr>
              <w:t>华夏科技创新混合</w:t>
            </w:r>
            <w:r w:rsidRPr="00C51040">
              <w:rPr>
                <w:rFonts w:hint="eastAsia"/>
              </w:rPr>
              <w:t>C</w:t>
            </w:r>
          </w:p>
        </w:tc>
        <w:tc>
          <w:tcPr>
            <w:tcW w:w="2260" w:type="dxa"/>
            <w:vMerge w:val="restart"/>
            <w:vAlign w:val="center"/>
          </w:tcPr>
          <w:p w:rsidR="00C27E1E" w:rsidRPr="00C51040" w:rsidRDefault="00C27E1E" w:rsidP="00C27E1E">
            <w:r w:rsidRPr="00C51040">
              <w:rPr>
                <w:rFonts w:hint="eastAsia"/>
              </w:rPr>
              <w:t>利得基金</w:t>
            </w:r>
          </w:p>
        </w:tc>
      </w:tr>
      <w:tr w:rsidR="00C27E1E" w:rsidTr="00C27E1E">
        <w:trPr>
          <w:jc w:val="center"/>
        </w:trPr>
        <w:tc>
          <w:tcPr>
            <w:tcW w:w="1658" w:type="dxa"/>
          </w:tcPr>
          <w:p w:rsidR="00C27E1E" w:rsidRPr="00C51040" w:rsidRDefault="00C27E1E" w:rsidP="00C27E1E">
            <w:pPr>
              <w:jc w:val="center"/>
            </w:pPr>
            <w:r w:rsidRPr="00C51040">
              <w:rPr>
                <w:rFonts w:hint="eastAsia"/>
              </w:rPr>
              <w:t>007939</w:t>
            </w:r>
          </w:p>
        </w:tc>
        <w:tc>
          <w:tcPr>
            <w:tcW w:w="0" w:type="auto"/>
          </w:tcPr>
          <w:p w:rsidR="00C27E1E" w:rsidRPr="00C51040" w:rsidRDefault="00C27E1E" w:rsidP="00C27E1E">
            <w:r w:rsidRPr="00C51040">
              <w:rPr>
                <w:rFonts w:hint="eastAsia"/>
              </w:rPr>
              <w:t>华夏网购精选混合</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002166</w:t>
            </w:r>
          </w:p>
        </w:tc>
        <w:tc>
          <w:tcPr>
            <w:tcW w:w="0" w:type="auto"/>
          </w:tcPr>
          <w:p w:rsidR="00C27E1E" w:rsidRPr="00C51040" w:rsidRDefault="00C27E1E" w:rsidP="00C27E1E">
            <w:r w:rsidRPr="00C51040">
              <w:rPr>
                <w:rFonts w:hint="eastAsia"/>
              </w:rPr>
              <w:t>华夏永福混合</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001374</w:t>
            </w:r>
          </w:p>
        </w:tc>
        <w:tc>
          <w:tcPr>
            <w:tcW w:w="0" w:type="auto"/>
          </w:tcPr>
          <w:p w:rsidR="00C27E1E" w:rsidRPr="00C51040" w:rsidRDefault="00C27E1E" w:rsidP="00C27E1E">
            <w:r w:rsidRPr="00C51040">
              <w:rPr>
                <w:rFonts w:hint="eastAsia"/>
              </w:rPr>
              <w:t>华夏现金增利货币</w:t>
            </w:r>
            <w:r w:rsidRPr="00C51040">
              <w:rPr>
                <w:rFonts w:hint="eastAsia"/>
              </w:rPr>
              <w:t>B</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002231</w:t>
            </w:r>
          </w:p>
        </w:tc>
        <w:tc>
          <w:tcPr>
            <w:tcW w:w="0" w:type="auto"/>
          </w:tcPr>
          <w:p w:rsidR="00C27E1E" w:rsidRPr="00C51040" w:rsidRDefault="00C27E1E" w:rsidP="00C27E1E">
            <w:r w:rsidRPr="00C51040">
              <w:rPr>
                <w:rFonts w:hint="eastAsia"/>
              </w:rPr>
              <w:t>华夏新趋势混合</w:t>
            </w:r>
            <w:r w:rsidRPr="00C51040">
              <w:rPr>
                <w:rFonts w:hint="eastAsia"/>
              </w:rPr>
              <w:t>A</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002232</w:t>
            </w:r>
          </w:p>
        </w:tc>
        <w:tc>
          <w:tcPr>
            <w:tcW w:w="0" w:type="auto"/>
          </w:tcPr>
          <w:p w:rsidR="00C27E1E" w:rsidRPr="00C51040" w:rsidRDefault="00C27E1E" w:rsidP="00C27E1E">
            <w:r w:rsidRPr="00C51040">
              <w:rPr>
                <w:rFonts w:hint="eastAsia"/>
              </w:rPr>
              <w:t>华夏新趋势混合</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002411</w:t>
            </w:r>
          </w:p>
        </w:tc>
        <w:tc>
          <w:tcPr>
            <w:tcW w:w="0" w:type="auto"/>
          </w:tcPr>
          <w:p w:rsidR="00C27E1E" w:rsidRPr="00C51040" w:rsidRDefault="00C27E1E" w:rsidP="00C27E1E">
            <w:r w:rsidRPr="00C51040">
              <w:rPr>
                <w:rFonts w:hint="eastAsia"/>
              </w:rPr>
              <w:t>华夏新机遇混合</w:t>
            </w:r>
            <w:r w:rsidRPr="00C51040">
              <w:rPr>
                <w:rFonts w:hint="eastAsia"/>
              </w:rPr>
              <w:t>A</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008212</w:t>
            </w:r>
          </w:p>
        </w:tc>
        <w:tc>
          <w:tcPr>
            <w:tcW w:w="0" w:type="auto"/>
          </w:tcPr>
          <w:p w:rsidR="00C27E1E" w:rsidRPr="00C51040" w:rsidRDefault="00C27E1E" w:rsidP="00C27E1E">
            <w:r w:rsidRPr="00C51040">
              <w:rPr>
                <w:rFonts w:hint="eastAsia"/>
              </w:rPr>
              <w:t>华夏新机遇混合</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002871</w:t>
            </w:r>
          </w:p>
        </w:tc>
        <w:tc>
          <w:tcPr>
            <w:tcW w:w="0" w:type="auto"/>
          </w:tcPr>
          <w:p w:rsidR="00C27E1E" w:rsidRPr="00C51040" w:rsidRDefault="00C27E1E" w:rsidP="00C27E1E">
            <w:r w:rsidRPr="00C51040">
              <w:rPr>
                <w:rFonts w:hint="eastAsia"/>
              </w:rPr>
              <w:t>华夏智胜价值成长股票</w:t>
            </w:r>
            <w:r w:rsidRPr="00C51040">
              <w:rPr>
                <w:rFonts w:hint="eastAsia"/>
              </w:rPr>
              <w:t>A</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002872</w:t>
            </w:r>
          </w:p>
        </w:tc>
        <w:tc>
          <w:tcPr>
            <w:tcW w:w="0" w:type="auto"/>
          </w:tcPr>
          <w:p w:rsidR="00C27E1E" w:rsidRPr="00C51040" w:rsidRDefault="00C27E1E" w:rsidP="00C27E1E">
            <w:r w:rsidRPr="00C51040">
              <w:rPr>
                <w:rFonts w:hint="eastAsia"/>
              </w:rPr>
              <w:t>华夏智胜价值成长股票</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004251</w:t>
            </w:r>
          </w:p>
        </w:tc>
        <w:tc>
          <w:tcPr>
            <w:tcW w:w="0" w:type="auto"/>
          </w:tcPr>
          <w:p w:rsidR="00C27E1E" w:rsidRPr="00C51040" w:rsidRDefault="00C27E1E" w:rsidP="00C27E1E">
            <w:r w:rsidRPr="00C51040">
              <w:rPr>
                <w:rFonts w:hint="eastAsia"/>
              </w:rPr>
              <w:t>华夏惠利货币</w:t>
            </w:r>
            <w:r w:rsidRPr="00C51040">
              <w:rPr>
                <w:rFonts w:hint="eastAsia"/>
              </w:rPr>
              <w:t>B</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011547</w:t>
            </w:r>
          </w:p>
        </w:tc>
        <w:tc>
          <w:tcPr>
            <w:tcW w:w="0" w:type="auto"/>
          </w:tcPr>
          <w:p w:rsidR="00C27E1E" w:rsidRPr="00C51040" w:rsidRDefault="00C27E1E" w:rsidP="00C27E1E">
            <w:r w:rsidRPr="00C51040">
              <w:rPr>
                <w:rFonts w:hint="eastAsia"/>
              </w:rPr>
              <w:t>华夏惠利货币</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004547</w:t>
            </w:r>
          </w:p>
        </w:tc>
        <w:tc>
          <w:tcPr>
            <w:tcW w:w="0" w:type="auto"/>
          </w:tcPr>
          <w:p w:rsidR="00C27E1E" w:rsidRPr="00C51040" w:rsidRDefault="00C27E1E" w:rsidP="00C27E1E">
            <w:r w:rsidRPr="00C51040">
              <w:rPr>
                <w:rFonts w:hint="eastAsia"/>
              </w:rPr>
              <w:t>华夏稳定双利债券</w:t>
            </w:r>
            <w:r w:rsidRPr="00C51040">
              <w:rPr>
                <w:rFonts w:hint="eastAsia"/>
              </w:rPr>
              <w:t>A</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005658</w:t>
            </w:r>
          </w:p>
        </w:tc>
        <w:tc>
          <w:tcPr>
            <w:tcW w:w="0" w:type="auto"/>
          </w:tcPr>
          <w:p w:rsidR="00C27E1E" w:rsidRPr="00C51040" w:rsidRDefault="00C27E1E" w:rsidP="00C27E1E">
            <w:r w:rsidRPr="00C51040">
              <w:rPr>
                <w:rFonts w:hint="eastAsia"/>
              </w:rPr>
              <w:t>华夏沪深</w:t>
            </w:r>
            <w:r w:rsidRPr="00C51040">
              <w:rPr>
                <w:rFonts w:hint="eastAsia"/>
              </w:rPr>
              <w:t>300ETF</w:t>
            </w:r>
            <w:r w:rsidRPr="00C51040">
              <w:rPr>
                <w:rFonts w:hint="eastAsia"/>
              </w:rPr>
              <w:t>联接</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005733</w:t>
            </w:r>
          </w:p>
        </w:tc>
        <w:tc>
          <w:tcPr>
            <w:tcW w:w="0" w:type="auto"/>
          </w:tcPr>
          <w:p w:rsidR="00C27E1E" w:rsidRPr="00C51040" w:rsidRDefault="00C27E1E" w:rsidP="00C27E1E">
            <w:r w:rsidRPr="00C51040">
              <w:rPr>
                <w:rFonts w:hint="eastAsia"/>
              </w:rPr>
              <w:t>华夏上证</w:t>
            </w:r>
            <w:r w:rsidRPr="00C51040">
              <w:rPr>
                <w:rFonts w:hint="eastAsia"/>
              </w:rPr>
              <w:t>50ETF</w:t>
            </w:r>
            <w:r w:rsidRPr="00C51040">
              <w:rPr>
                <w:rFonts w:hint="eastAsia"/>
              </w:rPr>
              <w:t>联接</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005734</w:t>
            </w:r>
          </w:p>
        </w:tc>
        <w:tc>
          <w:tcPr>
            <w:tcW w:w="0" w:type="auto"/>
          </w:tcPr>
          <w:p w:rsidR="00C27E1E" w:rsidRPr="00C51040" w:rsidRDefault="00C27E1E" w:rsidP="00C27E1E">
            <w:r w:rsidRPr="00C51040">
              <w:rPr>
                <w:rFonts w:hint="eastAsia"/>
              </w:rPr>
              <w:t>华夏沪港通恒生</w:t>
            </w:r>
            <w:r w:rsidRPr="00C51040">
              <w:rPr>
                <w:rFonts w:hint="eastAsia"/>
              </w:rPr>
              <w:t>ETF</w:t>
            </w:r>
            <w:r w:rsidRPr="00C51040">
              <w:rPr>
                <w:rFonts w:hint="eastAsia"/>
              </w:rPr>
              <w:t>联接</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005735</w:t>
            </w:r>
          </w:p>
        </w:tc>
        <w:tc>
          <w:tcPr>
            <w:tcW w:w="0" w:type="auto"/>
          </w:tcPr>
          <w:p w:rsidR="00C27E1E" w:rsidRPr="00C51040" w:rsidRDefault="00C27E1E" w:rsidP="00C27E1E">
            <w:r w:rsidRPr="00C51040">
              <w:rPr>
                <w:rFonts w:hint="eastAsia"/>
              </w:rPr>
              <w:t>华夏</w:t>
            </w:r>
            <w:r w:rsidRPr="00C51040">
              <w:rPr>
                <w:rFonts w:hint="eastAsia"/>
              </w:rPr>
              <w:t>MSCI</w:t>
            </w:r>
            <w:r w:rsidRPr="00C51040">
              <w:rPr>
                <w:rFonts w:hint="eastAsia"/>
              </w:rPr>
              <w:t>中国</w:t>
            </w:r>
            <w:r w:rsidRPr="00C51040">
              <w:rPr>
                <w:rFonts w:hint="eastAsia"/>
              </w:rPr>
              <w:t>A</w:t>
            </w:r>
            <w:r w:rsidRPr="00C51040">
              <w:rPr>
                <w:rFonts w:hint="eastAsia"/>
              </w:rPr>
              <w:t>股国际通</w:t>
            </w:r>
            <w:r w:rsidRPr="00C51040">
              <w:rPr>
                <w:rFonts w:hint="eastAsia"/>
              </w:rPr>
              <w:t>ETF</w:t>
            </w:r>
            <w:r w:rsidRPr="00C51040">
              <w:rPr>
                <w:rFonts w:hint="eastAsia"/>
              </w:rPr>
              <w:t>联接</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006381</w:t>
            </w:r>
          </w:p>
        </w:tc>
        <w:tc>
          <w:tcPr>
            <w:tcW w:w="0" w:type="auto"/>
          </w:tcPr>
          <w:p w:rsidR="00C27E1E" w:rsidRPr="00C51040" w:rsidRDefault="00C27E1E" w:rsidP="00C27E1E">
            <w:r w:rsidRPr="00C51040">
              <w:rPr>
                <w:rFonts w:hint="eastAsia"/>
              </w:rPr>
              <w:t>华夏恒生</w:t>
            </w:r>
            <w:r w:rsidRPr="00C51040">
              <w:rPr>
                <w:rFonts w:hint="eastAsia"/>
              </w:rPr>
              <w:t>ETF</w:t>
            </w:r>
            <w:r w:rsidRPr="00C51040">
              <w:rPr>
                <w:rFonts w:hint="eastAsia"/>
              </w:rPr>
              <w:t>联接</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006382</w:t>
            </w:r>
          </w:p>
        </w:tc>
        <w:tc>
          <w:tcPr>
            <w:tcW w:w="0" w:type="auto"/>
          </w:tcPr>
          <w:p w:rsidR="00C27E1E" w:rsidRPr="00C51040" w:rsidRDefault="00C27E1E" w:rsidP="00C27E1E">
            <w:r w:rsidRPr="00C51040">
              <w:rPr>
                <w:rFonts w:hint="eastAsia"/>
              </w:rPr>
              <w:t>华夏中证</w:t>
            </w:r>
            <w:r w:rsidRPr="00C51040">
              <w:rPr>
                <w:rFonts w:hint="eastAsia"/>
              </w:rPr>
              <w:t>500ETF</w:t>
            </w:r>
            <w:r w:rsidRPr="00C51040">
              <w:rPr>
                <w:rFonts w:hint="eastAsia"/>
              </w:rPr>
              <w:t>联接</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007186</w:t>
            </w:r>
          </w:p>
        </w:tc>
        <w:tc>
          <w:tcPr>
            <w:tcW w:w="0" w:type="auto"/>
          </w:tcPr>
          <w:p w:rsidR="00C27E1E" w:rsidRPr="00C51040" w:rsidRDefault="00C27E1E" w:rsidP="00C27E1E">
            <w:r w:rsidRPr="00C51040">
              <w:rPr>
                <w:rFonts w:hint="eastAsia"/>
              </w:rPr>
              <w:t>华夏中债</w:t>
            </w:r>
            <w:r w:rsidRPr="00C51040">
              <w:rPr>
                <w:rFonts w:hint="eastAsia"/>
              </w:rPr>
              <w:t>3-5</w:t>
            </w:r>
            <w:r w:rsidRPr="00C51040">
              <w:rPr>
                <w:rFonts w:hint="eastAsia"/>
              </w:rPr>
              <w:t>年政金债指数</w:t>
            </w:r>
            <w:r w:rsidRPr="00C51040">
              <w:rPr>
                <w:rFonts w:hint="eastAsia"/>
              </w:rPr>
              <w:t>A</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007187</w:t>
            </w:r>
          </w:p>
        </w:tc>
        <w:tc>
          <w:tcPr>
            <w:tcW w:w="0" w:type="auto"/>
          </w:tcPr>
          <w:p w:rsidR="00C27E1E" w:rsidRPr="00C51040" w:rsidRDefault="00C27E1E" w:rsidP="00C27E1E">
            <w:r w:rsidRPr="00C51040">
              <w:rPr>
                <w:rFonts w:hint="eastAsia"/>
              </w:rPr>
              <w:t>华夏中债</w:t>
            </w:r>
            <w:r w:rsidRPr="00C51040">
              <w:rPr>
                <w:rFonts w:hint="eastAsia"/>
              </w:rPr>
              <w:t>3-5</w:t>
            </w:r>
            <w:r w:rsidRPr="00C51040">
              <w:rPr>
                <w:rFonts w:hint="eastAsia"/>
              </w:rPr>
              <w:t>年政金债指数</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008213</w:t>
            </w:r>
          </w:p>
        </w:tc>
        <w:tc>
          <w:tcPr>
            <w:tcW w:w="0" w:type="auto"/>
          </w:tcPr>
          <w:p w:rsidR="00C27E1E" w:rsidRPr="00C51040" w:rsidRDefault="00C27E1E" w:rsidP="00C27E1E">
            <w:r w:rsidRPr="00C51040">
              <w:rPr>
                <w:rFonts w:hint="eastAsia"/>
              </w:rPr>
              <w:t>华夏新起点混合</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010333</w:t>
            </w:r>
          </w:p>
        </w:tc>
        <w:tc>
          <w:tcPr>
            <w:tcW w:w="0" w:type="auto"/>
          </w:tcPr>
          <w:p w:rsidR="00C27E1E" w:rsidRPr="00C51040" w:rsidRDefault="00C27E1E" w:rsidP="00C27E1E">
            <w:r w:rsidRPr="00C51040">
              <w:rPr>
                <w:rFonts w:hint="eastAsia"/>
              </w:rPr>
              <w:t>华夏核心资产混合</w:t>
            </w:r>
            <w:r w:rsidRPr="00C51040">
              <w:rPr>
                <w:rFonts w:hint="eastAsia"/>
              </w:rPr>
              <w:t>A</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010334</w:t>
            </w:r>
          </w:p>
        </w:tc>
        <w:tc>
          <w:tcPr>
            <w:tcW w:w="0" w:type="auto"/>
          </w:tcPr>
          <w:p w:rsidR="00C27E1E" w:rsidRPr="00C51040" w:rsidRDefault="00C27E1E" w:rsidP="00C27E1E">
            <w:r w:rsidRPr="00C51040">
              <w:rPr>
                <w:rFonts w:hint="eastAsia"/>
              </w:rPr>
              <w:t>华夏核心资产混合</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011745</w:t>
            </w:r>
          </w:p>
        </w:tc>
        <w:tc>
          <w:tcPr>
            <w:tcW w:w="0" w:type="auto"/>
          </w:tcPr>
          <w:p w:rsidR="00C27E1E" w:rsidRPr="00C51040" w:rsidRDefault="00C27E1E" w:rsidP="00C27E1E">
            <w:r w:rsidRPr="00C51040">
              <w:rPr>
                <w:rFonts w:hint="eastAsia"/>
              </w:rPr>
              <w:t>华夏养老</w:t>
            </w:r>
            <w:r w:rsidRPr="00C51040">
              <w:rPr>
                <w:rFonts w:hint="eastAsia"/>
              </w:rPr>
              <w:t>2055</w:t>
            </w:r>
            <w:r w:rsidRPr="00C51040">
              <w:rPr>
                <w:rFonts w:hint="eastAsia"/>
              </w:rPr>
              <w:t>五年持有混合（</w:t>
            </w:r>
            <w:r w:rsidRPr="00C51040">
              <w:rPr>
                <w:rFonts w:hint="eastAsia"/>
              </w:rPr>
              <w:t>FOF</w:t>
            </w:r>
            <w:r w:rsidRPr="00C51040">
              <w:rPr>
                <w:rFonts w:hint="eastAsia"/>
              </w:rPr>
              <w:t>）</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012099</w:t>
            </w:r>
          </w:p>
        </w:tc>
        <w:tc>
          <w:tcPr>
            <w:tcW w:w="0" w:type="auto"/>
          </w:tcPr>
          <w:p w:rsidR="00C27E1E" w:rsidRPr="00C51040" w:rsidRDefault="00C27E1E" w:rsidP="00C27E1E">
            <w:r w:rsidRPr="00C51040">
              <w:rPr>
                <w:rFonts w:hint="eastAsia"/>
              </w:rPr>
              <w:t>华夏稳健增利</w:t>
            </w:r>
            <w:r w:rsidRPr="00C51040">
              <w:rPr>
                <w:rFonts w:hint="eastAsia"/>
              </w:rPr>
              <w:t>4</w:t>
            </w:r>
            <w:r w:rsidRPr="00C51040">
              <w:rPr>
                <w:rFonts w:hint="eastAsia"/>
              </w:rPr>
              <w:t>个月债券</w:t>
            </w:r>
            <w:r w:rsidRPr="00C51040">
              <w:rPr>
                <w:rFonts w:hint="eastAsia"/>
              </w:rPr>
              <w:t>A</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012100</w:t>
            </w:r>
          </w:p>
        </w:tc>
        <w:tc>
          <w:tcPr>
            <w:tcW w:w="0" w:type="auto"/>
          </w:tcPr>
          <w:p w:rsidR="00C27E1E" w:rsidRPr="00C51040" w:rsidRDefault="00C27E1E" w:rsidP="00C27E1E">
            <w:r w:rsidRPr="00C51040">
              <w:rPr>
                <w:rFonts w:hint="eastAsia"/>
              </w:rPr>
              <w:t>华夏稳健增利</w:t>
            </w:r>
            <w:r w:rsidRPr="00C51040">
              <w:rPr>
                <w:rFonts w:hint="eastAsia"/>
              </w:rPr>
              <w:t>4</w:t>
            </w:r>
            <w:r w:rsidRPr="00C51040">
              <w:rPr>
                <w:rFonts w:hint="eastAsia"/>
              </w:rPr>
              <w:t>个月债券</w:t>
            </w:r>
            <w:r w:rsidRPr="00C51040">
              <w:rPr>
                <w:rFonts w:hint="eastAsia"/>
              </w:rPr>
              <w:t>C</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288201</w:t>
            </w:r>
          </w:p>
        </w:tc>
        <w:tc>
          <w:tcPr>
            <w:tcW w:w="0" w:type="auto"/>
          </w:tcPr>
          <w:p w:rsidR="00C27E1E" w:rsidRPr="00C51040" w:rsidRDefault="00C27E1E" w:rsidP="00C27E1E">
            <w:r w:rsidRPr="00C51040">
              <w:rPr>
                <w:rFonts w:hint="eastAsia"/>
              </w:rPr>
              <w:t>华夏货币</w:t>
            </w:r>
            <w:r w:rsidRPr="00C51040">
              <w:rPr>
                <w:rFonts w:hint="eastAsia"/>
              </w:rPr>
              <w:t>B</w:t>
            </w:r>
          </w:p>
        </w:tc>
        <w:tc>
          <w:tcPr>
            <w:tcW w:w="2260" w:type="dxa"/>
            <w:vMerge/>
            <w:vAlign w:val="center"/>
          </w:tcPr>
          <w:p w:rsidR="00C27E1E" w:rsidRPr="00C51040" w:rsidRDefault="00C27E1E" w:rsidP="00C27E1E"/>
        </w:tc>
      </w:tr>
      <w:tr w:rsidR="00C27E1E" w:rsidTr="00C27E1E">
        <w:trPr>
          <w:jc w:val="center"/>
        </w:trPr>
        <w:tc>
          <w:tcPr>
            <w:tcW w:w="1658" w:type="dxa"/>
          </w:tcPr>
          <w:p w:rsidR="00C27E1E" w:rsidRPr="00C51040" w:rsidRDefault="00C27E1E" w:rsidP="00C27E1E">
            <w:pPr>
              <w:jc w:val="center"/>
            </w:pPr>
            <w:r w:rsidRPr="00C51040">
              <w:rPr>
                <w:rFonts w:hint="eastAsia"/>
              </w:rPr>
              <w:t>007576</w:t>
            </w:r>
          </w:p>
        </w:tc>
        <w:tc>
          <w:tcPr>
            <w:tcW w:w="0" w:type="auto"/>
          </w:tcPr>
          <w:p w:rsidR="00C27E1E" w:rsidRPr="00C51040" w:rsidRDefault="00C27E1E" w:rsidP="00C27E1E">
            <w:r w:rsidRPr="00C51040">
              <w:rPr>
                <w:rFonts w:hint="eastAsia"/>
              </w:rPr>
              <w:t>华夏鼎琪三个月定开债券</w:t>
            </w:r>
          </w:p>
        </w:tc>
        <w:tc>
          <w:tcPr>
            <w:tcW w:w="2260" w:type="dxa"/>
            <w:vAlign w:val="center"/>
          </w:tcPr>
          <w:p w:rsidR="00C27E1E" w:rsidRDefault="00C27E1E" w:rsidP="00C27E1E">
            <w:r w:rsidRPr="00C51040">
              <w:rPr>
                <w:rFonts w:hint="eastAsia"/>
              </w:rPr>
              <w:t>华泰证券</w:t>
            </w:r>
          </w:p>
        </w:tc>
      </w:tr>
    </w:tbl>
    <w:p w:rsidR="00142B14" w:rsidRDefault="009151F2" w:rsidP="00FD63C1">
      <w:pPr>
        <w:spacing w:line="360" w:lineRule="auto"/>
        <w:ind w:firstLineChars="200" w:firstLine="480"/>
        <w:rPr>
          <w:rFonts w:hAnsi="宋体"/>
          <w:color w:val="000000"/>
          <w:sz w:val="24"/>
        </w:rPr>
      </w:pPr>
      <w:r w:rsidRPr="006D11ED">
        <w:rPr>
          <w:rFonts w:hAnsi="宋体" w:hint="eastAsia"/>
          <w:color w:val="000000"/>
          <w:sz w:val="24"/>
        </w:rPr>
        <w:lastRenderedPageBreak/>
        <w:t>基金开放相关业务的时间、投资者可办理基金业务的类型遵照基金实际业务开放情况及本公司相关公告执行，具体业务办理以各销售机构规定为准。</w:t>
      </w:r>
      <w:r w:rsidR="00E03419">
        <w:rPr>
          <w:rFonts w:hAnsi="宋体" w:hint="eastAsia"/>
          <w:color w:val="000000"/>
          <w:sz w:val="24"/>
        </w:rPr>
        <w:t>如上述基金</w:t>
      </w:r>
      <w:r w:rsidR="00C27E1E">
        <w:rPr>
          <w:rFonts w:hAnsi="宋体" w:hint="eastAsia"/>
          <w:color w:val="000000"/>
          <w:sz w:val="24"/>
        </w:rPr>
        <w:t>尚未开放、</w:t>
      </w:r>
      <w:r w:rsidR="00386DE1">
        <w:rPr>
          <w:rFonts w:hAnsi="宋体" w:hint="eastAsia"/>
          <w:color w:val="000000"/>
          <w:sz w:val="24"/>
        </w:rPr>
        <w:t>处于封闭运作期、</w:t>
      </w:r>
      <w:r w:rsidR="00E03419" w:rsidRPr="003F49AE">
        <w:rPr>
          <w:rFonts w:hAnsi="宋体" w:hint="eastAsia"/>
          <w:color w:val="000000"/>
          <w:sz w:val="24"/>
        </w:rPr>
        <w:t>暂停办理对应业务或对其进行限制的，请遵照相关公告执行。投资者在</w:t>
      </w:r>
      <w:r w:rsidR="002368DC" w:rsidRPr="003F49AE">
        <w:rPr>
          <w:rFonts w:hAnsi="宋体" w:hint="eastAsia"/>
          <w:color w:val="000000"/>
          <w:sz w:val="24"/>
        </w:rPr>
        <w:t>各销售机构</w:t>
      </w:r>
      <w:r w:rsidR="00E03419" w:rsidRPr="003F49AE">
        <w:rPr>
          <w:rFonts w:hAnsi="宋体" w:hint="eastAsia"/>
          <w:color w:val="000000"/>
          <w:sz w:val="24"/>
        </w:rPr>
        <w:t>办理对应基</w:t>
      </w:r>
      <w:r w:rsidR="00E03419">
        <w:rPr>
          <w:rFonts w:hAnsi="宋体" w:hint="eastAsia"/>
          <w:color w:val="000000"/>
          <w:sz w:val="24"/>
        </w:rPr>
        <w:t>金相关业务的数额限制、规则、流程以及需要提交的文件等信息，请遵照上述基金招募说明书或其更新、本公司发布的相关公告及</w:t>
      </w:r>
      <w:r w:rsidR="002368DC">
        <w:rPr>
          <w:rFonts w:hAnsi="宋体" w:hint="eastAsia"/>
          <w:color w:val="000000"/>
          <w:sz w:val="24"/>
        </w:rPr>
        <w:t>各销售机构</w:t>
      </w:r>
      <w:r w:rsidR="00E03419">
        <w:rPr>
          <w:rFonts w:hAnsi="宋体" w:hint="eastAsia"/>
          <w:color w:val="000000"/>
          <w:sz w:val="24"/>
        </w:rPr>
        <w:t>的有关规定。</w:t>
      </w:r>
      <w:r w:rsidR="00142B14" w:rsidRPr="00B15C39">
        <w:rPr>
          <w:rFonts w:hAnsi="宋体" w:hint="eastAsia"/>
          <w:sz w:val="24"/>
        </w:rPr>
        <w:t>销售机构的业务办理状况亦请遵循其各自规定执行</w:t>
      </w:r>
      <w:r w:rsidR="00A172F2">
        <w:rPr>
          <w:rFonts w:hAnsi="宋体" w:hint="eastAsia"/>
          <w:sz w:val="24"/>
        </w:rPr>
        <w:t>。</w:t>
      </w:r>
    </w:p>
    <w:p w:rsidR="00E03419" w:rsidRDefault="00E03419" w:rsidP="00FD63C1">
      <w:pPr>
        <w:pStyle w:val="ac"/>
        <w:numPr>
          <w:ilvl w:val="0"/>
          <w:numId w:val="1"/>
        </w:numPr>
        <w:spacing w:line="360" w:lineRule="auto"/>
        <w:ind w:firstLineChars="0"/>
        <w:outlineLvl w:val="0"/>
        <w:rPr>
          <w:rFonts w:hAnsi="宋体"/>
          <w:color w:val="000000"/>
          <w:sz w:val="24"/>
        </w:rPr>
      </w:pPr>
      <w:r w:rsidRPr="00B101D7">
        <w:rPr>
          <w:rFonts w:hAnsi="宋体" w:hint="eastAsia"/>
          <w:color w:val="000000"/>
          <w:sz w:val="24"/>
        </w:rPr>
        <w:t>咨询渠道</w:t>
      </w:r>
    </w:p>
    <w:tbl>
      <w:tblPr>
        <w:tblStyle w:val="ad"/>
        <w:tblW w:w="0" w:type="auto"/>
        <w:jc w:val="center"/>
        <w:tblLook w:val="04A0"/>
      </w:tblPr>
      <w:tblGrid>
        <w:gridCol w:w="426"/>
        <w:gridCol w:w="3217"/>
        <w:gridCol w:w="2670"/>
        <w:gridCol w:w="2066"/>
      </w:tblGrid>
      <w:tr w:rsidR="00386DE1" w:rsidTr="0099288E">
        <w:trPr>
          <w:jc w:val="center"/>
        </w:trPr>
        <w:tc>
          <w:tcPr>
            <w:tcW w:w="3643" w:type="dxa"/>
            <w:gridSpan w:val="2"/>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销售机构名称</w:t>
            </w:r>
          </w:p>
        </w:tc>
        <w:tc>
          <w:tcPr>
            <w:tcW w:w="2052"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网址</w:t>
            </w:r>
          </w:p>
        </w:tc>
        <w:tc>
          <w:tcPr>
            <w:tcW w:w="2066"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客户服务电话</w:t>
            </w:r>
          </w:p>
        </w:tc>
      </w:tr>
      <w:tr w:rsidR="00C27E1E" w:rsidTr="00F16A84">
        <w:trPr>
          <w:jc w:val="center"/>
        </w:trPr>
        <w:tc>
          <w:tcPr>
            <w:tcW w:w="426" w:type="dxa"/>
            <w:vAlign w:val="center"/>
          </w:tcPr>
          <w:p w:rsidR="00C27E1E" w:rsidRPr="00CB66A2" w:rsidRDefault="00C27E1E" w:rsidP="00C27E1E">
            <w:r w:rsidRPr="00CB66A2">
              <w:rPr>
                <w:rFonts w:hint="eastAsia"/>
              </w:rPr>
              <w:t>1</w:t>
            </w:r>
          </w:p>
        </w:tc>
        <w:tc>
          <w:tcPr>
            <w:tcW w:w="3217" w:type="dxa"/>
          </w:tcPr>
          <w:p w:rsidR="00C27E1E" w:rsidRPr="000F6FD9" w:rsidRDefault="00C27E1E" w:rsidP="00C27E1E">
            <w:r w:rsidRPr="000F6FD9">
              <w:rPr>
                <w:rFonts w:hint="eastAsia"/>
              </w:rPr>
              <w:t>上海利得基金销售有限公司</w:t>
            </w:r>
          </w:p>
        </w:tc>
        <w:tc>
          <w:tcPr>
            <w:tcW w:w="2052" w:type="dxa"/>
          </w:tcPr>
          <w:p w:rsidR="00C27E1E" w:rsidRPr="000F6FD9" w:rsidRDefault="00C27E1E" w:rsidP="00C27E1E">
            <w:r w:rsidRPr="000F6FD9">
              <w:rPr>
                <w:rFonts w:hint="eastAsia"/>
              </w:rPr>
              <w:t>http://www.leadfund.com.cn/</w:t>
            </w:r>
          </w:p>
        </w:tc>
        <w:tc>
          <w:tcPr>
            <w:tcW w:w="2066" w:type="dxa"/>
          </w:tcPr>
          <w:p w:rsidR="00C27E1E" w:rsidRPr="000F6FD9" w:rsidRDefault="00C27E1E" w:rsidP="00C27E1E">
            <w:r w:rsidRPr="000F6FD9">
              <w:rPr>
                <w:rFonts w:hint="eastAsia"/>
              </w:rPr>
              <w:t>95733</w:t>
            </w:r>
          </w:p>
        </w:tc>
      </w:tr>
      <w:tr w:rsidR="00C27E1E" w:rsidTr="00F16A84">
        <w:trPr>
          <w:jc w:val="center"/>
        </w:trPr>
        <w:tc>
          <w:tcPr>
            <w:tcW w:w="426" w:type="dxa"/>
            <w:vAlign w:val="center"/>
          </w:tcPr>
          <w:p w:rsidR="00C27E1E" w:rsidRPr="00CB66A2" w:rsidRDefault="00C27E1E" w:rsidP="00C27E1E">
            <w:r w:rsidRPr="00CB66A2">
              <w:rPr>
                <w:rFonts w:hint="eastAsia"/>
              </w:rPr>
              <w:t>2</w:t>
            </w:r>
          </w:p>
        </w:tc>
        <w:tc>
          <w:tcPr>
            <w:tcW w:w="3217" w:type="dxa"/>
          </w:tcPr>
          <w:p w:rsidR="00C27E1E" w:rsidRPr="000F6FD9" w:rsidRDefault="00C27E1E" w:rsidP="00C27E1E">
            <w:r w:rsidRPr="000F6FD9">
              <w:rPr>
                <w:rFonts w:hint="eastAsia"/>
              </w:rPr>
              <w:t>华泰证券股份有限公司</w:t>
            </w:r>
          </w:p>
        </w:tc>
        <w:tc>
          <w:tcPr>
            <w:tcW w:w="2052" w:type="dxa"/>
          </w:tcPr>
          <w:p w:rsidR="00C27E1E" w:rsidRPr="000F6FD9" w:rsidRDefault="00C27E1E" w:rsidP="00C27E1E">
            <w:r w:rsidRPr="000F6FD9">
              <w:rPr>
                <w:rFonts w:hint="eastAsia"/>
              </w:rPr>
              <w:t>www.htsc.com.cn</w:t>
            </w:r>
          </w:p>
        </w:tc>
        <w:tc>
          <w:tcPr>
            <w:tcW w:w="2066" w:type="dxa"/>
          </w:tcPr>
          <w:p w:rsidR="00C27E1E" w:rsidRDefault="00C27E1E" w:rsidP="00C27E1E">
            <w:r w:rsidRPr="000F6FD9">
              <w:rPr>
                <w:rFonts w:hint="eastAsia"/>
              </w:rPr>
              <w:t>95597</w:t>
            </w:r>
          </w:p>
        </w:tc>
      </w:tr>
    </w:tbl>
    <w:p w:rsidR="00142B14" w:rsidRDefault="00142B14" w:rsidP="00FD63C1">
      <w:pPr>
        <w:spacing w:line="360" w:lineRule="auto"/>
        <w:ind w:firstLineChars="200" w:firstLine="480"/>
        <w:outlineLvl w:val="0"/>
        <w:rPr>
          <w:rFonts w:hAnsi="宋体"/>
          <w:sz w:val="24"/>
        </w:rPr>
      </w:pPr>
      <w:r w:rsidRPr="00755C67">
        <w:rPr>
          <w:rFonts w:hAnsi="宋体" w:hint="eastAsia"/>
          <w:sz w:val="24"/>
        </w:rPr>
        <w:t>投资者可拨打本公司客户服务电话（</w:t>
      </w:r>
      <w:r w:rsidRPr="00755C67">
        <w:rPr>
          <w:rFonts w:hAnsi="宋体" w:hint="eastAsia"/>
          <w:sz w:val="24"/>
        </w:rPr>
        <w:t>400-818-6666</w:t>
      </w:r>
      <w:r w:rsidRPr="00755C67">
        <w:rPr>
          <w:rFonts w:hAnsi="宋体" w:hint="eastAsia"/>
          <w:sz w:val="24"/>
        </w:rPr>
        <w:t>）或登录本公司网站（</w:t>
      </w:r>
      <w:r w:rsidRPr="00755C67">
        <w:rPr>
          <w:rFonts w:hAnsi="宋体" w:hint="eastAsia"/>
          <w:sz w:val="24"/>
        </w:rPr>
        <w:t>www.ChinaAMC.com</w:t>
      </w:r>
      <w:r w:rsidRPr="00755C67">
        <w:rPr>
          <w:rFonts w:hAnsi="宋体" w:hint="eastAsia"/>
          <w:sz w:val="24"/>
        </w:rPr>
        <w:t>）了解相关信息。</w:t>
      </w:r>
    </w:p>
    <w:p w:rsidR="00E03419" w:rsidRDefault="00E03419" w:rsidP="00FD63C1">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F43F3A" w:rsidRDefault="00E03419" w:rsidP="00386DE1">
      <w:pPr>
        <w:spacing w:line="360" w:lineRule="auto"/>
        <w:ind w:firstLineChars="200" w:firstLine="480"/>
        <w:rPr>
          <w:rFonts w:hAnsi="宋体"/>
          <w:b/>
          <w:color w:val="000000"/>
          <w:sz w:val="24"/>
        </w:rPr>
      </w:pPr>
      <w:r>
        <w:rPr>
          <w:rFonts w:hAnsi="宋体" w:hint="eastAsia"/>
          <w:color w:val="000000"/>
          <w:sz w:val="24"/>
        </w:rPr>
        <w:t>风险提示：</w:t>
      </w:r>
      <w:r w:rsidR="00F43F3A" w:rsidRPr="00F43F3A">
        <w:rPr>
          <w:rFonts w:hAnsi="宋体" w:hint="eastAsia"/>
          <w:b/>
          <w:color w:val="000000"/>
          <w:sz w:val="24"/>
        </w:rPr>
        <w:t>华夏养老</w:t>
      </w:r>
      <w:r w:rsidR="00F43F3A" w:rsidRPr="00F43F3A">
        <w:rPr>
          <w:rFonts w:hAnsi="宋体" w:hint="eastAsia"/>
          <w:b/>
          <w:color w:val="000000"/>
          <w:sz w:val="24"/>
        </w:rPr>
        <w:t>2055</w:t>
      </w:r>
      <w:r w:rsidR="00F43F3A" w:rsidRPr="00F43F3A">
        <w:rPr>
          <w:rFonts w:hAnsi="宋体" w:hint="eastAsia"/>
          <w:b/>
          <w:color w:val="000000"/>
          <w:sz w:val="24"/>
        </w:rPr>
        <w:t>五年持有混合（</w:t>
      </w:r>
      <w:r w:rsidR="00F43F3A" w:rsidRPr="00F43F3A">
        <w:rPr>
          <w:rFonts w:hAnsi="宋体" w:hint="eastAsia"/>
          <w:b/>
          <w:color w:val="000000"/>
          <w:sz w:val="24"/>
        </w:rPr>
        <w:t>FOF</w:t>
      </w:r>
      <w:r w:rsidR="00F43F3A" w:rsidRPr="00F43F3A">
        <w:rPr>
          <w:rFonts w:hAnsi="宋体" w:hint="eastAsia"/>
          <w:b/>
          <w:color w:val="000000"/>
          <w:sz w:val="24"/>
        </w:rPr>
        <w:t>）对于每份基金份额设定五年最短持有期限，投资者认购</w:t>
      </w:r>
      <w:r w:rsidR="00F43F3A" w:rsidRPr="00F43F3A">
        <w:rPr>
          <w:rFonts w:hAnsi="宋体" w:hint="eastAsia"/>
          <w:b/>
          <w:color w:val="000000"/>
          <w:sz w:val="24"/>
        </w:rPr>
        <w:t>/</w:t>
      </w:r>
      <w:r w:rsidR="00F43F3A" w:rsidRPr="00F43F3A">
        <w:rPr>
          <w:rFonts w:hAnsi="宋体" w:hint="eastAsia"/>
          <w:b/>
          <w:color w:val="000000"/>
          <w:sz w:val="24"/>
        </w:rPr>
        <w:t>申购每份基金份额后，自基金合同生效日或申购确认日起五年内不得赎回。基金份额持有人将面临在五年持有期到期前不能赎回基金份额的风险。</w:t>
      </w:r>
    </w:p>
    <w:p w:rsidR="00F43F3A" w:rsidRPr="00F43F3A" w:rsidRDefault="00F43F3A" w:rsidP="00386DE1">
      <w:pPr>
        <w:spacing w:line="360" w:lineRule="auto"/>
        <w:ind w:firstLineChars="200" w:firstLine="482"/>
        <w:rPr>
          <w:rFonts w:hAnsi="宋体"/>
          <w:b/>
          <w:color w:val="000000"/>
          <w:sz w:val="24"/>
        </w:rPr>
      </w:pPr>
      <w:r w:rsidRPr="00F43F3A">
        <w:rPr>
          <w:rFonts w:hAnsi="宋体" w:hint="eastAsia"/>
          <w:b/>
          <w:color w:val="000000"/>
          <w:sz w:val="24"/>
        </w:rPr>
        <w:t>华夏稳健增利</w:t>
      </w:r>
      <w:r w:rsidRPr="00F43F3A">
        <w:rPr>
          <w:rFonts w:hAnsi="宋体" w:hint="eastAsia"/>
          <w:b/>
          <w:color w:val="000000"/>
          <w:sz w:val="24"/>
        </w:rPr>
        <w:t>4</w:t>
      </w:r>
      <w:r w:rsidRPr="00F43F3A">
        <w:rPr>
          <w:rFonts w:hAnsi="宋体" w:hint="eastAsia"/>
          <w:b/>
          <w:color w:val="000000"/>
          <w:sz w:val="24"/>
        </w:rPr>
        <w:t>个月债券对每份基金份额设定</w:t>
      </w:r>
      <w:r w:rsidRPr="00F43F3A">
        <w:rPr>
          <w:rFonts w:hAnsi="宋体" w:hint="eastAsia"/>
          <w:b/>
          <w:color w:val="000000"/>
          <w:sz w:val="24"/>
        </w:rPr>
        <w:t>4</w:t>
      </w:r>
      <w:r w:rsidRPr="00F43F3A">
        <w:rPr>
          <w:rFonts w:hAnsi="宋体" w:hint="eastAsia"/>
          <w:b/>
          <w:color w:val="000000"/>
          <w:sz w:val="24"/>
        </w:rPr>
        <w:t>个月的滚动运作期，每个运作期到期日，基金份额持有人可提出赎回申请。如果基金份额持有人在当期运作期到期日未申请赎回，则自该运作期到期日下一日起该基金份额进入下一个运作期。</w:t>
      </w:r>
    </w:p>
    <w:p w:rsidR="00386DE1" w:rsidRPr="00386DE1" w:rsidRDefault="00386DE1" w:rsidP="00386DE1">
      <w:pPr>
        <w:spacing w:line="360" w:lineRule="auto"/>
        <w:ind w:firstLineChars="200" w:firstLine="482"/>
        <w:rPr>
          <w:rFonts w:hAnsi="宋体"/>
          <w:b/>
          <w:color w:val="000000"/>
          <w:sz w:val="24"/>
        </w:rPr>
      </w:pPr>
      <w:r w:rsidRPr="00386DE1">
        <w:rPr>
          <w:rFonts w:hAnsi="宋体" w:hint="eastAsia"/>
          <w:b/>
          <w:color w:val="000000"/>
          <w:sz w:val="24"/>
        </w:rPr>
        <w:t>华夏鼎琪三个月定开债券单一投资者持有的基金份额或者构成一致行动人的多个投资者持有的基金份额可达到或者超过</w:t>
      </w:r>
      <w:r w:rsidRPr="00386DE1">
        <w:rPr>
          <w:rFonts w:hAnsi="宋体" w:hint="eastAsia"/>
          <w:b/>
          <w:color w:val="000000"/>
          <w:sz w:val="24"/>
        </w:rPr>
        <w:t>50%</w:t>
      </w:r>
      <w:r w:rsidRPr="00386DE1">
        <w:rPr>
          <w:rFonts w:hAnsi="宋体" w:hint="eastAsia"/>
          <w:b/>
          <w:color w:val="000000"/>
          <w:sz w:val="24"/>
        </w:rPr>
        <w:t>，基金不向个人投资者销售。在每个封闭期内，基金份额持有人面临不能赎回基金份额的风险。若基金份额持有人错过某一开放期而未能赎回，其份额需至下一开放期方可赎回。</w:t>
      </w:r>
    </w:p>
    <w:p w:rsidR="00E03419" w:rsidRPr="008B074B" w:rsidRDefault="00E03419" w:rsidP="00443D55">
      <w:pPr>
        <w:spacing w:line="360" w:lineRule="auto"/>
        <w:ind w:firstLineChars="200" w:firstLine="482"/>
        <w:rPr>
          <w:rFonts w:hAnsi="宋体"/>
          <w:b/>
          <w:color w:val="000000"/>
          <w:sz w:val="24"/>
        </w:rPr>
      </w:pPr>
      <w:r w:rsidRPr="008947BA">
        <w:rPr>
          <w:rFonts w:hAnsi="宋体" w:hint="eastAsia"/>
          <w:b/>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w:t>
      </w:r>
      <w:r w:rsidRPr="008947BA">
        <w:rPr>
          <w:rFonts w:hAnsi="宋体" w:hint="eastAsia"/>
          <w:b/>
          <w:color w:val="000000"/>
          <w:sz w:val="24"/>
        </w:rPr>
        <w:lastRenderedPageBreak/>
        <w:t>行负担。投资者在投资基金之前，请仔细阅读基金的</w:t>
      </w:r>
      <w:r w:rsidR="00EB78AC" w:rsidRPr="008947BA">
        <w:rPr>
          <w:rFonts w:hAnsi="宋体" w:hint="eastAsia"/>
          <w:b/>
          <w:color w:val="000000"/>
          <w:sz w:val="24"/>
        </w:rPr>
        <w:t>基金合同、</w:t>
      </w:r>
      <w:r w:rsidRPr="008947BA">
        <w:rPr>
          <w:rFonts w:hAnsi="宋体" w:hint="eastAsia"/>
          <w:b/>
          <w:color w:val="000000"/>
          <w:sz w:val="24"/>
        </w:rPr>
        <w:t>招募说明书</w:t>
      </w:r>
      <w:r w:rsidR="00EB78AC" w:rsidRPr="008947BA">
        <w:rPr>
          <w:rFonts w:hAnsi="宋体" w:hint="eastAsia"/>
          <w:b/>
          <w:color w:val="000000"/>
          <w:sz w:val="24"/>
        </w:rPr>
        <w:t>、基金产品资料概要等法律文件</w:t>
      </w:r>
      <w:r w:rsidRPr="008947BA">
        <w:rPr>
          <w:rFonts w:hAnsi="宋体" w:hint="eastAsia"/>
          <w:b/>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Default="00E03419" w:rsidP="00FD63C1">
      <w:pPr>
        <w:spacing w:line="360" w:lineRule="auto"/>
        <w:ind w:firstLine="420"/>
        <w:rPr>
          <w:rFonts w:hAnsi="宋体"/>
          <w:color w:val="000000"/>
          <w:sz w:val="24"/>
        </w:rPr>
      </w:pPr>
      <w:r w:rsidRPr="00E51B43">
        <w:rPr>
          <w:rFonts w:hAnsi="宋体" w:hint="eastAsia"/>
          <w:color w:val="000000"/>
          <w:sz w:val="24"/>
        </w:rPr>
        <w:t>特此公告</w:t>
      </w:r>
    </w:p>
    <w:p w:rsidR="00304E9C" w:rsidRPr="00E51B43" w:rsidRDefault="00304E9C" w:rsidP="00FD63C1">
      <w:pPr>
        <w:spacing w:line="360" w:lineRule="auto"/>
        <w:ind w:firstLine="420"/>
        <w:rPr>
          <w:rFonts w:hAnsi="宋体"/>
          <w:color w:val="000000"/>
          <w:sz w:val="24"/>
        </w:rPr>
      </w:pPr>
    </w:p>
    <w:p w:rsidR="00E03419" w:rsidRPr="00E51B43" w:rsidRDefault="00E03419" w:rsidP="00FD63C1">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443D55" w:rsidP="00FD63C1">
      <w:pPr>
        <w:spacing w:line="360" w:lineRule="auto"/>
        <w:jc w:val="right"/>
        <w:rPr>
          <w:rFonts w:hAnsi="宋体"/>
          <w:color w:val="000000"/>
          <w:sz w:val="24"/>
        </w:rPr>
      </w:pPr>
      <w:r>
        <w:rPr>
          <w:rFonts w:hAnsi="宋体" w:hint="eastAsia"/>
          <w:color w:val="000000"/>
          <w:sz w:val="24"/>
        </w:rPr>
        <w:t>二〇二一年八</w:t>
      </w:r>
      <w:r w:rsidR="00C066FB">
        <w:rPr>
          <w:rFonts w:hAnsi="宋体" w:hint="eastAsia"/>
          <w:color w:val="000000"/>
          <w:sz w:val="24"/>
        </w:rPr>
        <w:t>月</w:t>
      </w:r>
      <w:r w:rsidR="00386DE1">
        <w:rPr>
          <w:rFonts w:hAnsi="宋体" w:hint="eastAsia"/>
          <w:color w:val="000000"/>
          <w:sz w:val="24"/>
        </w:rPr>
        <w:t>二</w:t>
      </w:r>
      <w:r w:rsidR="00382DA5">
        <w:rPr>
          <w:rFonts w:hAnsi="宋体" w:hint="eastAsia"/>
          <w:color w:val="000000"/>
          <w:sz w:val="24"/>
        </w:rPr>
        <w:t>十</w:t>
      </w:r>
      <w:r w:rsidR="00F43F3A">
        <w:rPr>
          <w:rFonts w:hAnsi="宋体" w:hint="eastAsia"/>
          <w:color w:val="000000"/>
          <w:sz w:val="24"/>
        </w:rPr>
        <w:t>三</w:t>
      </w:r>
      <w:r w:rsidR="00E03419" w:rsidRPr="00E51B43">
        <w:rPr>
          <w:rFonts w:hAnsi="宋体" w:hint="eastAsia"/>
          <w:color w:val="000000"/>
          <w:sz w:val="24"/>
        </w:rPr>
        <w:t>日</w:t>
      </w:r>
    </w:p>
    <w:sectPr w:rsidR="00E03419" w:rsidRPr="00E51B43" w:rsidSect="00FD63C1">
      <w:headerReference w:type="even" r:id="rId9"/>
      <w:headerReference w:type="default" r:id="rId10"/>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B70" w:rsidRDefault="00FC5B70" w:rsidP="00A7547C">
      <w:r>
        <w:separator/>
      </w:r>
    </w:p>
  </w:endnote>
  <w:endnote w:type="continuationSeparator" w:id="0">
    <w:p w:rsidR="00FC5B70" w:rsidRDefault="00FC5B70"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B70" w:rsidRDefault="00FC5B70" w:rsidP="00A7547C">
      <w:r>
        <w:separator/>
      </w:r>
    </w:p>
  </w:footnote>
  <w:footnote w:type="continuationSeparator" w:id="0">
    <w:p w:rsidR="00FC5B70" w:rsidRDefault="00FC5B70"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9E86ECF0"/>
    <w:lvl w:ilvl="0" w:tplc="3428401E">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0336C"/>
    <w:rsid w:val="000245E7"/>
    <w:rsid w:val="00025EF9"/>
    <w:rsid w:val="0003047E"/>
    <w:rsid w:val="00036F46"/>
    <w:rsid w:val="00042CFB"/>
    <w:rsid w:val="00070F9B"/>
    <w:rsid w:val="00080529"/>
    <w:rsid w:val="00081BB6"/>
    <w:rsid w:val="00087B0C"/>
    <w:rsid w:val="00096DB4"/>
    <w:rsid w:val="000D13E8"/>
    <w:rsid w:val="000D6064"/>
    <w:rsid w:val="000D71A1"/>
    <w:rsid w:val="000E6DCB"/>
    <w:rsid w:val="000F7D56"/>
    <w:rsid w:val="0010466E"/>
    <w:rsid w:val="00104D53"/>
    <w:rsid w:val="001057A8"/>
    <w:rsid w:val="00110E93"/>
    <w:rsid w:val="0012238E"/>
    <w:rsid w:val="00136FC6"/>
    <w:rsid w:val="00142B14"/>
    <w:rsid w:val="0014457B"/>
    <w:rsid w:val="00165685"/>
    <w:rsid w:val="001724B1"/>
    <w:rsid w:val="001732A6"/>
    <w:rsid w:val="001834CB"/>
    <w:rsid w:val="00190EB5"/>
    <w:rsid w:val="001978DF"/>
    <w:rsid w:val="001A4DD7"/>
    <w:rsid w:val="001B67DA"/>
    <w:rsid w:val="001C2751"/>
    <w:rsid w:val="001E5341"/>
    <w:rsid w:val="00206744"/>
    <w:rsid w:val="00223583"/>
    <w:rsid w:val="00225D8C"/>
    <w:rsid w:val="00227BCF"/>
    <w:rsid w:val="002368DC"/>
    <w:rsid w:val="00241D83"/>
    <w:rsid w:val="00245CA6"/>
    <w:rsid w:val="00271ECF"/>
    <w:rsid w:val="002800EE"/>
    <w:rsid w:val="0029546F"/>
    <w:rsid w:val="002A1609"/>
    <w:rsid w:val="002A354A"/>
    <w:rsid w:val="002B15AE"/>
    <w:rsid w:val="002D476D"/>
    <w:rsid w:val="002D6E74"/>
    <w:rsid w:val="002D6F68"/>
    <w:rsid w:val="002E607E"/>
    <w:rsid w:val="002F0BAC"/>
    <w:rsid w:val="00304E9C"/>
    <w:rsid w:val="00305BC9"/>
    <w:rsid w:val="0030643C"/>
    <w:rsid w:val="0031269A"/>
    <w:rsid w:val="00324613"/>
    <w:rsid w:val="0032635E"/>
    <w:rsid w:val="00340094"/>
    <w:rsid w:val="00371075"/>
    <w:rsid w:val="003724D9"/>
    <w:rsid w:val="003734EA"/>
    <w:rsid w:val="00376FEA"/>
    <w:rsid w:val="00377CF0"/>
    <w:rsid w:val="00382DA5"/>
    <w:rsid w:val="00386DE1"/>
    <w:rsid w:val="003933BB"/>
    <w:rsid w:val="003D0F0F"/>
    <w:rsid w:val="003D6A20"/>
    <w:rsid w:val="003E1820"/>
    <w:rsid w:val="003F49AE"/>
    <w:rsid w:val="00401356"/>
    <w:rsid w:val="00401DF2"/>
    <w:rsid w:val="004338A6"/>
    <w:rsid w:val="0043605D"/>
    <w:rsid w:val="004375BF"/>
    <w:rsid w:val="00443D55"/>
    <w:rsid w:val="0044531C"/>
    <w:rsid w:val="00456FF9"/>
    <w:rsid w:val="00471888"/>
    <w:rsid w:val="00492A6A"/>
    <w:rsid w:val="004936C5"/>
    <w:rsid w:val="00493C8E"/>
    <w:rsid w:val="00495052"/>
    <w:rsid w:val="004C5ADC"/>
    <w:rsid w:val="004D3DBC"/>
    <w:rsid w:val="004D43F1"/>
    <w:rsid w:val="004D4C25"/>
    <w:rsid w:val="0051089B"/>
    <w:rsid w:val="00514D29"/>
    <w:rsid w:val="00516469"/>
    <w:rsid w:val="00527860"/>
    <w:rsid w:val="00541AB8"/>
    <w:rsid w:val="0054225B"/>
    <w:rsid w:val="00563BAE"/>
    <w:rsid w:val="00564BFC"/>
    <w:rsid w:val="00565F92"/>
    <w:rsid w:val="005815FC"/>
    <w:rsid w:val="00583FE5"/>
    <w:rsid w:val="005A1843"/>
    <w:rsid w:val="005A5EAB"/>
    <w:rsid w:val="005B0DF1"/>
    <w:rsid w:val="005B7E53"/>
    <w:rsid w:val="005D5ABA"/>
    <w:rsid w:val="005E3E68"/>
    <w:rsid w:val="005E70BA"/>
    <w:rsid w:val="00605069"/>
    <w:rsid w:val="006105D6"/>
    <w:rsid w:val="00622314"/>
    <w:rsid w:val="0062476F"/>
    <w:rsid w:val="006273C6"/>
    <w:rsid w:val="0063188F"/>
    <w:rsid w:val="006319B3"/>
    <w:rsid w:val="00651647"/>
    <w:rsid w:val="0065661F"/>
    <w:rsid w:val="00672E1F"/>
    <w:rsid w:val="00674447"/>
    <w:rsid w:val="006D60FF"/>
    <w:rsid w:val="006D6C0C"/>
    <w:rsid w:val="00706EEE"/>
    <w:rsid w:val="00765DF0"/>
    <w:rsid w:val="0077202D"/>
    <w:rsid w:val="00773056"/>
    <w:rsid w:val="007736B8"/>
    <w:rsid w:val="007746A7"/>
    <w:rsid w:val="00797404"/>
    <w:rsid w:val="007A76BF"/>
    <w:rsid w:val="007B74EB"/>
    <w:rsid w:val="007C5568"/>
    <w:rsid w:val="007D1174"/>
    <w:rsid w:val="007D7622"/>
    <w:rsid w:val="007E27C7"/>
    <w:rsid w:val="007E5345"/>
    <w:rsid w:val="007F344B"/>
    <w:rsid w:val="007F7D28"/>
    <w:rsid w:val="00830C4C"/>
    <w:rsid w:val="00836A66"/>
    <w:rsid w:val="00852E9B"/>
    <w:rsid w:val="00854B1E"/>
    <w:rsid w:val="00871AC5"/>
    <w:rsid w:val="00873390"/>
    <w:rsid w:val="008947BA"/>
    <w:rsid w:val="00896280"/>
    <w:rsid w:val="008B074B"/>
    <w:rsid w:val="008C104F"/>
    <w:rsid w:val="008F1F4A"/>
    <w:rsid w:val="009022D8"/>
    <w:rsid w:val="0090490C"/>
    <w:rsid w:val="009119F3"/>
    <w:rsid w:val="00911D1D"/>
    <w:rsid w:val="009151F2"/>
    <w:rsid w:val="00921DF2"/>
    <w:rsid w:val="00925DC5"/>
    <w:rsid w:val="00942133"/>
    <w:rsid w:val="0094588C"/>
    <w:rsid w:val="00953801"/>
    <w:rsid w:val="00965AFD"/>
    <w:rsid w:val="009764C6"/>
    <w:rsid w:val="0099288E"/>
    <w:rsid w:val="00994BE4"/>
    <w:rsid w:val="009B2A5C"/>
    <w:rsid w:val="009C0D8A"/>
    <w:rsid w:val="009C2F4B"/>
    <w:rsid w:val="009C5E23"/>
    <w:rsid w:val="009F1D62"/>
    <w:rsid w:val="00A109AA"/>
    <w:rsid w:val="00A1483E"/>
    <w:rsid w:val="00A172F2"/>
    <w:rsid w:val="00A2255B"/>
    <w:rsid w:val="00A228E8"/>
    <w:rsid w:val="00A27C9C"/>
    <w:rsid w:val="00A309A6"/>
    <w:rsid w:val="00A403E7"/>
    <w:rsid w:val="00A4740D"/>
    <w:rsid w:val="00A51524"/>
    <w:rsid w:val="00A7547C"/>
    <w:rsid w:val="00A765DC"/>
    <w:rsid w:val="00A84C31"/>
    <w:rsid w:val="00A9250A"/>
    <w:rsid w:val="00A93639"/>
    <w:rsid w:val="00AA40EE"/>
    <w:rsid w:val="00AC16F7"/>
    <w:rsid w:val="00AD2D7E"/>
    <w:rsid w:val="00AE222E"/>
    <w:rsid w:val="00B05DB9"/>
    <w:rsid w:val="00B07359"/>
    <w:rsid w:val="00B101D7"/>
    <w:rsid w:val="00B26B50"/>
    <w:rsid w:val="00B34F1D"/>
    <w:rsid w:val="00B55412"/>
    <w:rsid w:val="00B652F1"/>
    <w:rsid w:val="00B70CEA"/>
    <w:rsid w:val="00B71367"/>
    <w:rsid w:val="00B94659"/>
    <w:rsid w:val="00B973A9"/>
    <w:rsid w:val="00BA3ADA"/>
    <w:rsid w:val="00BC4781"/>
    <w:rsid w:val="00BE29F1"/>
    <w:rsid w:val="00BE3DC7"/>
    <w:rsid w:val="00BE41BA"/>
    <w:rsid w:val="00BF6395"/>
    <w:rsid w:val="00C00026"/>
    <w:rsid w:val="00C066FB"/>
    <w:rsid w:val="00C27E1E"/>
    <w:rsid w:val="00C34B5A"/>
    <w:rsid w:val="00C35A34"/>
    <w:rsid w:val="00C5558C"/>
    <w:rsid w:val="00C619B0"/>
    <w:rsid w:val="00C71CCA"/>
    <w:rsid w:val="00C7766C"/>
    <w:rsid w:val="00C87B76"/>
    <w:rsid w:val="00C9132B"/>
    <w:rsid w:val="00C96987"/>
    <w:rsid w:val="00CB031F"/>
    <w:rsid w:val="00CB3C1A"/>
    <w:rsid w:val="00CC63D7"/>
    <w:rsid w:val="00CC704B"/>
    <w:rsid w:val="00CC7386"/>
    <w:rsid w:val="00CD2AAD"/>
    <w:rsid w:val="00CF18EC"/>
    <w:rsid w:val="00CF536D"/>
    <w:rsid w:val="00D00C59"/>
    <w:rsid w:val="00D012EB"/>
    <w:rsid w:val="00D038ED"/>
    <w:rsid w:val="00D5281E"/>
    <w:rsid w:val="00D8090C"/>
    <w:rsid w:val="00D83383"/>
    <w:rsid w:val="00D8492F"/>
    <w:rsid w:val="00DC09D9"/>
    <w:rsid w:val="00DC4F04"/>
    <w:rsid w:val="00DC65D8"/>
    <w:rsid w:val="00E03419"/>
    <w:rsid w:val="00E10E9D"/>
    <w:rsid w:val="00E208F0"/>
    <w:rsid w:val="00E26A27"/>
    <w:rsid w:val="00E272BF"/>
    <w:rsid w:val="00E31342"/>
    <w:rsid w:val="00E356DE"/>
    <w:rsid w:val="00E51B43"/>
    <w:rsid w:val="00E61B9A"/>
    <w:rsid w:val="00E66DA3"/>
    <w:rsid w:val="00E74772"/>
    <w:rsid w:val="00E81360"/>
    <w:rsid w:val="00E82A43"/>
    <w:rsid w:val="00E87027"/>
    <w:rsid w:val="00EB78AC"/>
    <w:rsid w:val="00EC7020"/>
    <w:rsid w:val="00ED11CC"/>
    <w:rsid w:val="00EE11F7"/>
    <w:rsid w:val="00EE4F0A"/>
    <w:rsid w:val="00EE6778"/>
    <w:rsid w:val="00EF558B"/>
    <w:rsid w:val="00F43F3A"/>
    <w:rsid w:val="00F52317"/>
    <w:rsid w:val="00F52B26"/>
    <w:rsid w:val="00F73250"/>
    <w:rsid w:val="00F81AAB"/>
    <w:rsid w:val="00F85E74"/>
    <w:rsid w:val="00F97F24"/>
    <w:rsid w:val="00FC5B70"/>
    <w:rsid w:val="00FD63C1"/>
    <w:rsid w:val="00FF14E1"/>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 w:type="table" w:styleId="ad">
    <w:name w:val="Table Grid"/>
    <w:basedOn w:val="a1"/>
    <w:uiPriority w:val="59"/>
    <w:rsid w:val="0014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245CA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754807">
      <w:bodyDiv w:val="1"/>
      <w:marLeft w:val="0"/>
      <w:marRight w:val="0"/>
      <w:marTop w:val="0"/>
      <w:marBottom w:val="0"/>
      <w:divBdr>
        <w:top w:val="none" w:sz="0" w:space="0" w:color="auto"/>
        <w:left w:val="none" w:sz="0" w:space="0" w:color="auto"/>
        <w:bottom w:val="none" w:sz="0" w:space="0" w:color="auto"/>
        <w:right w:val="none" w:sz="0" w:space="0" w:color="auto"/>
      </w:divBdr>
    </w:div>
    <w:div w:id="20399966">
      <w:bodyDiv w:val="1"/>
      <w:marLeft w:val="0"/>
      <w:marRight w:val="0"/>
      <w:marTop w:val="0"/>
      <w:marBottom w:val="0"/>
      <w:divBdr>
        <w:top w:val="none" w:sz="0" w:space="0" w:color="auto"/>
        <w:left w:val="none" w:sz="0" w:space="0" w:color="auto"/>
        <w:bottom w:val="none" w:sz="0" w:space="0" w:color="auto"/>
        <w:right w:val="none" w:sz="0" w:space="0" w:color="auto"/>
      </w:divBdr>
    </w:div>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50738896">
      <w:bodyDiv w:val="1"/>
      <w:marLeft w:val="0"/>
      <w:marRight w:val="0"/>
      <w:marTop w:val="0"/>
      <w:marBottom w:val="0"/>
      <w:divBdr>
        <w:top w:val="none" w:sz="0" w:space="0" w:color="auto"/>
        <w:left w:val="none" w:sz="0" w:space="0" w:color="auto"/>
        <w:bottom w:val="none" w:sz="0" w:space="0" w:color="auto"/>
        <w:right w:val="none" w:sz="0" w:space="0" w:color="auto"/>
      </w:divBdr>
    </w:div>
    <w:div w:id="162746977">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175385829">
      <w:bodyDiv w:val="1"/>
      <w:marLeft w:val="0"/>
      <w:marRight w:val="0"/>
      <w:marTop w:val="0"/>
      <w:marBottom w:val="0"/>
      <w:divBdr>
        <w:top w:val="none" w:sz="0" w:space="0" w:color="auto"/>
        <w:left w:val="none" w:sz="0" w:space="0" w:color="auto"/>
        <w:bottom w:val="none" w:sz="0" w:space="0" w:color="auto"/>
        <w:right w:val="none" w:sz="0" w:space="0" w:color="auto"/>
      </w:divBdr>
    </w:div>
    <w:div w:id="177164792">
      <w:bodyDiv w:val="1"/>
      <w:marLeft w:val="0"/>
      <w:marRight w:val="0"/>
      <w:marTop w:val="0"/>
      <w:marBottom w:val="0"/>
      <w:divBdr>
        <w:top w:val="none" w:sz="0" w:space="0" w:color="auto"/>
        <w:left w:val="none" w:sz="0" w:space="0" w:color="auto"/>
        <w:bottom w:val="none" w:sz="0" w:space="0" w:color="auto"/>
        <w:right w:val="none" w:sz="0" w:space="0" w:color="auto"/>
      </w:divBdr>
    </w:div>
    <w:div w:id="247809191">
      <w:bodyDiv w:val="1"/>
      <w:marLeft w:val="0"/>
      <w:marRight w:val="0"/>
      <w:marTop w:val="0"/>
      <w:marBottom w:val="0"/>
      <w:divBdr>
        <w:top w:val="none" w:sz="0" w:space="0" w:color="auto"/>
        <w:left w:val="none" w:sz="0" w:space="0" w:color="auto"/>
        <w:bottom w:val="none" w:sz="0" w:space="0" w:color="auto"/>
        <w:right w:val="none" w:sz="0" w:space="0" w:color="auto"/>
      </w:divBdr>
    </w:div>
    <w:div w:id="276109114">
      <w:bodyDiv w:val="1"/>
      <w:marLeft w:val="0"/>
      <w:marRight w:val="0"/>
      <w:marTop w:val="0"/>
      <w:marBottom w:val="0"/>
      <w:divBdr>
        <w:top w:val="none" w:sz="0" w:space="0" w:color="auto"/>
        <w:left w:val="none" w:sz="0" w:space="0" w:color="auto"/>
        <w:bottom w:val="none" w:sz="0" w:space="0" w:color="auto"/>
        <w:right w:val="none" w:sz="0" w:space="0" w:color="auto"/>
      </w:divBdr>
    </w:div>
    <w:div w:id="295768566">
      <w:bodyDiv w:val="1"/>
      <w:marLeft w:val="0"/>
      <w:marRight w:val="0"/>
      <w:marTop w:val="0"/>
      <w:marBottom w:val="0"/>
      <w:divBdr>
        <w:top w:val="none" w:sz="0" w:space="0" w:color="auto"/>
        <w:left w:val="none" w:sz="0" w:space="0" w:color="auto"/>
        <w:bottom w:val="none" w:sz="0" w:space="0" w:color="auto"/>
        <w:right w:val="none" w:sz="0" w:space="0" w:color="auto"/>
      </w:divBdr>
    </w:div>
    <w:div w:id="344596708">
      <w:bodyDiv w:val="1"/>
      <w:marLeft w:val="0"/>
      <w:marRight w:val="0"/>
      <w:marTop w:val="0"/>
      <w:marBottom w:val="0"/>
      <w:divBdr>
        <w:top w:val="none" w:sz="0" w:space="0" w:color="auto"/>
        <w:left w:val="none" w:sz="0" w:space="0" w:color="auto"/>
        <w:bottom w:val="none" w:sz="0" w:space="0" w:color="auto"/>
        <w:right w:val="none" w:sz="0" w:space="0" w:color="auto"/>
      </w:divBdr>
    </w:div>
    <w:div w:id="348719112">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399249294">
      <w:bodyDiv w:val="1"/>
      <w:marLeft w:val="0"/>
      <w:marRight w:val="0"/>
      <w:marTop w:val="0"/>
      <w:marBottom w:val="0"/>
      <w:divBdr>
        <w:top w:val="none" w:sz="0" w:space="0" w:color="auto"/>
        <w:left w:val="none" w:sz="0" w:space="0" w:color="auto"/>
        <w:bottom w:val="none" w:sz="0" w:space="0" w:color="auto"/>
        <w:right w:val="none" w:sz="0" w:space="0" w:color="auto"/>
      </w:divBdr>
    </w:div>
    <w:div w:id="455485073">
      <w:bodyDiv w:val="1"/>
      <w:marLeft w:val="0"/>
      <w:marRight w:val="0"/>
      <w:marTop w:val="0"/>
      <w:marBottom w:val="0"/>
      <w:divBdr>
        <w:top w:val="none" w:sz="0" w:space="0" w:color="auto"/>
        <w:left w:val="none" w:sz="0" w:space="0" w:color="auto"/>
        <w:bottom w:val="none" w:sz="0" w:space="0" w:color="auto"/>
        <w:right w:val="none" w:sz="0" w:space="0" w:color="auto"/>
      </w:divBdr>
    </w:div>
    <w:div w:id="492380194">
      <w:bodyDiv w:val="1"/>
      <w:marLeft w:val="0"/>
      <w:marRight w:val="0"/>
      <w:marTop w:val="0"/>
      <w:marBottom w:val="0"/>
      <w:divBdr>
        <w:top w:val="none" w:sz="0" w:space="0" w:color="auto"/>
        <w:left w:val="none" w:sz="0" w:space="0" w:color="auto"/>
        <w:bottom w:val="none" w:sz="0" w:space="0" w:color="auto"/>
        <w:right w:val="none" w:sz="0" w:space="0" w:color="auto"/>
      </w:divBdr>
    </w:div>
    <w:div w:id="503595639">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540942409">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1277566">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691883430">
      <w:bodyDiv w:val="1"/>
      <w:marLeft w:val="0"/>
      <w:marRight w:val="0"/>
      <w:marTop w:val="0"/>
      <w:marBottom w:val="0"/>
      <w:divBdr>
        <w:top w:val="none" w:sz="0" w:space="0" w:color="auto"/>
        <w:left w:val="none" w:sz="0" w:space="0" w:color="auto"/>
        <w:bottom w:val="none" w:sz="0" w:space="0" w:color="auto"/>
        <w:right w:val="none" w:sz="0" w:space="0" w:color="auto"/>
      </w:divBdr>
    </w:div>
    <w:div w:id="719861752">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19661617">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41163627">
      <w:bodyDiv w:val="1"/>
      <w:marLeft w:val="0"/>
      <w:marRight w:val="0"/>
      <w:marTop w:val="0"/>
      <w:marBottom w:val="0"/>
      <w:divBdr>
        <w:top w:val="none" w:sz="0" w:space="0" w:color="auto"/>
        <w:left w:val="none" w:sz="0" w:space="0" w:color="auto"/>
        <w:bottom w:val="none" w:sz="0" w:space="0" w:color="auto"/>
        <w:right w:val="none" w:sz="0" w:space="0" w:color="auto"/>
      </w:divBdr>
    </w:div>
    <w:div w:id="848325402">
      <w:bodyDiv w:val="1"/>
      <w:marLeft w:val="0"/>
      <w:marRight w:val="0"/>
      <w:marTop w:val="0"/>
      <w:marBottom w:val="0"/>
      <w:divBdr>
        <w:top w:val="none" w:sz="0" w:space="0" w:color="auto"/>
        <w:left w:val="none" w:sz="0" w:space="0" w:color="auto"/>
        <w:bottom w:val="none" w:sz="0" w:space="0" w:color="auto"/>
        <w:right w:val="none" w:sz="0" w:space="0" w:color="auto"/>
      </w:divBdr>
    </w:div>
    <w:div w:id="861354821">
      <w:bodyDiv w:val="1"/>
      <w:marLeft w:val="0"/>
      <w:marRight w:val="0"/>
      <w:marTop w:val="0"/>
      <w:marBottom w:val="0"/>
      <w:divBdr>
        <w:top w:val="none" w:sz="0" w:space="0" w:color="auto"/>
        <w:left w:val="none" w:sz="0" w:space="0" w:color="auto"/>
        <w:bottom w:val="none" w:sz="0" w:space="0" w:color="auto"/>
        <w:right w:val="none" w:sz="0" w:space="0" w:color="auto"/>
      </w:divBdr>
    </w:div>
    <w:div w:id="874735398">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908342600">
      <w:bodyDiv w:val="1"/>
      <w:marLeft w:val="0"/>
      <w:marRight w:val="0"/>
      <w:marTop w:val="0"/>
      <w:marBottom w:val="0"/>
      <w:divBdr>
        <w:top w:val="none" w:sz="0" w:space="0" w:color="auto"/>
        <w:left w:val="none" w:sz="0" w:space="0" w:color="auto"/>
        <w:bottom w:val="none" w:sz="0" w:space="0" w:color="auto"/>
        <w:right w:val="none" w:sz="0" w:space="0" w:color="auto"/>
      </w:divBdr>
    </w:div>
    <w:div w:id="989559198">
      <w:bodyDiv w:val="1"/>
      <w:marLeft w:val="0"/>
      <w:marRight w:val="0"/>
      <w:marTop w:val="0"/>
      <w:marBottom w:val="0"/>
      <w:divBdr>
        <w:top w:val="none" w:sz="0" w:space="0" w:color="auto"/>
        <w:left w:val="none" w:sz="0" w:space="0" w:color="auto"/>
        <w:bottom w:val="none" w:sz="0" w:space="0" w:color="auto"/>
        <w:right w:val="none" w:sz="0" w:space="0" w:color="auto"/>
      </w:divBdr>
    </w:div>
    <w:div w:id="1067917539">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099836170">
      <w:bodyDiv w:val="1"/>
      <w:marLeft w:val="0"/>
      <w:marRight w:val="0"/>
      <w:marTop w:val="0"/>
      <w:marBottom w:val="0"/>
      <w:divBdr>
        <w:top w:val="none" w:sz="0" w:space="0" w:color="auto"/>
        <w:left w:val="none" w:sz="0" w:space="0" w:color="auto"/>
        <w:bottom w:val="none" w:sz="0" w:space="0" w:color="auto"/>
        <w:right w:val="none" w:sz="0" w:space="0" w:color="auto"/>
      </w:divBdr>
    </w:div>
    <w:div w:id="1114712053">
      <w:bodyDiv w:val="1"/>
      <w:marLeft w:val="0"/>
      <w:marRight w:val="0"/>
      <w:marTop w:val="0"/>
      <w:marBottom w:val="0"/>
      <w:divBdr>
        <w:top w:val="none" w:sz="0" w:space="0" w:color="auto"/>
        <w:left w:val="none" w:sz="0" w:space="0" w:color="auto"/>
        <w:bottom w:val="none" w:sz="0" w:space="0" w:color="auto"/>
        <w:right w:val="none" w:sz="0" w:space="0" w:color="auto"/>
      </w:divBdr>
    </w:div>
    <w:div w:id="1120417696">
      <w:bodyDiv w:val="1"/>
      <w:marLeft w:val="0"/>
      <w:marRight w:val="0"/>
      <w:marTop w:val="0"/>
      <w:marBottom w:val="0"/>
      <w:divBdr>
        <w:top w:val="none" w:sz="0" w:space="0" w:color="auto"/>
        <w:left w:val="none" w:sz="0" w:space="0" w:color="auto"/>
        <w:bottom w:val="none" w:sz="0" w:space="0" w:color="auto"/>
        <w:right w:val="none" w:sz="0" w:space="0" w:color="auto"/>
      </w:divBdr>
    </w:div>
    <w:div w:id="1151215531">
      <w:bodyDiv w:val="1"/>
      <w:marLeft w:val="0"/>
      <w:marRight w:val="0"/>
      <w:marTop w:val="0"/>
      <w:marBottom w:val="0"/>
      <w:divBdr>
        <w:top w:val="none" w:sz="0" w:space="0" w:color="auto"/>
        <w:left w:val="none" w:sz="0" w:space="0" w:color="auto"/>
        <w:bottom w:val="none" w:sz="0" w:space="0" w:color="auto"/>
        <w:right w:val="none" w:sz="0" w:space="0" w:color="auto"/>
      </w:divBdr>
    </w:div>
    <w:div w:id="1229337560">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243180780">
      <w:bodyDiv w:val="1"/>
      <w:marLeft w:val="0"/>
      <w:marRight w:val="0"/>
      <w:marTop w:val="0"/>
      <w:marBottom w:val="0"/>
      <w:divBdr>
        <w:top w:val="none" w:sz="0" w:space="0" w:color="auto"/>
        <w:left w:val="none" w:sz="0" w:space="0" w:color="auto"/>
        <w:bottom w:val="none" w:sz="0" w:space="0" w:color="auto"/>
        <w:right w:val="none" w:sz="0" w:space="0" w:color="auto"/>
      </w:divBdr>
    </w:div>
    <w:div w:id="1333096278">
      <w:bodyDiv w:val="1"/>
      <w:marLeft w:val="0"/>
      <w:marRight w:val="0"/>
      <w:marTop w:val="0"/>
      <w:marBottom w:val="0"/>
      <w:divBdr>
        <w:top w:val="none" w:sz="0" w:space="0" w:color="auto"/>
        <w:left w:val="none" w:sz="0" w:space="0" w:color="auto"/>
        <w:bottom w:val="none" w:sz="0" w:space="0" w:color="auto"/>
        <w:right w:val="none" w:sz="0" w:space="0" w:color="auto"/>
      </w:divBdr>
    </w:div>
    <w:div w:id="1370304049">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456295672">
      <w:bodyDiv w:val="1"/>
      <w:marLeft w:val="0"/>
      <w:marRight w:val="0"/>
      <w:marTop w:val="0"/>
      <w:marBottom w:val="0"/>
      <w:divBdr>
        <w:top w:val="none" w:sz="0" w:space="0" w:color="auto"/>
        <w:left w:val="none" w:sz="0" w:space="0" w:color="auto"/>
        <w:bottom w:val="none" w:sz="0" w:space="0" w:color="auto"/>
        <w:right w:val="none" w:sz="0" w:space="0" w:color="auto"/>
      </w:divBdr>
    </w:div>
    <w:div w:id="1478837536">
      <w:bodyDiv w:val="1"/>
      <w:marLeft w:val="0"/>
      <w:marRight w:val="0"/>
      <w:marTop w:val="0"/>
      <w:marBottom w:val="0"/>
      <w:divBdr>
        <w:top w:val="none" w:sz="0" w:space="0" w:color="auto"/>
        <w:left w:val="none" w:sz="0" w:space="0" w:color="auto"/>
        <w:bottom w:val="none" w:sz="0" w:space="0" w:color="auto"/>
        <w:right w:val="none" w:sz="0" w:space="0" w:color="auto"/>
      </w:divBdr>
    </w:div>
    <w:div w:id="1499662122">
      <w:bodyDiv w:val="1"/>
      <w:marLeft w:val="0"/>
      <w:marRight w:val="0"/>
      <w:marTop w:val="0"/>
      <w:marBottom w:val="0"/>
      <w:divBdr>
        <w:top w:val="none" w:sz="0" w:space="0" w:color="auto"/>
        <w:left w:val="none" w:sz="0" w:space="0" w:color="auto"/>
        <w:bottom w:val="none" w:sz="0" w:space="0" w:color="auto"/>
        <w:right w:val="none" w:sz="0" w:space="0" w:color="auto"/>
      </w:divBdr>
    </w:div>
    <w:div w:id="1545021230">
      <w:bodyDiv w:val="1"/>
      <w:marLeft w:val="0"/>
      <w:marRight w:val="0"/>
      <w:marTop w:val="0"/>
      <w:marBottom w:val="0"/>
      <w:divBdr>
        <w:top w:val="none" w:sz="0" w:space="0" w:color="auto"/>
        <w:left w:val="none" w:sz="0" w:space="0" w:color="auto"/>
        <w:bottom w:val="none" w:sz="0" w:space="0" w:color="auto"/>
        <w:right w:val="none" w:sz="0" w:space="0" w:color="auto"/>
      </w:divBdr>
    </w:div>
    <w:div w:id="1554152098">
      <w:bodyDiv w:val="1"/>
      <w:marLeft w:val="0"/>
      <w:marRight w:val="0"/>
      <w:marTop w:val="0"/>
      <w:marBottom w:val="0"/>
      <w:divBdr>
        <w:top w:val="none" w:sz="0" w:space="0" w:color="auto"/>
        <w:left w:val="none" w:sz="0" w:space="0" w:color="auto"/>
        <w:bottom w:val="none" w:sz="0" w:space="0" w:color="auto"/>
        <w:right w:val="none" w:sz="0" w:space="0" w:color="auto"/>
      </w:divBdr>
    </w:div>
    <w:div w:id="1576894347">
      <w:bodyDiv w:val="1"/>
      <w:marLeft w:val="0"/>
      <w:marRight w:val="0"/>
      <w:marTop w:val="0"/>
      <w:marBottom w:val="0"/>
      <w:divBdr>
        <w:top w:val="none" w:sz="0" w:space="0" w:color="auto"/>
        <w:left w:val="none" w:sz="0" w:space="0" w:color="auto"/>
        <w:bottom w:val="none" w:sz="0" w:space="0" w:color="auto"/>
        <w:right w:val="none" w:sz="0" w:space="0" w:color="auto"/>
      </w:divBdr>
    </w:div>
    <w:div w:id="1609848727">
      <w:bodyDiv w:val="1"/>
      <w:marLeft w:val="0"/>
      <w:marRight w:val="0"/>
      <w:marTop w:val="0"/>
      <w:marBottom w:val="0"/>
      <w:divBdr>
        <w:top w:val="none" w:sz="0" w:space="0" w:color="auto"/>
        <w:left w:val="none" w:sz="0" w:space="0" w:color="auto"/>
        <w:bottom w:val="none" w:sz="0" w:space="0" w:color="auto"/>
        <w:right w:val="none" w:sz="0" w:space="0" w:color="auto"/>
      </w:divBdr>
    </w:div>
    <w:div w:id="1639072246">
      <w:bodyDiv w:val="1"/>
      <w:marLeft w:val="0"/>
      <w:marRight w:val="0"/>
      <w:marTop w:val="0"/>
      <w:marBottom w:val="0"/>
      <w:divBdr>
        <w:top w:val="none" w:sz="0" w:space="0" w:color="auto"/>
        <w:left w:val="none" w:sz="0" w:space="0" w:color="auto"/>
        <w:bottom w:val="none" w:sz="0" w:space="0" w:color="auto"/>
        <w:right w:val="none" w:sz="0" w:space="0" w:color="auto"/>
      </w:divBdr>
    </w:div>
    <w:div w:id="1743329228">
      <w:bodyDiv w:val="1"/>
      <w:marLeft w:val="0"/>
      <w:marRight w:val="0"/>
      <w:marTop w:val="0"/>
      <w:marBottom w:val="0"/>
      <w:divBdr>
        <w:top w:val="none" w:sz="0" w:space="0" w:color="auto"/>
        <w:left w:val="none" w:sz="0" w:space="0" w:color="auto"/>
        <w:bottom w:val="none" w:sz="0" w:space="0" w:color="auto"/>
        <w:right w:val="none" w:sz="0" w:space="0" w:color="auto"/>
      </w:divBdr>
    </w:div>
    <w:div w:id="1747024710">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814447927">
      <w:bodyDiv w:val="1"/>
      <w:marLeft w:val="0"/>
      <w:marRight w:val="0"/>
      <w:marTop w:val="0"/>
      <w:marBottom w:val="0"/>
      <w:divBdr>
        <w:top w:val="none" w:sz="0" w:space="0" w:color="auto"/>
        <w:left w:val="none" w:sz="0" w:space="0" w:color="auto"/>
        <w:bottom w:val="none" w:sz="0" w:space="0" w:color="auto"/>
        <w:right w:val="none" w:sz="0" w:space="0" w:color="auto"/>
      </w:divBdr>
    </w:div>
    <w:div w:id="1823347589">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5329646">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1919364383">
      <w:bodyDiv w:val="1"/>
      <w:marLeft w:val="0"/>
      <w:marRight w:val="0"/>
      <w:marTop w:val="0"/>
      <w:marBottom w:val="0"/>
      <w:divBdr>
        <w:top w:val="none" w:sz="0" w:space="0" w:color="auto"/>
        <w:left w:val="none" w:sz="0" w:space="0" w:color="auto"/>
        <w:bottom w:val="none" w:sz="0" w:space="0" w:color="auto"/>
        <w:right w:val="none" w:sz="0" w:space="0" w:color="auto"/>
      </w:divBdr>
    </w:div>
    <w:div w:id="1965573311">
      <w:bodyDiv w:val="1"/>
      <w:marLeft w:val="0"/>
      <w:marRight w:val="0"/>
      <w:marTop w:val="0"/>
      <w:marBottom w:val="0"/>
      <w:divBdr>
        <w:top w:val="none" w:sz="0" w:space="0" w:color="auto"/>
        <w:left w:val="none" w:sz="0" w:space="0" w:color="auto"/>
        <w:bottom w:val="none" w:sz="0" w:space="0" w:color="auto"/>
        <w:right w:val="none" w:sz="0" w:space="0" w:color="auto"/>
      </w:divBdr>
    </w:div>
    <w:div w:id="2005083525">
      <w:bodyDiv w:val="1"/>
      <w:marLeft w:val="0"/>
      <w:marRight w:val="0"/>
      <w:marTop w:val="0"/>
      <w:marBottom w:val="0"/>
      <w:divBdr>
        <w:top w:val="none" w:sz="0" w:space="0" w:color="auto"/>
        <w:left w:val="none" w:sz="0" w:space="0" w:color="auto"/>
        <w:bottom w:val="none" w:sz="0" w:space="0" w:color="auto"/>
        <w:right w:val="none" w:sz="0" w:space="0" w:color="auto"/>
      </w:divBdr>
    </w:div>
    <w:div w:id="2034066805">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62122533">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BFF61A-968C-4BC1-9436-51B03522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1617</Characters>
  <Application>Microsoft Office Word</Application>
  <DocSecurity>4</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cp:lastPrinted>2021-07-19T08:13:00Z</cp:lastPrinted>
  <dcterms:created xsi:type="dcterms:W3CDTF">2021-08-22T16:07:00Z</dcterms:created>
  <dcterms:modified xsi:type="dcterms:W3CDTF">2021-08-22T16:07:00Z</dcterms:modified>
</cp:coreProperties>
</file>