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9" w:rsidRDefault="00826FBA" w:rsidP="00783CA8">
      <w:pPr>
        <w:pStyle w:val="a3"/>
      </w:pPr>
      <w:bookmarkStart w:id="0" w:name="_GoBack"/>
      <w:bookmarkEnd w:id="0"/>
      <w:r w:rsidRPr="00826FBA">
        <w:rPr>
          <w:rFonts w:hint="eastAsia"/>
        </w:rPr>
        <w:t>易方达基金管理有限公司</w:t>
      </w:r>
      <w:r w:rsidR="00F96DE9">
        <w:rPr>
          <w:rFonts w:hint="eastAsia"/>
        </w:rPr>
        <w:t>关于旗下深交所基金</w:t>
      </w:r>
      <w:r w:rsidR="00783CA8">
        <w:rPr>
          <w:rFonts w:hint="eastAsia"/>
        </w:rPr>
        <w:t>新增</w:t>
      </w:r>
      <w:r w:rsidR="00F96DE9">
        <w:rPr>
          <w:rFonts w:hint="eastAsia"/>
        </w:rPr>
        <w:t>扩位简称的公告</w:t>
      </w:r>
    </w:p>
    <w:p w:rsidR="00F96DE9" w:rsidRDefault="00F96DE9" w:rsidP="00F96DE9">
      <w:pPr>
        <w:ind w:firstLine="648"/>
      </w:pPr>
      <w:r>
        <w:rPr>
          <w:rFonts w:hint="eastAsia"/>
        </w:rPr>
        <w:t>根据深圳证券交易所（以下简称“深交所”）《</w:t>
      </w:r>
      <w:r w:rsidRPr="00F747AA">
        <w:rPr>
          <w:rFonts w:hint="eastAsia"/>
        </w:rPr>
        <w:t>关于深圳证券交易所基金增加扩位证券简称有关事项的通知</w:t>
      </w:r>
      <w:r w:rsidR="00E00400">
        <w:rPr>
          <w:rFonts w:hint="eastAsia"/>
        </w:rPr>
        <w:t>（</w:t>
      </w:r>
      <w:r w:rsidR="00E00400" w:rsidRPr="00F747AA">
        <w:rPr>
          <w:rFonts w:hint="eastAsia"/>
        </w:rPr>
        <w:t>深证上</w:t>
      </w:r>
      <w:r w:rsidR="00E00400" w:rsidRPr="00F747AA">
        <w:rPr>
          <w:rFonts w:hint="eastAsia"/>
        </w:rPr>
        <w:t>[2021]764</w:t>
      </w:r>
      <w:r w:rsidR="00E00400" w:rsidRPr="00F747AA">
        <w:rPr>
          <w:rFonts w:hint="eastAsia"/>
        </w:rPr>
        <w:t>号</w:t>
      </w:r>
      <w:r w:rsidR="00E00400">
        <w:rPr>
          <w:rFonts w:hint="eastAsia"/>
        </w:rPr>
        <w:t>）</w:t>
      </w:r>
      <w:r>
        <w:rPr>
          <w:rFonts w:hint="eastAsia"/>
        </w:rPr>
        <w:t>》，经向深交所申请，自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日起，</w:t>
      </w:r>
      <w:r w:rsidR="00826FBA">
        <w:rPr>
          <w:rFonts w:hint="eastAsia"/>
        </w:rPr>
        <w:t>易方达</w:t>
      </w:r>
      <w:r>
        <w:rPr>
          <w:rFonts w:hint="eastAsia"/>
        </w:rPr>
        <w:t>基金管理</w:t>
      </w:r>
      <w:r w:rsidR="00826FBA">
        <w:rPr>
          <w:rFonts w:hint="eastAsia"/>
        </w:rPr>
        <w:t>有限</w:t>
      </w:r>
      <w:r>
        <w:rPr>
          <w:rFonts w:hint="eastAsia"/>
        </w:rPr>
        <w:t>公司（以下简称本公司）旗下深交所基金新增扩位</w:t>
      </w:r>
      <w:r w:rsidR="00D01EC2">
        <w:rPr>
          <w:rFonts w:hint="eastAsia"/>
        </w:rPr>
        <w:t>证券</w:t>
      </w:r>
      <w:r>
        <w:rPr>
          <w:rFonts w:hint="eastAsia"/>
        </w:rPr>
        <w:t>简称，扩位简称适用于交易</w:t>
      </w:r>
      <w:r w:rsidR="00E00400">
        <w:rPr>
          <w:rFonts w:hint="eastAsia"/>
        </w:rPr>
        <w:t>、申购赎回</w:t>
      </w:r>
      <w:r>
        <w:rPr>
          <w:rFonts w:hint="eastAsia"/>
        </w:rPr>
        <w:t>及行情展示。涉及基金及简称信息如下：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314"/>
        <w:gridCol w:w="2461"/>
        <w:gridCol w:w="1572"/>
        <w:gridCol w:w="2193"/>
      </w:tblGrid>
      <w:tr w:rsidR="00F96DE9" w:rsidTr="00A63308">
        <w:tc>
          <w:tcPr>
            <w:tcW w:w="756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序号</w:t>
            </w:r>
          </w:p>
        </w:tc>
        <w:tc>
          <w:tcPr>
            <w:tcW w:w="1314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基金代码</w:t>
            </w:r>
          </w:p>
        </w:tc>
        <w:tc>
          <w:tcPr>
            <w:tcW w:w="2461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基金名称</w:t>
            </w:r>
          </w:p>
        </w:tc>
        <w:tc>
          <w:tcPr>
            <w:tcW w:w="1572" w:type="dxa"/>
            <w:shd w:val="clear" w:color="auto" w:fill="auto"/>
          </w:tcPr>
          <w:p w:rsidR="00F96DE9" w:rsidRPr="0095479A" w:rsidRDefault="00D01EC2" w:rsidP="00F67E7B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原证券</w:t>
            </w:r>
            <w:r w:rsidR="00F96DE9">
              <w:rPr>
                <w:rFonts w:ascii="仿宋" w:hAnsi="仿宋" w:hint="eastAsia"/>
                <w:sz w:val="28"/>
              </w:rPr>
              <w:t>简称</w:t>
            </w:r>
          </w:p>
        </w:tc>
        <w:tc>
          <w:tcPr>
            <w:tcW w:w="2193" w:type="dxa"/>
            <w:shd w:val="clear" w:color="auto" w:fill="auto"/>
          </w:tcPr>
          <w:p w:rsidR="00F96DE9" w:rsidRPr="0095479A" w:rsidRDefault="00F96DE9" w:rsidP="00F67E7B">
            <w:pPr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扩位</w:t>
            </w:r>
            <w:r w:rsidR="00D01EC2">
              <w:rPr>
                <w:rFonts w:ascii="仿宋" w:hAnsi="仿宋" w:hint="eastAsia"/>
                <w:sz w:val="28"/>
              </w:rPr>
              <w:t>证券</w:t>
            </w:r>
            <w:r w:rsidRPr="0095479A">
              <w:rPr>
                <w:rFonts w:ascii="仿宋" w:hAnsi="仿宋" w:hint="eastAsia"/>
                <w:sz w:val="28"/>
              </w:rPr>
              <w:t>简称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159001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4A642A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易方达保证金收益货币市场基金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保证金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货币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159715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易方达中证稀土产业交易型开放式指数证券投资基金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稀土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稀土</w:t>
            </w:r>
            <w:r>
              <w:rPr>
                <w:color w:val="000000"/>
                <w:sz w:val="22"/>
                <w:szCs w:val="22"/>
              </w:rPr>
              <w:t>ETF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159781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易方达中证科创创业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科创创业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双创</w:t>
            </w:r>
            <w:r>
              <w:rPr>
                <w:color w:val="000000"/>
                <w:sz w:val="22"/>
                <w:szCs w:val="22"/>
              </w:rPr>
              <w:t>50ETF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159803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易方达中证浙江新动能交易型开放式指数证券投资基金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浙江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浙江新动能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159807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易方达中证科技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科技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科技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159819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易方达中证人工智能主题交易型开放式指数证券投资基金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AI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智能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人工智能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159837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易方达中证生物科技主题交易型开放式指数证券投资基金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生物科技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生物科技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159847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易方达中证医疗交易型开放式指数证券投资基金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中证医疗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医疗</w:t>
            </w:r>
            <w:r>
              <w:rPr>
                <w:color w:val="000000"/>
                <w:sz w:val="22"/>
                <w:szCs w:val="22"/>
              </w:rPr>
              <w:t>50ETF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159901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易方达深证</w:t>
            </w:r>
            <w:r>
              <w:rPr>
                <w:color w:val="000000"/>
                <w:sz w:val="22"/>
                <w:szCs w:val="22"/>
              </w:rPr>
              <w:t>100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深</w:t>
            </w:r>
            <w:r>
              <w:rPr>
                <w:color w:val="000000"/>
                <w:sz w:val="22"/>
                <w:szCs w:val="22"/>
              </w:rPr>
              <w:t>100ETF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深证</w:t>
            </w:r>
            <w:r>
              <w:rPr>
                <w:color w:val="000000"/>
                <w:sz w:val="22"/>
                <w:szCs w:val="22"/>
              </w:rPr>
              <w:t>100ETF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159915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易方达创业板交易型开放式指数证券投资基金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创业板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创业板</w:t>
            </w:r>
            <w:r>
              <w:rPr>
                <w:color w:val="000000"/>
                <w:sz w:val="22"/>
                <w:szCs w:val="22"/>
              </w:rPr>
              <w:t>ETF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159934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易方达黄金交易型开放式证券投资基金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黄金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黄金</w:t>
            </w:r>
            <w:r>
              <w:rPr>
                <w:color w:val="000000"/>
                <w:sz w:val="22"/>
                <w:szCs w:val="22"/>
              </w:rPr>
              <w:t>ETF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161115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易方达岁丰添利债券型证券投资基金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易基岁丰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易基岁丰添利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161116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易方达黄金主题证券投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lastRenderedPageBreak/>
              <w:t>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lastRenderedPageBreak/>
              <w:t>易基黄金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黄金主题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161117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易方达永旭添利定期开放债券型证券投资基金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易基永旭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易基永旭添利定开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161118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易方达中小企业</w:t>
            </w:r>
            <w:r>
              <w:rPr>
                <w:color w:val="000000"/>
                <w:sz w:val="22"/>
                <w:szCs w:val="22"/>
              </w:rPr>
              <w:t>100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易基中小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中小企业</w:t>
            </w:r>
            <w:r>
              <w:rPr>
                <w:color w:val="000000"/>
                <w:sz w:val="22"/>
                <w:szCs w:val="22"/>
              </w:rPr>
              <w:t>100LOF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161119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易方达中债新综合债券指数发起式证券投资基金（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）A类份额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易基综债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易方达新综债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易方达中证银行指数证券投资基金（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银行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银行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易方达中证万得生物科技指数证券投资基金（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生物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生物科技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易方达中证万得并购重组指数证券投资基金（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并购重组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并购重组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易方达香港恒生综合小型股指数证券投资基金（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香港小盘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港股小盘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易方达标普</w:t>
            </w:r>
            <w:r>
              <w:rPr>
                <w:color w:val="000000"/>
                <w:sz w:val="22"/>
                <w:szCs w:val="22"/>
              </w:rPr>
              <w:t>500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</w:t>
            </w:r>
            <w:r>
              <w:rPr>
                <w:color w:val="000000"/>
                <w:sz w:val="22"/>
                <w:szCs w:val="22"/>
              </w:rPr>
              <w:t>500LOF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易方达标普医疗保健指数证券投资基金（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标普医药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标普医疗保健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易方达标普生物科技指数证券投资基金（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标普生物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标普生物科技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易方达标普信息科技指数证券投资基金（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标普科技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标普信息科技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161129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易方达原油证券投资基金（</w:t>
            </w:r>
            <w:r>
              <w:rPr>
                <w:color w:val="000000"/>
                <w:sz w:val="22"/>
                <w:szCs w:val="22"/>
              </w:rPr>
              <w:t>QDII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原油基金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原油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161130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易方达纳斯达克</w:t>
            </w:r>
            <w:r>
              <w:rPr>
                <w:color w:val="000000"/>
                <w:sz w:val="22"/>
                <w:szCs w:val="22"/>
              </w:rPr>
              <w:t>100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指数证券投资基金（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类人民币份额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纳指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纳斯达克</w:t>
            </w:r>
            <w:r>
              <w:rPr>
                <w:color w:val="000000"/>
                <w:sz w:val="22"/>
                <w:szCs w:val="22"/>
              </w:rPr>
              <w:t>100LOF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161131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易方达科润混合型证券投资基金（</w:t>
            </w:r>
            <w:r>
              <w:rPr>
                <w:color w:val="000000"/>
                <w:sz w:val="22"/>
                <w:szCs w:val="22"/>
              </w:rPr>
              <w:t>LOF</w:t>
            </w:r>
            <w:r>
              <w:rPr>
                <w:rFonts w:ascii="仿宋" w:hAnsi="仿宋"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易基科润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易方达科润</w:t>
            </w:r>
            <w:r>
              <w:rPr>
                <w:color w:val="000000"/>
                <w:sz w:val="22"/>
                <w:szCs w:val="22"/>
              </w:rPr>
              <w:t>LOF</w:t>
            </w:r>
          </w:p>
        </w:tc>
      </w:tr>
      <w:tr w:rsidR="00DC161C" w:rsidTr="00A63308">
        <w:tc>
          <w:tcPr>
            <w:tcW w:w="756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color w:val="000000"/>
                <w:sz w:val="22"/>
                <w:szCs w:val="22"/>
              </w:rPr>
              <w:t>161132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易方达科顺定期开放灵活配置混合型证券投资基金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易基科顺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C161C" w:rsidRPr="0095479A" w:rsidRDefault="00DC161C" w:rsidP="00DC161C">
            <w:pPr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color w:val="000000"/>
                <w:sz w:val="22"/>
                <w:szCs w:val="22"/>
              </w:rPr>
              <w:t>易方达科顺定开</w:t>
            </w:r>
          </w:p>
        </w:tc>
      </w:tr>
    </w:tbl>
    <w:p w:rsidR="00A630C1" w:rsidRDefault="00A630C1" w:rsidP="00826FBA">
      <w:pPr>
        <w:ind w:firstLine="648"/>
      </w:pPr>
      <w:r>
        <w:t>本公司旗下未在上表列示的深交所基金（如有），扩位证券</w:t>
      </w:r>
      <w:r w:rsidR="009646D4">
        <w:t>简称与原证券简称保持一致。</w:t>
      </w:r>
    </w:p>
    <w:p w:rsidR="00826FBA" w:rsidRDefault="00F96DE9" w:rsidP="00826FBA">
      <w:pPr>
        <w:ind w:firstLine="648"/>
      </w:pPr>
      <w:r>
        <w:rPr>
          <w:rFonts w:hint="eastAsia"/>
        </w:rPr>
        <w:t>如有疑问，</w:t>
      </w:r>
      <w:r w:rsidR="00826FBA">
        <w:rPr>
          <w:rFonts w:hint="eastAsia"/>
        </w:rPr>
        <w:t>投资者可通过以下途径咨询有关详情：</w:t>
      </w:r>
    </w:p>
    <w:p w:rsidR="00826FBA" w:rsidRDefault="00826FBA" w:rsidP="00826FBA">
      <w:pPr>
        <w:ind w:firstLine="648"/>
      </w:pPr>
      <w:r>
        <w:rPr>
          <w:rFonts w:hint="eastAsia"/>
        </w:rPr>
        <w:t>易方达基金管理有限公司</w:t>
      </w:r>
    </w:p>
    <w:p w:rsidR="00826FBA" w:rsidRDefault="00826FBA" w:rsidP="00826FBA">
      <w:pPr>
        <w:ind w:firstLine="648"/>
      </w:pPr>
      <w:r>
        <w:rPr>
          <w:rFonts w:hint="eastAsia"/>
        </w:rPr>
        <w:t>客户服务电话：</w:t>
      </w:r>
      <w:r>
        <w:rPr>
          <w:rFonts w:hint="eastAsia"/>
        </w:rPr>
        <w:t>400-881-8088</w:t>
      </w:r>
    </w:p>
    <w:p w:rsidR="00826FBA" w:rsidRDefault="00826FBA" w:rsidP="00826FBA">
      <w:pPr>
        <w:ind w:firstLine="648"/>
      </w:pPr>
      <w:r>
        <w:rPr>
          <w:rFonts w:hint="eastAsia"/>
        </w:rPr>
        <w:t>网址：</w:t>
      </w:r>
      <w:r>
        <w:rPr>
          <w:rFonts w:hint="eastAsia"/>
        </w:rPr>
        <w:t>www.efunds.com.cn</w:t>
      </w:r>
    </w:p>
    <w:p w:rsidR="00F96DE9" w:rsidRDefault="00826FBA" w:rsidP="00F96DE9">
      <w:pPr>
        <w:ind w:firstLine="648"/>
      </w:pPr>
      <w:r>
        <w:rPr>
          <w:rFonts w:hint="eastAsia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F96DE9" w:rsidRDefault="00F96DE9" w:rsidP="00F96DE9">
      <w:pPr>
        <w:ind w:firstLine="648"/>
      </w:pPr>
      <w:r>
        <w:rPr>
          <w:rFonts w:hint="eastAsia"/>
        </w:rPr>
        <w:t>特此公告</w:t>
      </w:r>
      <w:r w:rsidR="00826FBA">
        <w:rPr>
          <w:rFonts w:hint="eastAsia"/>
        </w:rPr>
        <w:t>。</w:t>
      </w:r>
    </w:p>
    <w:p w:rsidR="00F96DE9" w:rsidRPr="00786A48" w:rsidRDefault="00F96DE9" w:rsidP="00F96DE9">
      <w:pPr>
        <w:ind w:firstLine="648"/>
      </w:pPr>
    </w:p>
    <w:p w:rsidR="00F96DE9" w:rsidRDefault="00826FBA" w:rsidP="00F96DE9">
      <w:pPr>
        <w:ind w:firstLine="648"/>
        <w:jc w:val="right"/>
      </w:pPr>
      <w:r w:rsidRPr="0036210C">
        <w:rPr>
          <w:rFonts w:hint="eastAsia"/>
        </w:rPr>
        <w:t>易方达基金管理有限公司</w:t>
      </w:r>
    </w:p>
    <w:p w:rsidR="00F96DE9" w:rsidRPr="005A1BDE" w:rsidRDefault="00F96DE9" w:rsidP="00F96DE9">
      <w:pPr>
        <w:ind w:firstLine="648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42AEB">
        <w:rPr>
          <w:rFonts w:hint="eastAsia"/>
        </w:rPr>
        <w:t>21</w:t>
      </w:r>
      <w:r>
        <w:rPr>
          <w:rFonts w:hint="eastAsia"/>
        </w:rPr>
        <w:t>日</w:t>
      </w:r>
    </w:p>
    <w:p w:rsidR="00CF24AA" w:rsidRDefault="00CF24AA"/>
    <w:sectPr w:rsidR="00CF24AA" w:rsidSect="00855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19" w:rsidRDefault="004F1519" w:rsidP="00E35A44">
      <w:r>
        <w:separator/>
      </w:r>
    </w:p>
  </w:endnote>
  <w:endnote w:type="continuationSeparator" w:id="0">
    <w:p w:rsidR="004F1519" w:rsidRDefault="004F1519" w:rsidP="00E3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19" w:rsidRDefault="004F1519" w:rsidP="00E35A44">
      <w:r>
        <w:separator/>
      </w:r>
    </w:p>
  </w:footnote>
  <w:footnote w:type="continuationSeparator" w:id="0">
    <w:p w:rsidR="004F1519" w:rsidRDefault="004F1519" w:rsidP="00E3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9"/>
    <w:rsid w:val="0009312D"/>
    <w:rsid w:val="00116DBE"/>
    <w:rsid w:val="001D33F9"/>
    <w:rsid w:val="001F55B0"/>
    <w:rsid w:val="0020392E"/>
    <w:rsid w:val="002A67D4"/>
    <w:rsid w:val="003B0253"/>
    <w:rsid w:val="003E63DD"/>
    <w:rsid w:val="004A642A"/>
    <w:rsid w:val="004E6494"/>
    <w:rsid w:val="004F1519"/>
    <w:rsid w:val="00777A01"/>
    <w:rsid w:val="00783CA8"/>
    <w:rsid w:val="0081182C"/>
    <w:rsid w:val="00826FBA"/>
    <w:rsid w:val="00855A0D"/>
    <w:rsid w:val="00887E6C"/>
    <w:rsid w:val="008922AC"/>
    <w:rsid w:val="008F1303"/>
    <w:rsid w:val="0092338F"/>
    <w:rsid w:val="009646D4"/>
    <w:rsid w:val="00991676"/>
    <w:rsid w:val="00A630C1"/>
    <w:rsid w:val="00A63308"/>
    <w:rsid w:val="00AA165B"/>
    <w:rsid w:val="00B25474"/>
    <w:rsid w:val="00C42AEB"/>
    <w:rsid w:val="00C84C71"/>
    <w:rsid w:val="00CF24AA"/>
    <w:rsid w:val="00D00E5C"/>
    <w:rsid w:val="00D01EC2"/>
    <w:rsid w:val="00DA242C"/>
    <w:rsid w:val="00DB5A52"/>
    <w:rsid w:val="00DC161C"/>
    <w:rsid w:val="00E00400"/>
    <w:rsid w:val="00E35A44"/>
    <w:rsid w:val="00E66AB6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26FB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6FBA"/>
    <w:rPr>
      <w:rFonts w:ascii="Times New Roman" w:eastAsia="仿宋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DC161C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4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ZHONGM</cp:lastModifiedBy>
  <cp:revision>2</cp:revision>
  <dcterms:created xsi:type="dcterms:W3CDTF">2021-08-20T16:33:00Z</dcterms:created>
  <dcterms:modified xsi:type="dcterms:W3CDTF">2021-08-20T16:33:00Z</dcterms:modified>
</cp:coreProperties>
</file>