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3CF" w:rsidRPr="00296579" w:rsidRDefault="006F7DF9" w:rsidP="00296579">
      <w:pPr>
        <w:spacing w:line="360" w:lineRule="auto"/>
        <w:jc w:val="center"/>
        <w:rPr>
          <w:rFonts w:ascii="宋体" w:eastAsia="宋体" w:hAnsi="宋体" w:cs="宋体"/>
          <w:b/>
          <w:kern w:val="0"/>
          <w:sz w:val="28"/>
          <w:szCs w:val="28"/>
        </w:rPr>
      </w:pPr>
      <w:bookmarkStart w:id="0" w:name="_GoBack"/>
      <w:bookmarkEnd w:id="0"/>
      <w:r w:rsidRPr="00296579">
        <w:rPr>
          <w:rFonts w:ascii="宋体" w:eastAsia="宋体" w:hAnsi="宋体" w:cs="宋体"/>
          <w:b/>
          <w:kern w:val="0"/>
          <w:sz w:val="28"/>
          <w:szCs w:val="28"/>
        </w:rPr>
        <w:t>华宝基金关于旗下部分交易型开放式指数证券投资基金新增</w:t>
      </w:r>
      <w:r w:rsidR="003F5817">
        <w:rPr>
          <w:rFonts w:ascii="宋体" w:eastAsia="宋体" w:hAnsi="宋体" w:cs="宋体" w:hint="eastAsia"/>
          <w:b/>
          <w:kern w:val="0"/>
          <w:sz w:val="28"/>
          <w:szCs w:val="28"/>
        </w:rPr>
        <w:t>华安</w:t>
      </w:r>
      <w:r w:rsidR="002F5857" w:rsidRPr="00296579">
        <w:rPr>
          <w:rFonts w:ascii="宋体" w:eastAsia="宋体" w:hAnsi="宋体" w:cs="宋体" w:hint="eastAsia"/>
          <w:b/>
          <w:kern w:val="0"/>
          <w:sz w:val="28"/>
          <w:szCs w:val="28"/>
        </w:rPr>
        <w:t>证券</w:t>
      </w:r>
      <w:r w:rsidRPr="00296579">
        <w:rPr>
          <w:rFonts w:ascii="宋体" w:eastAsia="宋体" w:hAnsi="宋体" w:cs="宋体"/>
          <w:b/>
          <w:kern w:val="0"/>
          <w:sz w:val="28"/>
          <w:szCs w:val="28"/>
        </w:rPr>
        <w:t>为一级交易商的公告</w:t>
      </w:r>
    </w:p>
    <w:p w:rsidR="00CC38E0" w:rsidRPr="00296579" w:rsidRDefault="00CC38E0" w:rsidP="00296579">
      <w:pPr>
        <w:spacing w:line="360" w:lineRule="auto"/>
        <w:jc w:val="center"/>
        <w:rPr>
          <w:rFonts w:ascii="宋体" w:eastAsia="宋体" w:hAnsi="宋体"/>
          <w:szCs w:val="21"/>
        </w:rPr>
      </w:pPr>
    </w:p>
    <w:p w:rsidR="00CC38E0" w:rsidRPr="00296579" w:rsidRDefault="006F7DF9" w:rsidP="00296579">
      <w:pPr>
        <w:widowControl/>
        <w:spacing w:before="100" w:beforeAutospacing="1" w:after="100" w:afterAutospacing="1" w:line="360" w:lineRule="auto"/>
        <w:ind w:firstLineChars="200" w:firstLine="420"/>
        <w:jc w:val="left"/>
        <w:rPr>
          <w:rFonts w:ascii="宋体" w:eastAsia="宋体" w:hAnsi="宋体"/>
          <w:szCs w:val="21"/>
        </w:rPr>
      </w:pPr>
      <w:r w:rsidRPr="00296579">
        <w:rPr>
          <w:rFonts w:ascii="宋体" w:eastAsia="宋体" w:hAnsi="宋体" w:hint="eastAsia"/>
          <w:szCs w:val="21"/>
        </w:rPr>
        <w:t>根据华宝基金管理有限公司（以下简称“本公司”）与</w:t>
      </w:r>
      <w:r w:rsidR="003F5817">
        <w:rPr>
          <w:rFonts w:ascii="宋体" w:eastAsia="宋体" w:hAnsi="宋体" w:hint="eastAsia"/>
          <w:szCs w:val="21"/>
        </w:rPr>
        <w:t>华安</w:t>
      </w:r>
      <w:r w:rsidR="00765FCE" w:rsidRPr="00296579">
        <w:rPr>
          <w:rFonts w:ascii="宋体" w:eastAsia="宋体" w:hAnsi="宋体" w:hint="eastAsia"/>
          <w:szCs w:val="21"/>
        </w:rPr>
        <w:t>证券有限责任公司</w:t>
      </w:r>
      <w:r w:rsidRPr="00296579">
        <w:rPr>
          <w:rFonts w:ascii="宋体" w:eastAsia="宋体" w:hAnsi="宋体" w:hint="eastAsia"/>
          <w:szCs w:val="21"/>
        </w:rPr>
        <w:t>（以下简称“</w:t>
      </w:r>
      <w:r w:rsidR="00EE1873">
        <w:rPr>
          <w:rFonts w:ascii="宋体" w:eastAsia="宋体" w:hAnsi="宋体" w:hint="eastAsia"/>
          <w:szCs w:val="21"/>
        </w:rPr>
        <w:t>华安</w:t>
      </w:r>
      <w:r w:rsidR="003D3788" w:rsidRPr="00296579">
        <w:rPr>
          <w:rFonts w:ascii="宋体" w:eastAsia="宋体" w:hAnsi="宋体" w:hint="eastAsia"/>
          <w:szCs w:val="21"/>
        </w:rPr>
        <w:t>证券</w:t>
      </w:r>
      <w:r w:rsidRPr="00296579">
        <w:rPr>
          <w:rFonts w:ascii="宋体" w:eastAsia="宋体" w:hAnsi="宋体" w:hint="eastAsia"/>
          <w:szCs w:val="21"/>
        </w:rPr>
        <w:t>”）签署的《证券投资基金销售代理协议》，自2021年</w:t>
      </w:r>
      <w:r w:rsidR="00296579" w:rsidRPr="00296579">
        <w:rPr>
          <w:rFonts w:ascii="宋体" w:eastAsia="宋体" w:hAnsi="宋体" w:hint="eastAsia"/>
          <w:szCs w:val="21"/>
        </w:rPr>
        <w:t>8</w:t>
      </w:r>
      <w:r w:rsidRPr="00296579">
        <w:rPr>
          <w:rFonts w:ascii="宋体" w:eastAsia="宋体" w:hAnsi="宋体" w:hint="eastAsia"/>
          <w:szCs w:val="21"/>
        </w:rPr>
        <w:t>月</w:t>
      </w:r>
      <w:r w:rsidR="00C12043" w:rsidRPr="00296579">
        <w:rPr>
          <w:rFonts w:ascii="宋体" w:eastAsia="宋体" w:hAnsi="宋体" w:hint="eastAsia"/>
          <w:szCs w:val="21"/>
        </w:rPr>
        <w:t>1</w:t>
      </w:r>
      <w:r w:rsidR="003F5817">
        <w:rPr>
          <w:rFonts w:ascii="宋体" w:eastAsia="宋体" w:hAnsi="宋体" w:hint="eastAsia"/>
          <w:szCs w:val="21"/>
        </w:rPr>
        <w:t>9</w:t>
      </w:r>
      <w:r w:rsidRPr="00296579">
        <w:rPr>
          <w:rFonts w:ascii="宋体" w:eastAsia="宋体" w:hAnsi="宋体" w:hint="eastAsia"/>
          <w:szCs w:val="21"/>
        </w:rPr>
        <w:t>日起，本公司旗下部分ETF新增</w:t>
      </w:r>
      <w:r w:rsidR="00EE1873">
        <w:rPr>
          <w:rFonts w:ascii="宋体" w:eastAsia="宋体" w:hAnsi="宋体" w:hint="eastAsia"/>
          <w:szCs w:val="21"/>
        </w:rPr>
        <w:t>华安</w:t>
      </w:r>
      <w:r w:rsidR="002F5857" w:rsidRPr="00296579">
        <w:rPr>
          <w:rFonts w:ascii="宋体" w:eastAsia="宋体" w:hAnsi="宋体" w:hint="eastAsia"/>
          <w:szCs w:val="21"/>
        </w:rPr>
        <w:t>证券</w:t>
      </w:r>
      <w:r w:rsidRPr="00296579">
        <w:rPr>
          <w:rFonts w:ascii="宋体" w:eastAsia="宋体" w:hAnsi="宋体" w:hint="eastAsia"/>
          <w:szCs w:val="21"/>
        </w:rPr>
        <w:t>为一级交易商。</w:t>
      </w:r>
    </w:p>
    <w:p w:rsidR="008653CF" w:rsidRPr="00296579" w:rsidRDefault="006F7DF9" w:rsidP="00296579">
      <w:pPr>
        <w:widowControl/>
        <w:spacing w:before="100" w:beforeAutospacing="1" w:after="100" w:afterAutospacing="1" w:line="360" w:lineRule="auto"/>
        <w:ind w:firstLineChars="200" w:firstLine="420"/>
        <w:jc w:val="left"/>
        <w:rPr>
          <w:rFonts w:ascii="宋体" w:eastAsia="宋体" w:hAnsi="宋体"/>
          <w:szCs w:val="21"/>
        </w:rPr>
      </w:pPr>
      <w:r w:rsidRPr="00296579">
        <w:rPr>
          <w:rFonts w:ascii="宋体" w:eastAsia="宋体" w:hAnsi="宋体" w:hint="eastAsia"/>
          <w:szCs w:val="21"/>
        </w:rPr>
        <w:t>适用基金及业务开通情况</w:t>
      </w:r>
      <w:r w:rsidR="00643747" w:rsidRPr="00296579">
        <w:rPr>
          <w:rFonts w:ascii="宋体" w:eastAsia="宋体" w:hAnsi="宋体" w:hint="eastAsia"/>
          <w:szCs w:val="21"/>
        </w:rPr>
        <w:t>：</w:t>
      </w:r>
    </w:p>
    <w:tbl>
      <w:tblPr>
        <w:tblW w:w="8240" w:type="dxa"/>
        <w:tblInd w:w="93" w:type="dxa"/>
        <w:tblLook w:val="04A0"/>
      </w:tblPr>
      <w:tblGrid>
        <w:gridCol w:w="680"/>
        <w:gridCol w:w="6380"/>
        <w:gridCol w:w="1180"/>
      </w:tblGrid>
      <w:tr w:rsidR="00503DAF" w:rsidTr="00C12043">
        <w:trPr>
          <w:trHeight w:val="387"/>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2043" w:rsidRPr="00296579" w:rsidRDefault="006F7DF9" w:rsidP="00296579">
            <w:pPr>
              <w:widowControl/>
              <w:spacing w:line="360" w:lineRule="auto"/>
              <w:jc w:val="center"/>
              <w:rPr>
                <w:rFonts w:ascii="宋体" w:eastAsia="宋体" w:hAnsi="宋体"/>
                <w:b/>
                <w:szCs w:val="21"/>
              </w:rPr>
            </w:pPr>
            <w:r w:rsidRPr="00296579">
              <w:rPr>
                <w:rFonts w:ascii="宋体" w:eastAsia="宋体" w:hAnsi="宋体" w:hint="eastAsia"/>
                <w:b/>
                <w:szCs w:val="21"/>
              </w:rPr>
              <w:t>序号</w:t>
            </w:r>
          </w:p>
        </w:tc>
        <w:tc>
          <w:tcPr>
            <w:tcW w:w="6380" w:type="dxa"/>
            <w:tcBorders>
              <w:top w:val="single" w:sz="4" w:space="0" w:color="auto"/>
              <w:left w:val="nil"/>
              <w:bottom w:val="single" w:sz="4" w:space="0" w:color="auto"/>
              <w:right w:val="single" w:sz="4" w:space="0" w:color="auto"/>
            </w:tcBorders>
            <w:shd w:val="clear" w:color="000000" w:fill="FFFFFF"/>
            <w:vAlign w:val="center"/>
            <w:hideMark/>
          </w:tcPr>
          <w:p w:rsidR="00C12043" w:rsidRPr="00296579" w:rsidRDefault="006F7DF9" w:rsidP="00296579">
            <w:pPr>
              <w:widowControl/>
              <w:spacing w:line="360" w:lineRule="auto"/>
              <w:jc w:val="center"/>
              <w:rPr>
                <w:rFonts w:ascii="宋体" w:eastAsia="宋体" w:hAnsi="宋体"/>
                <w:b/>
                <w:szCs w:val="21"/>
              </w:rPr>
            </w:pPr>
            <w:r w:rsidRPr="00296579">
              <w:rPr>
                <w:rFonts w:ascii="宋体" w:eastAsia="宋体" w:hAnsi="宋体" w:hint="eastAsia"/>
                <w:b/>
                <w:szCs w:val="21"/>
              </w:rPr>
              <w:t>基金全称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12043" w:rsidRPr="00296579" w:rsidRDefault="006F7DF9" w:rsidP="00296579">
            <w:pPr>
              <w:widowControl/>
              <w:spacing w:line="360" w:lineRule="auto"/>
              <w:jc w:val="center"/>
              <w:rPr>
                <w:rFonts w:ascii="宋体" w:eastAsia="宋体" w:hAnsi="宋体"/>
                <w:b/>
                <w:szCs w:val="21"/>
              </w:rPr>
            </w:pPr>
            <w:r w:rsidRPr="00296579">
              <w:rPr>
                <w:rFonts w:ascii="宋体" w:eastAsia="宋体" w:hAnsi="宋体" w:hint="eastAsia"/>
                <w:b/>
                <w:szCs w:val="21"/>
              </w:rPr>
              <w:t>基金代码</w:t>
            </w:r>
          </w:p>
        </w:tc>
      </w:tr>
      <w:tr w:rsidR="00503DAF" w:rsidTr="00C12043">
        <w:trPr>
          <w:trHeight w:val="288"/>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296579" w:rsidRPr="00296579" w:rsidRDefault="006F7DF9" w:rsidP="00296579">
            <w:pPr>
              <w:widowControl/>
              <w:spacing w:line="360" w:lineRule="auto"/>
              <w:jc w:val="center"/>
              <w:rPr>
                <w:rFonts w:ascii="宋体" w:eastAsia="宋体" w:hAnsi="宋体"/>
                <w:szCs w:val="21"/>
              </w:rPr>
            </w:pPr>
            <w:r w:rsidRPr="00296579">
              <w:rPr>
                <w:rFonts w:ascii="宋体" w:eastAsia="宋体" w:hAnsi="宋体" w:hint="eastAsia"/>
                <w:szCs w:val="21"/>
              </w:rPr>
              <w:t>1</w:t>
            </w:r>
          </w:p>
        </w:tc>
        <w:tc>
          <w:tcPr>
            <w:tcW w:w="6380" w:type="dxa"/>
            <w:tcBorders>
              <w:top w:val="nil"/>
              <w:left w:val="nil"/>
              <w:bottom w:val="single" w:sz="4" w:space="0" w:color="auto"/>
              <w:right w:val="single" w:sz="4" w:space="0" w:color="auto"/>
            </w:tcBorders>
            <w:shd w:val="clear" w:color="000000" w:fill="FFFFFF"/>
            <w:vAlign w:val="center"/>
            <w:hideMark/>
          </w:tcPr>
          <w:p w:rsidR="00296579" w:rsidRPr="00296579" w:rsidRDefault="006F7DF9" w:rsidP="00296579">
            <w:pPr>
              <w:widowControl/>
              <w:spacing w:line="360" w:lineRule="auto"/>
              <w:jc w:val="center"/>
              <w:rPr>
                <w:rFonts w:ascii="宋体" w:eastAsia="宋体" w:hAnsi="宋体"/>
                <w:szCs w:val="21"/>
              </w:rPr>
            </w:pPr>
            <w:r w:rsidRPr="00296579">
              <w:rPr>
                <w:rFonts w:ascii="宋体" w:eastAsia="宋体" w:hAnsi="宋体" w:hint="eastAsia"/>
                <w:szCs w:val="21"/>
              </w:rPr>
              <w:t>华宝中证智能制造主题交易型开放式指数证券投资基金</w:t>
            </w:r>
          </w:p>
        </w:tc>
        <w:tc>
          <w:tcPr>
            <w:tcW w:w="1180" w:type="dxa"/>
            <w:tcBorders>
              <w:top w:val="nil"/>
              <w:left w:val="nil"/>
              <w:bottom w:val="single" w:sz="4" w:space="0" w:color="auto"/>
              <w:right w:val="single" w:sz="4" w:space="0" w:color="auto"/>
            </w:tcBorders>
            <w:shd w:val="clear" w:color="000000" w:fill="FFFFFF"/>
            <w:vAlign w:val="center"/>
            <w:hideMark/>
          </w:tcPr>
          <w:p w:rsidR="00296579" w:rsidRPr="00296579" w:rsidRDefault="006F7DF9" w:rsidP="00296579">
            <w:pPr>
              <w:spacing w:line="360" w:lineRule="auto"/>
              <w:jc w:val="center"/>
              <w:rPr>
                <w:rFonts w:ascii="宋体" w:eastAsia="宋体" w:hAnsi="宋体" w:cs="宋体"/>
                <w:szCs w:val="21"/>
              </w:rPr>
            </w:pPr>
            <w:r w:rsidRPr="00137E90">
              <w:rPr>
                <w:rFonts w:ascii="宋体" w:eastAsia="宋体" w:hAnsi="宋体"/>
                <w:szCs w:val="21"/>
              </w:rPr>
              <w:t>516800</w:t>
            </w:r>
          </w:p>
        </w:tc>
      </w:tr>
      <w:tr w:rsidR="00503DAF" w:rsidTr="00296579">
        <w:trPr>
          <w:trHeight w:val="288"/>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296579" w:rsidRPr="00296579" w:rsidRDefault="006F7DF9" w:rsidP="00296579">
            <w:pPr>
              <w:widowControl/>
              <w:spacing w:line="360" w:lineRule="auto"/>
              <w:jc w:val="center"/>
              <w:rPr>
                <w:rFonts w:ascii="宋体" w:eastAsia="宋体" w:hAnsi="宋体"/>
                <w:szCs w:val="21"/>
              </w:rPr>
            </w:pPr>
            <w:r w:rsidRPr="00296579">
              <w:rPr>
                <w:rFonts w:ascii="宋体" w:eastAsia="宋体" w:hAnsi="宋体" w:hint="eastAsia"/>
                <w:szCs w:val="21"/>
              </w:rPr>
              <w:t>2</w:t>
            </w:r>
          </w:p>
        </w:tc>
        <w:tc>
          <w:tcPr>
            <w:tcW w:w="6380" w:type="dxa"/>
            <w:tcBorders>
              <w:top w:val="nil"/>
              <w:left w:val="nil"/>
              <w:bottom w:val="single" w:sz="4" w:space="0" w:color="auto"/>
              <w:right w:val="single" w:sz="4" w:space="0" w:color="auto"/>
            </w:tcBorders>
            <w:shd w:val="clear" w:color="000000" w:fill="FFFFFF"/>
            <w:vAlign w:val="center"/>
          </w:tcPr>
          <w:p w:rsidR="00296579" w:rsidRPr="00296579" w:rsidRDefault="006F7DF9" w:rsidP="00296579">
            <w:pPr>
              <w:widowControl/>
              <w:spacing w:line="360" w:lineRule="auto"/>
              <w:jc w:val="center"/>
              <w:rPr>
                <w:rFonts w:ascii="宋体" w:eastAsia="宋体" w:hAnsi="宋体"/>
                <w:szCs w:val="21"/>
              </w:rPr>
            </w:pPr>
            <w:r w:rsidRPr="00296579">
              <w:rPr>
                <w:rFonts w:ascii="宋体" w:eastAsia="宋体" w:hAnsi="宋体" w:cs="Arial"/>
                <w:szCs w:val="21"/>
              </w:rPr>
              <w:t>华宝中证沪港深500交易型开放式指数证券投资基金</w:t>
            </w:r>
          </w:p>
        </w:tc>
        <w:tc>
          <w:tcPr>
            <w:tcW w:w="1180" w:type="dxa"/>
            <w:tcBorders>
              <w:top w:val="nil"/>
              <w:left w:val="nil"/>
              <w:bottom w:val="single" w:sz="4" w:space="0" w:color="auto"/>
              <w:right w:val="single" w:sz="4" w:space="0" w:color="auto"/>
            </w:tcBorders>
            <w:shd w:val="clear" w:color="000000" w:fill="FFFFFF"/>
            <w:vAlign w:val="center"/>
            <w:hideMark/>
          </w:tcPr>
          <w:p w:rsidR="00296579" w:rsidRPr="00296579" w:rsidRDefault="006F7DF9" w:rsidP="00296579">
            <w:pPr>
              <w:spacing w:line="360" w:lineRule="auto"/>
              <w:jc w:val="center"/>
              <w:rPr>
                <w:rFonts w:ascii="宋体" w:eastAsia="宋体" w:hAnsi="宋体" w:cs="宋体"/>
                <w:szCs w:val="21"/>
              </w:rPr>
            </w:pPr>
            <w:r w:rsidRPr="00296579">
              <w:rPr>
                <w:rFonts w:ascii="宋体" w:eastAsia="宋体" w:hAnsi="宋体" w:hint="eastAsia"/>
                <w:szCs w:val="21"/>
              </w:rPr>
              <w:t>517060</w:t>
            </w:r>
          </w:p>
        </w:tc>
      </w:tr>
      <w:tr w:rsidR="00503DAF" w:rsidTr="00296579">
        <w:trPr>
          <w:trHeight w:val="288"/>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296579" w:rsidRPr="00296579" w:rsidRDefault="006F7DF9" w:rsidP="00296579">
            <w:pPr>
              <w:widowControl/>
              <w:spacing w:line="360" w:lineRule="auto"/>
              <w:jc w:val="center"/>
              <w:rPr>
                <w:rFonts w:ascii="宋体" w:eastAsia="宋体" w:hAnsi="宋体"/>
                <w:szCs w:val="21"/>
              </w:rPr>
            </w:pPr>
            <w:r w:rsidRPr="00296579">
              <w:rPr>
                <w:rFonts w:ascii="宋体" w:eastAsia="宋体" w:hAnsi="宋体" w:hint="eastAsia"/>
                <w:szCs w:val="21"/>
              </w:rPr>
              <w:t>3</w:t>
            </w:r>
          </w:p>
        </w:tc>
        <w:tc>
          <w:tcPr>
            <w:tcW w:w="6380" w:type="dxa"/>
            <w:tcBorders>
              <w:top w:val="nil"/>
              <w:left w:val="nil"/>
              <w:bottom w:val="single" w:sz="4" w:space="0" w:color="auto"/>
              <w:right w:val="single" w:sz="4" w:space="0" w:color="auto"/>
            </w:tcBorders>
            <w:shd w:val="clear" w:color="000000" w:fill="FFFFFF"/>
            <w:vAlign w:val="center"/>
          </w:tcPr>
          <w:p w:rsidR="00296579" w:rsidRPr="00296579" w:rsidRDefault="006F7DF9" w:rsidP="00296579">
            <w:pPr>
              <w:widowControl/>
              <w:spacing w:line="360" w:lineRule="auto"/>
              <w:jc w:val="center"/>
              <w:rPr>
                <w:rFonts w:ascii="宋体" w:eastAsia="宋体" w:hAnsi="宋体"/>
                <w:szCs w:val="21"/>
              </w:rPr>
            </w:pPr>
            <w:r w:rsidRPr="00296579">
              <w:rPr>
                <w:rFonts w:ascii="宋体" w:eastAsia="宋体" w:hAnsi="宋体" w:cs="Arial"/>
                <w:szCs w:val="21"/>
              </w:rPr>
              <w:t>华宝中证细分化工产业主题交易型开放式指数证券投资基金</w:t>
            </w:r>
          </w:p>
        </w:tc>
        <w:tc>
          <w:tcPr>
            <w:tcW w:w="1180" w:type="dxa"/>
            <w:tcBorders>
              <w:top w:val="nil"/>
              <w:left w:val="nil"/>
              <w:bottom w:val="single" w:sz="4" w:space="0" w:color="auto"/>
              <w:right w:val="single" w:sz="4" w:space="0" w:color="auto"/>
            </w:tcBorders>
            <w:shd w:val="clear" w:color="000000" w:fill="FFFFFF"/>
            <w:vAlign w:val="center"/>
            <w:hideMark/>
          </w:tcPr>
          <w:p w:rsidR="00296579" w:rsidRPr="00296579" w:rsidRDefault="006F7DF9" w:rsidP="00296579">
            <w:pPr>
              <w:spacing w:line="360" w:lineRule="auto"/>
              <w:jc w:val="center"/>
              <w:rPr>
                <w:rFonts w:ascii="宋体" w:eastAsia="宋体" w:hAnsi="宋体" w:cs="宋体"/>
                <w:szCs w:val="21"/>
              </w:rPr>
            </w:pPr>
            <w:r w:rsidRPr="00296579">
              <w:rPr>
                <w:rFonts w:ascii="宋体" w:eastAsia="宋体" w:hAnsi="宋体" w:hint="eastAsia"/>
                <w:szCs w:val="21"/>
              </w:rPr>
              <w:t>516020</w:t>
            </w:r>
          </w:p>
        </w:tc>
      </w:tr>
      <w:tr w:rsidR="00503DAF" w:rsidTr="00296579">
        <w:trPr>
          <w:trHeight w:val="288"/>
        </w:trPr>
        <w:tc>
          <w:tcPr>
            <w:tcW w:w="680" w:type="dxa"/>
            <w:tcBorders>
              <w:top w:val="nil"/>
              <w:left w:val="single" w:sz="4" w:space="0" w:color="auto"/>
              <w:bottom w:val="single" w:sz="4" w:space="0" w:color="auto"/>
              <w:right w:val="single" w:sz="4" w:space="0" w:color="auto"/>
            </w:tcBorders>
            <w:shd w:val="clear" w:color="000000" w:fill="FFFFFF"/>
            <w:vAlign w:val="center"/>
          </w:tcPr>
          <w:p w:rsidR="003F5817" w:rsidRPr="00296579" w:rsidRDefault="006F7DF9" w:rsidP="00296579">
            <w:pPr>
              <w:widowControl/>
              <w:spacing w:line="360" w:lineRule="auto"/>
              <w:jc w:val="center"/>
              <w:rPr>
                <w:rFonts w:ascii="宋体" w:eastAsia="宋体" w:hAnsi="宋体"/>
                <w:szCs w:val="21"/>
              </w:rPr>
            </w:pPr>
            <w:r>
              <w:rPr>
                <w:rFonts w:ascii="宋体" w:eastAsia="宋体" w:hAnsi="宋体" w:hint="eastAsia"/>
                <w:szCs w:val="21"/>
              </w:rPr>
              <w:t>4</w:t>
            </w:r>
          </w:p>
        </w:tc>
        <w:tc>
          <w:tcPr>
            <w:tcW w:w="6380" w:type="dxa"/>
            <w:tcBorders>
              <w:top w:val="nil"/>
              <w:left w:val="nil"/>
              <w:bottom w:val="single" w:sz="4" w:space="0" w:color="auto"/>
              <w:right w:val="single" w:sz="4" w:space="0" w:color="auto"/>
            </w:tcBorders>
            <w:shd w:val="clear" w:color="000000" w:fill="FFFFFF"/>
            <w:vAlign w:val="center"/>
          </w:tcPr>
          <w:p w:rsidR="003F5817" w:rsidRPr="004E3415" w:rsidRDefault="006F7DF9" w:rsidP="00296579">
            <w:pPr>
              <w:widowControl/>
              <w:spacing w:line="360" w:lineRule="auto"/>
              <w:jc w:val="center"/>
              <w:rPr>
                <w:rFonts w:ascii="宋体" w:eastAsia="宋体" w:hAnsi="宋体"/>
                <w:szCs w:val="21"/>
              </w:rPr>
            </w:pPr>
            <w:r w:rsidRPr="004E3415">
              <w:rPr>
                <w:rFonts w:ascii="宋体" w:eastAsia="宋体" w:hAnsi="宋体"/>
                <w:szCs w:val="21"/>
              </w:rPr>
              <w:t>华宝中证大数据产业交易型开放式指数证券投资基金</w:t>
            </w:r>
          </w:p>
        </w:tc>
        <w:tc>
          <w:tcPr>
            <w:tcW w:w="1180" w:type="dxa"/>
            <w:tcBorders>
              <w:top w:val="nil"/>
              <w:left w:val="nil"/>
              <w:bottom w:val="single" w:sz="4" w:space="0" w:color="auto"/>
              <w:right w:val="single" w:sz="4" w:space="0" w:color="auto"/>
            </w:tcBorders>
            <w:shd w:val="clear" w:color="000000" w:fill="FFFFFF"/>
            <w:vAlign w:val="center"/>
          </w:tcPr>
          <w:p w:rsidR="003F5817" w:rsidRPr="00296579" w:rsidRDefault="006F7DF9" w:rsidP="00296579">
            <w:pPr>
              <w:spacing w:line="360" w:lineRule="auto"/>
              <w:jc w:val="center"/>
              <w:rPr>
                <w:rFonts w:ascii="宋体" w:eastAsia="宋体" w:hAnsi="宋体"/>
                <w:szCs w:val="21"/>
              </w:rPr>
            </w:pPr>
            <w:r w:rsidRPr="004E3415">
              <w:rPr>
                <w:rFonts w:ascii="宋体" w:eastAsia="宋体" w:hAnsi="宋体"/>
                <w:szCs w:val="21"/>
              </w:rPr>
              <w:t>516700</w:t>
            </w:r>
          </w:p>
        </w:tc>
      </w:tr>
      <w:tr w:rsidR="00503DAF" w:rsidTr="00296579">
        <w:trPr>
          <w:trHeight w:val="288"/>
        </w:trPr>
        <w:tc>
          <w:tcPr>
            <w:tcW w:w="680" w:type="dxa"/>
            <w:tcBorders>
              <w:top w:val="nil"/>
              <w:left w:val="single" w:sz="4" w:space="0" w:color="auto"/>
              <w:bottom w:val="single" w:sz="4" w:space="0" w:color="auto"/>
              <w:right w:val="single" w:sz="4" w:space="0" w:color="auto"/>
            </w:tcBorders>
            <w:shd w:val="clear" w:color="000000" w:fill="FFFFFF"/>
            <w:vAlign w:val="center"/>
          </w:tcPr>
          <w:p w:rsidR="003F5817" w:rsidRPr="00296579" w:rsidRDefault="006F7DF9" w:rsidP="00296579">
            <w:pPr>
              <w:widowControl/>
              <w:spacing w:line="360" w:lineRule="auto"/>
              <w:jc w:val="center"/>
              <w:rPr>
                <w:rFonts w:ascii="宋体" w:eastAsia="宋体" w:hAnsi="宋体"/>
                <w:szCs w:val="21"/>
              </w:rPr>
            </w:pPr>
            <w:r>
              <w:rPr>
                <w:rFonts w:ascii="宋体" w:eastAsia="宋体" w:hAnsi="宋体" w:hint="eastAsia"/>
                <w:szCs w:val="21"/>
              </w:rPr>
              <w:t>5</w:t>
            </w:r>
          </w:p>
        </w:tc>
        <w:tc>
          <w:tcPr>
            <w:tcW w:w="6380" w:type="dxa"/>
            <w:tcBorders>
              <w:top w:val="nil"/>
              <w:left w:val="nil"/>
              <w:bottom w:val="single" w:sz="4" w:space="0" w:color="auto"/>
              <w:right w:val="single" w:sz="4" w:space="0" w:color="auto"/>
            </w:tcBorders>
            <w:shd w:val="clear" w:color="000000" w:fill="FFFFFF"/>
            <w:vAlign w:val="center"/>
          </w:tcPr>
          <w:p w:rsidR="003F5817" w:rsidRPr="004E3415" w:rsidRDefault="006F7DF9" w:rsidP="00296579">
            <w:pPr>
              <w:widowControl/>
              <w:spacing w:line="360" w:lineRule="auto"/>
              <w:jc w:val="center"/>
              <w:rPr>
                <w:rFonts w:ascii="宋体" w:eastAsia="宋体" w:hAnsi="宋体"/>
                <w:szCs w:val="21"/>
              </w:rPr>
            </w:pPr>
            <w:r w:rsidRPr="004E3415">
              <w:rPr>
                <w:rFonts w:ascii="宋体" w:eastAsia="宋体" w:hAnsi="宋体"/>
                <w:szCs w:val="21"/>
              </w:rPr>
              <w:t>华宝中证医疗交易型开放式指数证券投资基金</w:t>
            </w:r>
          </w:p>
        </w:tc>
        <w:tc>
          <w:tcPr>
            <w:tcW w:w="1180" w:type="dxa"/>
            <w:tcBorders>
              <w:top w:val="nil"/>
              <w:left w:val="nil"/>
              <w:bottom w:val="single" w:sz="4" w:space="0" w:color="auto"/>
              <w:right w:val="single" w:sz="4" w:space="0" w:color="auto"/>
            </w:tcBorders>
            <w:shd w:val="clear" w:color="000000" w:fill="FFFFFF"/>
            <w:vAlign w:val="center"/>
          </w:tcPr>
          <w:p w:rsidR="003F5817" w:rsidRPr="00296579" w:rsidRDefault="006F7DF9" w:rsidP="00296579">
            <w:pPr>
              <w:spacing w:line="360" w:lineRule="auto"/>
              <w:jc w:val="center"/>
              <w:rPr>
                <w:rFonts w:ascii="宋体" w:eastAsia="宋体" w:hAnsi="宋体"/>
                <w:szCs w:val="21"/>
              </w:rPr>
            </w:pPr>
            <w:r w:rsidRPr="004E3415">
              <w:rPr>
                <w:rFonts w:ascii="宋体" w:eastAsia="宋体" w:hAnsi="宋体"/>
                <w:szCs w:val="21"/>
              </w:rPr>
              <w:t>512170</w:t>
            </w:r>
          </w:p>
        </w:tc>
      </w:tr>
      <w:tr w:rsidR="00503DAF" w:rsidTr="00296579">
        <w:trPr>
          <w:trHeight w:val="288"/>
        </w:trPr>
        <w:tc>
          <w:tcPr>
            <w:tcW w:w="680" w:type="dxa"/>
            <w:tcBorders>
              <w:top w:val="nil"/>
              <w:left w:val="single" w:sz="4" w:space="0" w:color="auto"/>
              <w:bottom w:val="single" w:sz="4" w:space="0" w:color="auto"/>
              <w:right w:val="single" w:sz="4" w:space="0" w:color="auto"/>
            </w:tcBorders>
            <w:shd w:val="clear" w:color="000000" w:fill="FFFFFF"/>
            <w:vAlign w:val="center"/>
          </w:tcPr>
          <w:p w:rsidR="003F5817" w:rsidRPr="00296579" w:rsidRDefault="006F7DF9" w:rsidP="00296579">
            <w:pPr>
              <w:widowControl/>
              <w:spacing w:line="360" w:lineRule="auto"/>
              <w:jc w:val="center"/>
              <w:rPr>
                <w:rFonts w:ascii="宋体" w:eastAsia="宋体" w:hAnsi="宋体"/>
                <w:szCs w:val="21"/>
              </w:rPr>
            </w:pPr>
            <w:r>
              <w:rPr>
                <w:rFonts w:ascii="宋体" w:eastAsia="宋体" w:hAnsi="宋体" w:hint="eastAsia"/>
                <w:szCs w:val="21"/>
              </w:rPr>
              <w:t>6</w:t>
            </w:r>
          </w:p>
        </w:tc>
        <w:tc>
          <w:tcPr>
            <w:tcW w:w="6380" w:type="dxa"/>
            <w:tcBorders>
              <w:top w:val="nil"/>
              <w:left w:val="nil"/>
              <w:bottom w:val="single" w:sz="4" w:space="0" w:color="auto"/>
              <w:right w:val="single" w:sz="4" w:space="0" w:color="auto"/>
            </w:tcBorders>
            <w:shd w:val="clear" w:color="000000" w:fill="FFFFFF"/>
            <w:vAlign w:val="center"/>
          </w:tcPr>
          <w:p w:rsidR="003F5817" w:rsidRPr="004E3415" w:rsidRDefault="006F7DF9" w:rsidP="00296579">
            <w:pPr>
              <w:widowControl/>
              <w:spacing w:line="360" w:lineRule="auto"/>
              <w:jc w:val="center"/>
              <w:rPr>
                <w:rFonts w:ascii="宋体" w:eastAsia="宋体" w:hAnsi="宋体"/>
                <w:szCs w:val="21"/>
              </w:rPr>
            </w:pPr>
            <w:r w:rsidRPr="004E3415">
              <w:rPr>
                <w:rFonts w:ascii="宋体" w:eastAsia="宋体" w:hAnsi="宋体"/>
                <w:szCs w:val="21"/>
              </w:rPr>
              <w:t>华宝中证全指证券公司交易型开放式指数证券投资基金</w:t>
            </w:r>
          </w:p>
        </w:tc>
        <w:tc>
          <w:tcPr>
            <w:tcW w:w="1180" w:type="dxa"/>
            <w:tcBorders>
              <w:top w:val="nil"/>
              <w:left w:val="nil"/>
              <w:bottom w:val="single" w:sz="4" w:space="0" w:color="auto"/>
              <w:right w:val="single" w:sz="4" w:space="0" w:color="auto"/>
            </w:tcBorders>
            <w:shd w:val="clear" w:color="000000" w:fill="FFFFFF"/>
            <w:vAlign w:val="center"/>
          </w:tcPr>
          <w:p w:rsidR="003F5817" w:rsidRPr="00296579" w:rsidRDefault="006F7DF9" w:rsidP="00296579">
            <w:pPr>
              <w:spacing w:line="360" w:lineRule="auto"/>
              <w:jc w:val="center"/>
              <w:rPr>
                <w:rFonts w:ascii="宋体" w:eastAsia="宋体" w:hAnsi="宋体"/>
                <w:szCs w:val="21"/>
              </w:rPr>
            </w:pPr>
            <w:r w:rsidRPr="004E3415">
              <w:rPr>
                <w:rFonts w:ascii="宋体" w:eastAsia="宋体" w:hAnsi="宋体"/>
                <w:szCs w:val="21"/>
              </w:rPr>
              <w:t>512000</w:t>
            </w:r>
          </w:p>
        </w:tc>
      </w:tr>
      <w:tr w:rsidR="00503DAF" w:rsidTr="00296579">
        <w:trPr>
          <w:trHeight w:val="288"/>
        </w:trPr>
        <w:tc>
          <w:tcPr>
            <w:tcW w:w="680" w:type="dxa"/>
            <w:tcBorders>
              <w:top w:val="nil"/>
              <w:left w:val="single" w:sz="4" w:space="0" w:color="auto"/>
              <w:bottom w:val="single" w:sz="4" w:space="0" w:color="auto"/>
              <w:right w:val="single" w:sz="4" w:space="0" w:color="auto"/>
            </w:tcBorders>
            <w:shd w:val="clear" w:color="000000" w:fill="FFFFFF"/>
            <w:vAlign w:val="center"/>
          </w:tcPr>
          <w:p w:rsidR="004E3415" w:rsidRPr="00296579" w:rsidRDefault="006F7DF9" w:rsidP="00296579">
            <w:pPr>
              <w:widowControl/>
              <w:spacing w:line="360" w:lineRule="auto"/>
              <w:jc w:val="center"/>
              <w:rPr>
                <w:rFonts w:ascii="宋体" w:eastAsia="宋体" w:hAnsi="宋体"/>
                <w:szCs w:val="21"/>
              </w:rPr>
            </w:pPr>
            <w:r>
              <w:rPr>
                <w:rFonts w:ascii="宋体" w:eastAsia="宋体" w:hAnsi="宋体" w:hint="eastAsia"/>
                <w:szCs w:val="21"/>
              </w:rPr>
              <w:t>7</w:t>
            </w:r>
          </w:p>
        </w:tc>
        <w:tc>
          <w:tcPr>
            <w:tcW w:w="6380" w:type="dxa"/>
            <w:tcBorders>
              <w:top w:val="nil"/>
              <w:left w:val="nil"/>
              <w:bottom w:val="single" w:sz="4" w:space="0" w:color="auto"/>
              <w:right w:val="single" w:sz="4" w:space="0" w:color="auto"/>
            </w:tcBorders>
            <w:shd w:val="clear" w:color="000000" w:fill="FFFFFF"/>
            <w:vAlign w:val="center"/>
          </w:tcPr>
          <w:p w:rsidR="004E3415" w:rsidRPr="004E3415" w:rsidRDefault="006F7DF9" w:rsidP="00296579">
            <w:pPr>
              <w:widowControl/>
              <w:spacing w:line="360" w:lineRule="auto"/>
              <w:jc w:val="center"/>
              <w:rPr>
                <w:rFonts w:ascii="宋体" w:eastAsia="宋体" w:hAnsi="宋体"/>
                <w:szCs w:val="21"/>
              </w:rPr>
            </w:pPr>
            <w:r w:rsidRPr="004E3415">
              <w:rPr>
                <w:rFonts w:ascii="宋体" w:eastAsia="宋体" w:hAnsi="宋体"/>
                <w:szCs w:val="21"/>
              </w:rPr>
              <w:t>华宝中证军工交易型开放式指数证券投资基金</w:t>
            </w:r>
          </w:p>
        </w:tc>
        <w:tc>
          <w:tcPr>
            <w:tcW w:w="1180" w:type="dxa"/>
            <w:tcBorders>
              <w:top w:val="nil"/>
              <w:left w:val="nil"/>
              <w:bottom w:val="single" w:sz="4" w:space="0" w:color="auto"/>
              <w:right w:val="single" w:sz="4" w:space="0" w:color="auto"/>
            </w:tcBorders>
            <w:shd w:val="clear" w:color="000000" w:fill="FFFFFF"/>
            <w:vAlign w:val="center"/>
          </w:tcPr>
          <w:p w:rsidR="004E3415" w:rsidRPr="004E3415" w:rsidRDefault="006F7DF9" w:rsidP="00296579">
            <w:pPr>
              <w:spacing w:line="360" w:lineRule="auto"/>
              <w:jc w:val="center"/>
              <w:rPr>
                <w:rFonts w:ascii="宋体" w:eastAsia="宋体" w:hAnsi="宋体"/>
                <w:szCs w:val="21"/>
              </w:rPr>
            </w:pPr>
            <w:r w:rsidRPr="004E3415">
              <w:rPr>
                <w:rFonts w:ascii="宋体" w:eastAsia="宋体" w:hAnsi="宋体"/>
                <w:szCs w:val="21"/>
              </w:rPr>
              <w:t>512810</w:t>
            </w:r>
          </w:p>
        </w:tc>
      </w:tr>
      <w:tr w:rsidR="00503DAF" w:rsidTr="00296579">
        <w:trPr>
          <w:trHeight w:val="288"/>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296579" w:rsidRPr="00296579" w:rsidRDefault="006F7DF9" w:rsidP="00296579">
            <w:pPr>
              <w:widowControl/>
              <w:spacing w:line="360" w:lineRule="auto"/>
              <w:jc w:val="center"/>
              <w:rPr>
                <w:rFonts w:ascii="宋体" w:eastAsia="宋体" w:hAnsi="宋体"/>
                <w:szCs w:val="21"/>
              </w:rPr>
            </w:pPr>
            <w:r>
              <w:rPr>
                <w:rFonts w:ascii="宋体" w:eastAsia="宋体" w:hAnsi="宋体" w:hint="eastAsia"/>
                <w:szCs w:val="21"/>
              </w:rPr>
              <w:t>8</w:t>
            </w:r>
          </w:p>
        </w:tc>
        <w:tc>
          <w:tcPr>
            <w:tcW w:w="6380" w:type="dxa"/>
            <w:tcBorders>
              <w:top w:val="nil"/>
              <w:left w:val="nil"/>
              <w:bottom w:val="single" w:sz="4" w:space="0" w:color="auto"/>
              <w:right w:val="single" w:sz="4" w:space="0" w:color="auto"/>
            </w:tcBorders>
            <w:shd w:val="clear" w:color="000000" w:fill="FFFFFF"/>
            <w:vAlign w:val="center"/>
          </w:tcPr>
          <w:p w:rsidR="00296579" w:rsidRPr="00296579" w:rsidRDefault="006F7DF9" w:rsidP="00296579">
            <w:pPr>
              <w:widowControl/>
              <w:spacing w:line="360" w:lineRule="auto"/>
              <w:jc w:val="center"/>
              <w:rPr>
                <w:rFonts w:ascii="宋体" w:eastAsia="宋体" w:hAnsi="宋体"/>
                <w:szCs w:val="21"/>
              </w:rPr>
            </w:pPr>
            <w:r w:rsidRPr="00296579">
              <w:rPr>
                <w:rFonts w:ascii="宋体" w:eastAsia="宋体" w:hAnsi="宋体" w:cs="Arial"/>
                <w:szCs w:val="21"/>
              </w:rPr>
              <w:t>华宝中证智能电动汽车交易型开放式指数证券投资基金</w:t>
            </w:r>
          </w:p>
        </w:tc>
        <w:tc>
          <w:tcPr>
            <w:tcW w:w="1180" w:type="dxa"/>
            <w:tcBorders>
              <w:top w:val="nil"/>
              <w:left w:val="nil"/>
              <w:bottom w:val="single" w:sz="4" w:space="0" w:color="auto"/>
              <w:right w:val="single" w:sz="4" w:space="0" w:color="auto"/>
            </w:tcBorders>
            <w:shd w:val="clear" w:color="000000" w:fill="FFFFFF"/>
            <w:vAlign w:val="center"/>
            <w:hideMark/>
          </w:tcPr>
          <w:p w:rsidR="00296579" w:rsidRPr="00296579" w:rsidRDefault="006F7DF9" w:rsidP="00296579">
            <w:pPr>
              <w:spacing w:line="360" w:lineRule="auto"/>
              <w:jc w:val="center"/>
              <w:rPr>
                <w:rFonts w:ascii="宋体" w:eastAsia="宋体" w:hAnsi="宋体" w:cs="宋体"/>
                <w:szCs w:val="21"/>
              </w:rPr>
            </w:pPr>
            <w:r w:rsidRPr="00296579">
              <w:rPr>
                <w:rFonts w:ascii="宋体" w:eastAsia="宋体" w:hAnsi="宋体" w:hint="eastAsia"/>
                <w:szCs w:val="21"/>
              </w:rPr>
              <w:t>516380</w:t>
            </w:r>
          </w:p>
        </w:tc>
      </w:tr>
    </w:tbl>
    <w:p w:rsidR="008653CF" w:rsidRPr="00296579" w:rsidRDefault="006F7DF9" w:rsidP="00296579">
      <w:pPr>
        <w:widowControl/>
        <w:spacing w:before="100" w:beforeAutospacing="1" w:after="100" w:afterAutospacing="1" w:line="360" w:lineRule="auto"/>
        <w:ind w:firstLineChars="300" w:firstLine="630"/>
        <w:jc w:val="left"/>
        <w:rPr>
          <w:rFonts w:ascii="宋体" w:eastAsia="宋体" w:hAnsi="宋体"/>
          <w:szCs w:val="21"/>
        </w:rPr>
      </w:pPr>
      <w:r w:rsidRPr="00296579">
        <w:rPr>
          <w:rFonts w:ascii="宋体" w:eastAsia="宋体" w:hAnsi="宋体" w:hint="eastAsia"/>
          <w:szCs w:val="21"/>
        </w:rPr>
        <w:t>投资者可到</w:t>
      </w:r>
      <w:r w:rsidR="00815FC1">
        <w:rPr>
          <w:rFonts w:ascii="宋体" w:eastAsia="宋体" w:hAnsi="宋体" w:hint="eastAsia"/>
          <w:szCs w:val="21"/>
        </w:rPr>
        <w:t>华安</w:t>
      </w:r>
      <w:r w:rsidR="001D1354" w:rsidRPr="00296579">
        <w:rPr>
          <w:rFonts w:ascii="宋体" w:eastAsia="宋体" w:hAnsi="宋体" w:hint="eastAsia"/>
          <w:szCs w:val="21"/>
        </w:rPr>
        <w:t>证券</w:t>
      </w:r>
      <w:r w:rsidRPr="00296579">
        <w:rPr>
          <w:rFonts w:ascii="宋体" w:eastAsia="宋体" w:hAnsi="宋体" w:hint="eastAsia"/>
          <w:szCs w:val="21"/>
        </w:rPr>
        <w:t>办理上述ETF的开户、申赎及其他相关业务。投资者可通过以下途径了解或咨询相关情况：</w:t>
      </w:r>
    </w:p>
    <w:p w:rsidR="008653CF" w:rsidRPr="00137E90" w:rsidRDefault="006F7DF9" w:rsidP="00137E90">
      <w:pPr>
        <w:pStyle w:val="a7"/>
        <w:widowControl/>
        <w:numPr>
          <w:ilvl w:val="0"/>
          <w:numId w:val="1"/>
        </w:numPr>
        <w:spacing w:line="360" w:lineRule="auto"/>
        <w:ind w:firstLineChars="0"/>
        <w:jc w:val="left"/>
        <w:rPr>
          <w:rFonts w:ascii="宋体" w:eastAsia="宋体" w:hAnsi="宋体"/>
          <w:szCs w:val="21"/>
        </w:rPr>
      </w:pPr>
      <w:r w:rsidRPr="00137E90">
        <w:rPr>
          <w:rFonts w:ascii="宋体" w:eastAsia="宋体" w:hAnsi="宋体" w:hint="eastAsia"/>
          <w:szCs w:val="21"/>
        </w:rPr>
        <w:t>华安</w:t>
      </w:r>
      <w:r w:rsidR="00765FCE" w:rsidRPr="00137E90">
        <w:rPr>
          <w:rFonts w:ascii="宋体" w:eastAsia="宋体" w:hAnsi="宋体" w:hint="eastAsia"/>
          <w:szCs w:val="21"/>
        </w:rPr>
        <w:t>证券有限责任公司</w:t>
      </w:r>
    </w:p>
    <w:p w:rsidR="00137E90" w:rsidRDefault="006F7DF9" w:rsidP="00137E90">
      <w:pPr>
        <w:pStyle w:val="a7"/>
        <w:widowControl/>
        <w:spacing w:line="360" w:lineRule="auto"/>
        <w:ind w:left="840" w:firstLineChars="0" w:firstLine="0"/>
        <w:jc w:val="left"/>
        <w:rPr>
          <w:rFonts w:ascii="宋体" w:eastAsia="宋体" w:hAnsi="宋体"/>
          <w:szCs w:val="21"/>
        </w:rPr>
      </w:pPr>
      <w:r w:rsidRPr="00137E90">
        <w:rPr>
          <w:rFonts w:ascii="宋体" w:eastAsia="宋体" w:hAnsi="宋体" w:hint="eastAsia"/>
          <w:szCs w:val="21"/>
        </w:rPr>
        <w:t>客户服务电话：</w:t>
      </w:r>
      <w:r w:rsidRPr="00137E90">
        <w:rPr>
          <w:rFonts w:ascii="宋体" w:eastAsia="宋体" w:hAnsi="宋体"/>
          <w:szCs w:val="21"/>
        </w:rPr>
        <w:t>95318</w:t>
      </w:r>
    </w:p>
    <w:p w:rsidR="008653CF" w:rsidRPr="00137E90" w:rsidRDefault="006F7DF9" w:rsidP="00137E90">
      <w:pPr>
        <w:pStyle w:val="a7"/>
        <w:widowControl/>
        <w:spacing w:line="360" w:lineRule="auto"/>
        <w:ind w:left="840" w:firstLineChars="0" w:firstLine="0"/>
        <w:jc w:val="left"/>
        <w:rPr>
          <w:rFonts w:ascii="宋体" w:eastAsia="宋体" w:hAnsi="宋体"/>
          <w:szCs w:val="21"/>
        </w:rPr>
      </w:pPr>
      <w:r w:rsidRPr="00137E90">
        <w:rPr>
          <w:rFonts w:ascii="宋体" w:eastAsia="宋体" w:hAnsi="宋体" w:hint="eastAsia"/>
          <w:szCs w:val="21"/>
        </w:rPr>
        <w:t>公司网址：</w:t>
      </w:r>
      <w:r w:rsidRPr="00137E90">
        <w:rPr>
          <w:rFonts w:ascii="宋体" w:eastAsia="宋体" w:hAnsi="宋体"/>
          <w:szCs w:val="21"/>
        </w:rPr>
        <w:t>www.hazq.com</w:t>
      </w:r>
    </w:p>
    <w:p w:rsidR="008653CF" w:rsidRPr="00296579" w:rsidRDefault="006F7DF9" w:rsidP="00296579">
      <w:pPr>
        <w:widowControl/>
        <w:spacing w:line="360" w:lineRule="auto"/>
        <w:ind w:left="840" w:hanging="360"/>
        <w:jc w:val="left"/>
        <w:rPr>
          <w:rFonts w:ascii="宋体" w:eastAsia="宋体" w:hAnsi="宋体"/>
          <w:szCs w:val="21"/>
        </w:rPr>
      </w:pPr>
      <w:r>
        <w:rPr>
          <w:rFonts w:ascii="宋体" w:eastAsia="宋体" w:hAnsi="宋体" w:hint="eastAsia"/>
          <w:szCs w:val="21"/>
        </w:rPr>
        <w:t xml:space="preserve">2. </w:t>
      </w:r>
      <w:r w:rsidRPr="00296579">
        <w:rPr>
          <w:rFonts w:ascii="宋体" w:eastAsia="宋体" w:hAnsi="宋体" w:hint="eastAsia"/>
          <w:szCs w:val="21"/>
        </w:rPr>
        <w:t>华宝基金管理有限公司</w:t>
      </w:r>
    </w:p>
    <w:p w:rsidR="008653CF" w:rsidRPr="00296579" w:rsidRDefault="006F7DF9" w:rsidP="00296579">
      <w:pPr>
        <w:widowControl/>
        <w:spacing w:line="360" w:lineRule="auto"/>
        <w:ind w:left="840"/>
        <w:jc w:val="left"/>
        <w:rPr>
          <w:rFonts w:ascii="宋体" w:eastAsia="宋体" w:hAnsi="宋体"/>
          <w:szCs w:val="21"/>
        </w:rPr>
      </w:pPr>
      <w:r w:rsidRPr="00296579">
        <w:rPr>
          <w:rFonts w:ascii="宋体" w:eastAsia="宋体" w:hAnsi="宋体" w:hint="eastAsia"/>
          <w:szCs w:val="21"/>
        </w:rPr>
        <w:t>客户服务电话：400-820-5050、400-700-5588、021-38924558</w:t>
      </w:r>
    </w:p>
    <w:p w:rsidR="008653CF" w:rsidRPr="00296579" w:rsidRDefault="006F7DF9" w:rsidP="00296579">
      <w:pPr>
        <w:widowControl/>
        <w:spacing w:line="360" w:lineRule="auto"/>
        <w:ind w:left="840"/>
        <w:jc w:val="left"/>
        <w:rPr>
          <w:rFonts w:ascii="宋体" w:eastAsia="宋体" w:hAnsi="宋体"/>
          <w:szCs w:val="21"/>
        </w:rPr>
      </w:pPr>
      <w:r w:rsidRPr="00296579">
        <w:rPr>
          <w:rFonts w:ascii="宋体" w:eastAsia="宋体" w:hAnsi="宋体" w:hint="eastAsia"/>
          <w:szCs w:val="21"/>
        </w:rPr>
        <w:t>网站：www.fsfund.com</w:t>
      </w:r>
    </w:p>
    <w:p w:rsidR="008653CF" w:rsidRPr="00296579" w:rsidRDefault="006F7DF9" w:rsidP="00296579">
      <w:pPr>
        <w:widowControl/>
        <w:spacing w:before="100" w:beforeAutospacing="1" w:after="100" w:afterAutospacing="1" w:line="360" w:lineRule="auto"/>
        <w:ind w:firstLine="405"/>
        <w:jc w:val="left"/>
        <w:rPr>
          <w:rFonts w:ascii="宋体" w:eastAsia="宋体" w:hAnsi="宋体"/>
          <w:szCs w:val="21"/>
        </w:rPr>
      </w:pPr>
      <w:r w:rsidRPr="00296579">
        <w:rPr>
          <w:rFonts w:ascii="宋体" w:eastAsia="宋体" w:hAnsi="宋体" w:hint="eastAsia"/>
          <w:szCs w:val="21"/>
        </w:rPr>
        <w:lastRenderedPageBreak/>
        <w:t>风险提示：本基金管理人承诺以诚实信用、勤勉尽责的原则管理和运用基金资产，但不保证基金一定盈利，也不保证最低收益。投资者投资基金时应认真阅读基金的基金产品资料概要、基金合同、招募说明书。敬请投资者留意投资风险。  </w:t>
      </w:r>
    </w:p>
    <w:p w:rsidR="008653CF" w:rsidRPr="00296579" w:rsidRDefault="006F7DF9" w:rsidP="00296579">
      <w:pPr>
        <w:widowControl/>
        <w:spacing w:before="100" w:beforeAutospacing="1" w:after="100" w:afterAutospacing="1" w:line="360" w:lineRule="auto"/>
        <w:ind w:firstLine="405"/>
        <w:jc w:val="left"/>
        <w:rPr>
          <w:rFonts w:ascii="宋体" w:eastAsia="宋体" w:hAnsi="宋体"/>
          <w:szCs w:val="21"/>
        </w:rPr>
      </w:pPr>
      <w:r w:rsidRPr="00296579">
        <w:rPr>
          <w:rFonts w:ascii="宋体" w:eastAsia="宋体" w:hAnsi="宋体" w:hint="eastAsia"/>
          <w:szCs w:val="21"/>
        </w:rPr>
        <w:t>特此公告。</w:t>
      </w:r>
    </w:p>
    <w:p w:rsidR="008653CF" w:rsidRPr="00296579" w:rsidRDefault="006F7DF9" w:rsidP="00296579">
      <w:pPr>
        <w:widowControl/>
        <w:spacing w:line="360" w:lineRule="auto"/>
        <w:ind w:left="420" w:firstLine="405"/>
        <w:jc w:val="right"/>
        <w:rPr>
          <w:rFonts w:ascii="宋体" w:eastAsia="宋体" w:hAnsi="宋体"/>
          <w:szCs w:val="21"/>
        </w:rPr>
      </w:pPr>
      <w:r w:rsidRPr="00296579">
        <w:rPr>
          <w:rFonts w:ascii="宋体" w:eastAsia="宋体" w:hAnsi="宋体" w:hint="eastAsia"/>
          <w:szCs w:val="21"/>
        </w:rPr>
        <w:t>华宝基金管理有限公司</w:t>
      </w:r>
    </w:p>
    <w:p w:rsidR="008653CF" w:rsidRPr="00296579" w:rsidRDefault="006F7DF9" w:rsidP="00296579">
      <w:pPr>
        <w:widowControl/>
        <w:spacing w:line="360" w:lineRule="auto"/>
        <w:ind w:left="420" w:firstLine="405"/>
        <w:jc w:val="right"/>
        <w:rPr>
          <w:rFonts w:ascii="宋体" w:eastAsia="宋体" w:hAnsi="宋体"/>
          <w:szCs w:val="21"/>
        </w:rPr>
      </w:pPr>
      <w:r w:rsidRPr="00296579">
        <w:rPr>
          <w:rFonts w:ascii="宋体" w:eastAsia="宋体" w:hAnsi="宋体" w:hint="eastAsia"/>
          <w:szCs w:val="21"/>
        </w:rPr>
        <w:t>202</w:t>
      </w:r>
      <w:r w:rsidR="00CC38E0" w:rsidRPr="00296579">
        <w:rPr>
          <w:rFonts w:ascii="宋体" w:eastAsia="宋体" w:hAnsi="宋体" w:hint="eastAsia"/>
          <w:szCs w:val="21"/>
        </w:rPr>
        <w:t>1</w:t>
      </w:r>
      <w:r w:rsidRPr="00296579">
        <w:rPr>
          <w:rFonts w:ascii="宋体" w:eastAsia="宋体" w:hAnsi="宋体" w:hint="eastAsia"/>
          <w:szCs w:val="21"/>
        </w:rPr>
        <w:t>年</w:t>
      </w:r>
      <w:r w:rsidR="00296579" w:rsidRPr="00296579">
        <w:rPr>
          <w:rFonts w:ascii="宋体" w:eastAsia="宋体" w:hAnsi="宋体" w:hint="eastAsia"/>
          <w:szCs w:val="21"/>
        </w:rPr>
        <w:t>8</w:t>
      </w:r>
      <w:r w:rsidRPr="00296579">
        <w:rPr>
          <w:rFonts w:ascii="宋体" w:eastAsia="宋体" w:hAnsi="宋体" w:hint="eastAsia"/>
          <w:szCs w:val="21"/>
        </w:rPr>
        <w:t>月</w:t>
      </w:r>
      <w:r w:rsidR="00C12043" w:rsidRPr="00296579">
        <w:rPr>
          <w:rFonts w:ascii="宋体" w:eastAsia="宋体" w:hAnsi="宋体" w:hint="eastAsia"/>
          <w:szCs w:val="21"/>
        </w:rPr>
        <w:t>1</w:t>
      </w:r>
      <w:r w:rsidR="00137E90">
        <w:rPr>
          <w:rFonts w:ascii="宋体" w:eastAsia="宋体" w:hAnsi="宋体" w:hint="eastAsia"/>
          <w:szCs w:val="21"/>
        </w:rPr>
        <w:t>9</w:t>
      </w:r>
      <w:r w:rsidRPr="00296579">
        <w:rPr>
          <w:rFonts w:ascii="宋体" w:eastAsia="宋体" w:hAnsi="宋体" w:hint="eastAsia"/>
          <w:szCs w:val="21"/>
        </w:rPr>
        <w:t>日</w:t>
      </w:r>
    </w:p>
    <w:p w:rsidR="008653CF" w:rsidRPr="00296579" w:rsidRDefault="008653CF" w:rsidP="00296579">
      <w:pPr>
        <w:spacing w:line="360" w:lineRule="auto"/>
        <w:rPr>
          <w:rFonts w:ascii="宋体" w:eastAsia="宋体" w:hAnsi="宋体"/>
          <w:szCs w:val="21"/>
        </w:rPr>
      </w:pPr>
    </w:p>
    <w:p w:rsidR="00754B89" w:rsidRPr="00296579" w:rsidRDefault="00754B89" w:rsidP="00296579">
      <w:pPr>
        <w:spacing w:line="360" w:lineRule="auto"/>
        <w:rPr>
          <w:rFonts w:ascii="宋体" w:eastAsia="宋体" w:hAnsi="宋体"/>
          <w:szCs w:val="21"/>
        </w:rPr>
      </w:pPr>
    </w:p>
    <w:sectPr w:rsidR="00754B89" w:rsidRPr="00296579" w:rsidSect="009207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DF9" w:rsidRDefault="006F7DF9" w:rsidP="0037660C">
      <w:r>
        <w:separator/>
      </w:r>
    </w:p>
  </w:endnote>
  <w:endnote w:type="continuationSeparator" w:id="0">
    <w:p w:rsidR="006F7DF9" w:rsidRDefault="006F7DF9" w:rsidP="003766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DF9" w:rsidRDefault="006F7DF9" w:rsidP="0037660C">
      <w:r>
        <w:separator/>
      </w:r>
    </w:p>
  </w:footnote>
  <w:footnote w:type="continuationSeparator" w:id="0">
    <w:p w:rsidR="006F7DF9" w:rsidRDefault="006F7DF9" w:rsidP="003766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55A7D"/>
    <w:multiLevelType w:val="hybridMultilevel"/>
    <w:tmpl w:val="0866B61E"/>
    <w:lvl w:ilvl="0" w:tplc="60645D62">
      <w:start w:val="1"/>
      <w:numFmt w:val="decimal"/>
      <w:lvlText w:val="%1."/>
      <w:lvlJc w:val="left"/>
      <w:pPr>
        <w:ind w:left="840" w:hanging="360"/>
      </w:pPr>
      <w:rPr>
        <w:rFonts w:hint="default"/>
      </w:rPr>
    </w:lvl>
    <w:lvl w:ilvl="1" w:tplc="155E3860" w:tentative="1">
      <w:start w:val="1"/>
      <w:numFmt w:val="lowerLetter"/>
      <w:lvlText w:val="%2)"/>
      <w:lvlJc w:val="left"/>
      <w:pPr>
        <w:ind w:left="1320" w:hanging="420"/>
      </w:pPr>
    </w:lvl>
    <w:lvl w:ilvl="2" w:tplc="206A054E" w:tentative="1">
      <w:start w:val="1"/>
      <w:numFmt w:val="lowerRoman"/>
      <w:lvlText w:val="%3."/>
      <w:lvlJc w:val="right"/>
      <w:pPr>
        <w:ind w:left="1740" w:hanging="420"/>
      </w:pPr>
    </w:lvl>
    <w:lvl w:ilvl="3" w:tplc="D5A8211C" w:tentative="1">
      <w:start w:val="1"/>
      <w:numFmt w:val="decimal"/>
      <w:lvlText w:val="%4."/>
      <w:lvlJc w:val="left"/>
      <w:pPr>
        <w:ind w:left="2160" w:hanging="420"/>
      </w:pPr>
    </w:lvl>
    <w:lvl w:ilvl="4" w:tplc="A81E1D34" w:tentative="1">
      <w:start w:val="1"/>
      <w:numFmt w:val="lowerLetter"/>
      <w:lvlText w:val="%5)"/>
      <w:lvlJc w:val="left"/>
      <w:pPr>
        <w:ind w:left="2580" w:hanging="420"/>
      </w:pPr>
    </w:lvl>
    <w:lvl w:ilvl="5" w:tplc="B6B2534C" w:tentative="1">
      <w:start w:val="1"/>
      <w:numFmt w:val="lowerRoman"/>
      <w:lvlText w:val="%6."/>
      <w:lvlJc w:val="right"/>
      <w:pPr>
        <w:ind w:left="3000" w:hanging="420"/>
      </w:pPr>
    </w:lvl>
    <w:lvl w:ilvl="6" w:tplc="15F23A28" w:tentative="1">
      <w:start w:val="1"/>
      <w:numFmt w:val="decimal"/>
      <w:lvlText w:val="%7."/>
      <w:lvlJc w:val="left"/>
      <w:pPr>
        <w:ind w:left="3420" w:hanging="420"/>
      </w:pPr>
    </w:lvl>
    <w:lvl w:ilvl="7" w:tplc="7116C5FA" w:tentative="1">
      <w:start w:val="1"/>
      <w:numFmt w:val="lowerLetter"/>
      <w:lvlText w:val="%8)"/>
      <w:lvlJc w:val="left"/>
      <w:pPr>
        <w:ind w:left="3840" w:hanging="420"/>
      </w:pPr>
    </w:lvl>
    <w:lvl w:ilvl="8" w:tplc="A328AC54"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2DF2"/>
    <w:rsid w:val="00017207"/>
    <w:rsid w:val="00023FC6"/>
    <w:rsid w:val="00035730"/>
    <w:rsid w:val="000E51F7"/>
    <w:rsid w:val="00137E90"/>
    <w:rsid w:val="00173A51"/>
    <w:rsid w:val="0018125F"/>
    <w:rsid w:val="00182C69"/>
    <w:rsid w:val="001D1354"/>
    <w:rsid w:val="001D2A96"/>
    <w:rsid w:val="001E041C"/>
    <w:rsid w:val="001E0784"/>
    <w:rsid w:val="00283A30"/>
    <w:rsid w:val="00296579"/>
    <w:rsid w:val="002C7956"/>
    <w:rsid w:val="002F5857"/>
    <w:rsid w:val="0037660C"/>
    <w:rsid w:val="003A5C2C"/>
    <w:rsid w:val="003D3788"/>
    <w:rsid w:val="003F1766"/>
    <w:rsid w:val="003F5817"/>
    <w:rsid w:val="00432EF5"/>
    <w:rsid w:val="00455789"/>
    <w:rsid w:val="00484521"/>
    <w:rsid w:val="00496351"/>
    <w:rsid w:val="004E3415"/>
    <w:rsid w:val="004F1FFB"/>
    <w:rsid w:val="00503DAF"/>
    <w:rsid w:val="005234D4"/>
    <w:rsid w:val="0055292D"/>
    <w:rsid w:val="00623478"/>
    <w:rsid w:val="00643747"/>
    <w:rsid w:val="00647B5B"/>
    <w:rsid w:val="006C5930"/>
    <w:rsid w:val="006F7DF9"/>
    <w:rsid w:val="00754B89"/>
    <w:rsid w:val="00765FCE"/>
    <w:rsid w:val="007D6AF4"/>
    <w:rsid w:val="00806E71"/>
    <w:rsid w:val="00815FC1"/>
    <w:rsid w:val="008653CF"/>
    <w:rsid w:val="008930C3"/>
    <w:rsid w:val="008A276A"/>
    <w:rsid w:val="008D201E"/>
    <w:rsid w:val="008F3AD7"/>
    <w:rsid w:val="009023F0"/>
    <w:rsid w:val="0092078B"/>
    <w:rsid w:val="009D53EF"/>
    <w:rsid w:val="00A25222"/>
    <w:rsid w:val="00A672DF"/>
    <w:rsid w:val="00AB66D3"/>
    <w:rsid w:val="00AE4FFC"/>
    <w:rsid w:val="00B3013D"/>
    <w:rsid w:val="00BC3314"/>
    <w:rsid w:val="00BC6919"/>
    <w:rsid w:val="00BE2138"/>
    <w:rsid w:val="00C12043"/>
    <w:rsid w:val="00CC38E0"/>
    <w:rsid w:val="00CE1554"/>
    <w:rsid w:val="00CE5C81"/>
    <w:rsid w:val="00D64369"/>
    <w:rsid w:val="00D7718B"/>
    <w:rsid w:val="00D80BA1"/>
    <w:rsid w:val="00DA6CBE"/>
    <w:rsid w:val="00DD1E63"/>
    <w:rsid w:val="00EA1013"/>
    <w:rsid w:val="00EC0AA0"/>
    <w:rsid w:val="00EE1873"/>
    <w:rsid w:val="00EE7550"/>
    <w:rsid w:val="00F8124C"/>
    <w:rsid w:val="00FB0EB4"/>
    <w:rsid w:val="00FD2D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7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53C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653CF"/>
    <w:rPr>
      <w:b/>
      <w:bCs/>
    </w:rPr>
  </w:style>
  <w:style w:type="paragraph" w:styleId="a5">
    <w:name w:val="header"/>
    <w:basedOn w:val="a"/>
    <w:link w:val="Char"/>
    <w:uiPriority w:val="99"/>
    <w:unhideWhenUsed/>
    <w:rsid w:val="001D2A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D2A96"/>
    <w:rPr>
      <w:sz w:val="18"/>
      <w:szCs w:val="18"/>
    </w:rPr>
  </w:style>
  <w:style w:type="paragraph" w:styleId="a6">
    <w:name w:val="footer"/>
    <w:basedOn w:val="a"/>
    <w:link w:val="Char0"/>
    <w:uiPriority w:val="99"/>
    <w:unhideWhenUsed/>
    <w:rsid w:val="001D2A96"/>
    <w:pPr>
      <w:tabs>
        <w:tab w:val="center" w:pos="4153"/>
        <w:tab w:val="right" w:pos="8306"/>
      </w:tabs>
      <w:snapToGrid w:val="0"/>
      <w:jc w:val="left"/>
    </w:pPr>
    <w:rPr>
      <w:sz w:val="18"/>
      <w:szCs w:val="18"/>
    </w:rPr>
  </w:style>
  <w:style w:type="character" w:customStyle="1" w:styleId="Char0">
    <w:name w:val="页脚 Char"/>
    <w:basedOn w:val="a0"/>
    <w:link w:val="a6"/>
    <w:uiPriority w:val="99"/>
    <w:rsid w:val="001D2A96"/>
    <w:rPr>
      <w:sz w:val="18"/>
      <w:szCs w:val="18"/>
    </w:rPr>
  </w:style>
  <w:style w:type="character" w:customStyle="1" w:styleId="fontstyle01">
    <w:name w:val="fontstyle01"/>
    <w:basedOn w:val="a0"/>
    <w:rsid w:val="008930C3"/>
    <w:rPr>
      <w:rFonts w:ascii="宋体" w:eastAsia="宋体" w:hAnsi="宋体" w:hint="eastAsia"/>
      <w:b w:val="0"/>
      <w:bCs w:val="0"/>
      <w:i w:val="0"/>
      <w:iCs w:val="0"/>
      <w:color w:val="000000"/>
      <w:sz w:val="48"/>
      <w:szCs w:val="48"/>
    </w:rPr>
  </w:style>
  <w:style w:type="paragraph" w:styleId="a7">
    <w:name w:val="List Paragraph"/>
    <w:basedOn w:val="a"/>
    <w:uiPriority w:val="34"/>
    <w:qFormat/>
    <w:rsid w:val="00137E9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53C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653CF"/>
    <w:rPr>
      <w:b/>
      <w:bCs/>
    </w:rPr>
  </w:style>
  <w:style w:type="paragraph" w:styleId="a5">
    <w:name w:val="header"/>
    <w:basedOn w:val="a"/>
    <w:link w:val="Char"/>
    <w:uiPriority w:val="99"/>
    <w:unhideWhenUsed/>
    <w:rsid w:val="001D2A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D2A96"/>
    <w:rPr>
      <w:sz w:val="18"/>
      <w:szCs w:val="18"/>
    </w:rPr>
  </w:style>
  <w:style w:type="paragraph" w:styleId="a6">
    <w:name w:val="footer"/>
    <w:basedOn w:val="a"/>
    <w:link w:val="Char0"/>
    <w:uiPriority w:val="99"/>
    <w:unhideWhenUsed/>
    <w:rsid w:val="001D2A96"/>
    <w:pPr>
      <w:tabs>
        <w:tab w:val="center" w:pos="4153"/>
        <w:tab w:val="right" w:pos="8306"/>
      </w:tabs>
      <w:snapToGrid w:val="0"/>
      <w:jc w:val="left"/>
    </w:pPr>
    <w:rPr>
      <w:sz w:val="18"/>
      <w:szCs w:val="18"/>
    </w:rPr>
  </w:style>
  <w:style w:type="character" w:customStyle="1" w:styleId="Char0">
    <w:name w:val="页脚 Char"/>
    <w:basedOn w:val="a0"/>
    <w:link w:val="a6"/>
    <w:uiPriority w:val="99"/>
    <w:rsid w:val="001D2A96"/>
    <w:rPr>
      <w:sz w:val="18"/>
      <w:szCs w:val="18"/>
    </w:rPr>
  </w:style>
  <w:style w:type="character" w:customStyle="1" w:styleId="fontstyle01">
    <w:name w:val="fontstyle01"/>
    <w:basedOn w:val="a0"/>
    <w:rsid w:val="008930C3"/>
    <w:rPr>
      <w:rFonts w:ascii="宋体" w:eastAsia="宋体" w:hAnsi="宋体" w:hint="eastAsia"/>
      <w:b w:val="0"/>
      <w:bCs w:val="0"/>
      <w:i w:val="0"/>
      <w:iCs w:val="0"/>
      <w:color w:val="000000"/>
      <w:sz w:val="48"/>
      <w:szCs w:val="48"/>
    </w:rPr>
  </w:style>
  <w:style w:type="paragraph" w:styleId="a7">
    <w:name w:val="List Paragraph"/>
    <w:basedOn w:val="a"/>
    <w:uiPriority w:val="34"/>
    <w:qFormat/>
    <w:rsid w:val="00137E9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Words>
  <Characters>639</Characters>
  <Application>Microsoft Office Word</Application>
  <DocSecurity>4</DocSecurity>
  <Lines>5</Lines>
  <Paragraphs>1</Paragraphs>
  <ScaleCrop>false</ScaleCrop>
  <Company/>
  <LinksUpToDate>false</LinksUpToDate>
  <CharactersWithSpaces>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华宝基金关于旗下部分交易型开放式指数证券投资基金新增华安证券为一级交易商的公告（8.19）</dc:title>
  <dc:creator>朱雯花</dc:creator>
  <cp:lastModifiedBy>ZHONGM</cp:lastModifiedBy>
  <cp:revision>2</cp:revision>
  <cp:lastPrinted>2021-08-18T05:49:00Z</cp:lastPrinted>
  <dcterms:created xsi:type="dcterms:W3CDTF">2021-08-18T16:19:00Z</dcterms:created>
  <dcterms:modified xsi:type="dcterms:W3CDTF">2021-08-18T16:19:00Z</dcterms:modified>
</cp:coreProperties>
</file>