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2DB" w:rsidRPr="00C50193" w:rsidRDefault="008472DB" w:rsidP="008472DB">
      <w:pPr>
        <w:widowControl/>
        <w:jc w:val="center"/>
        <w:rPr>
          <w:rFonts w:asciiTheme="minorEastAsia" w:eastAsiaTheme="minorEastAsia" w:hAnsiTheme="minorEastAsia" w:cs="宋体"/>
          <w:b/>
          <w:kern w:val="0"/>
          <w:sz w:val="30"/>
          <w:szCs w:val="30"/>
        </w:rPr>
      </w:pPr>
      <w:r w:rsidRPr="00C50193">
        <w:rPr>
          <w:rFonts w:asciiTheme="minorEastAsia" w:eastAsiaTheme="minorEastAsia" w:hAnsiTheme="minorEastAsia" w:cs="宋体" w:hint="eastAsia"/>
          <w:b/>
          <w:kern w:val="0"/>
          <w:sz w:val="30"/>
          <w:szCs w:val="30"/>
        </w:rPr>
        <w:t>关于</w:t>
      </w:r>
      <w:r w:rsidR="00862AF1">
        <w:rPr>
          <w:rFonts w:asciiTheme="minorEastAsia" w:eastAsiaTheme="minorEastAsia" w:hAnsiTheme="minorEastAsia" w:cs="宋体" w:hint="eastAsia"/>
          <w:b/>
          <w:kern w:val="0"/>
          <w:sz w:val="30"/>
          <w:szCs w:val="30"/>
        </w:rPr>
        <w:t>中银丰荣定期开放债券型发起式证券投资基金</w:t>
      </w:r>
      <w:r w:rsidRPr="00C50193">
        <w:rPr>
          <w:rFonts w:asciiTheme="minorEastAsia" w:eastAsiaTheme="minorEastAsia" w:hAnsiTheme="minorEastAsia" w:cs="宋体" w:hint="eastAsia"/>
          <w:b/>
          <w:kern w:val="0"/>
          <w:sz w:val="30"/>
          <w:szCs w:val="30"/>
        </w:rPr>
        <w:t>暂停大额申购业务的公告</w:t>
      </w:r>
    </w:p>
    <w:p w:rsidR="00862AF1" w:rsidRDefault="008472DB" w:rsidP="008472DB">
      <w:pPr>
        <w:spacing w:line="560" w:lineRule="exact"/>
        <w:jc w:val="center"/>
        <w:rPr>
          <w:rFonts w:asciiTheme="minorEastAsia" w:eastAsiaTheme="minorEastAsia" w:hAnsiTheme="minorEastAsia" w:cs="宋体"/>
          <w:bCs/>
          <w:sz w:val="24"/>
          <w:szCs w:val="24"/>
        </w:rPr>
      </w:pPr>
      <w:r w:rsidRPr="00D82740">
        <w:rPr>
          <w:rFonts w:asciiTheme="minorEastAsia" w:eastAsiaTheme="minorEastAsia" w:hAnsiTheme="minorEastAsia"/>
          <w:color w:val="000000"/>
          <w:sz w:val="24"/>
          <w:szCs w:val="24"/>
        </w:rPr>
        <w:t>公告送出日期：</w:t>
      </w:r>
      <w:r w:rsidR="00273066">
        <w:rPr>
          <w:rFonts w:asciiTheme="minorEastAsia" w:eastAsiaTheme="minorEastAsia" w:hAnsiTheme="minorEastAsia" w:cs="宋体"/>
          <w:bCs/>
          <w:sz w:val="24"/>
          <w:szCs w:val="24"/>
        </w:rPr>
        <w:t>2021年</w:t>
      </w:r>
      <w:r w:rsidR="00F147A8">
        <w:rPr>
          <w:rFonts w:asciiTheme="minorEastAsia" w:eastAsiaTheme="minorEastAsia" w:hAnsiTheme="minorEastAsia" w:cs="宋体" w:hint="eastAsia"/>
          <w:bCs/>
          <w:sz w:val="24"/>
          <w:szCs w:val="24"/>
        </w:rPr>
        <w:t>8月19日</w:t>
      </w:r>
    </w:p>
    <w:p w:rsidR="00862AF1" w:rsidRPr="00D82740" w:rsidRDefault="00862AF1" w:rsidP="008472DB">
      <w:pPr>
        <w:spacing w:line="560" w:lineRule="exact"/>
        <w:jc w:val="center"/>
        <w:rPr>
          <w:rFonts w:asciiTheme="minorEastAsia" w:eastAsiaTheme="minorEastAsia" w:hAnsiTheme="minorEastAsia" w:cs="宋体"/>
          <w:bCs/>
          <w:sz w:val="24"/>
          <w:szCs w:val="24"/>
        </w:rPr>
      </w:pPr>
    </w:p>
    <w:p w:rsidR="00D327FA" w:rsidRPr="00D82740" w:rsidRDefault="00D327FA" w:rsidP="00862AF1">
      <w:pPr>
        <w:rPr>
          <w:rFonts w:asciiTheme="minorEastAsia" w:eastAsiaTheme="minorEastAsia" w:hAnsiTheme="minorEastAsia"/>
          <w:bCs/>
          <w:color w:val="000000"/>
          <w:sz w:val="24"/>
          <w:szCs w:val="24"/>
        </w:rPr>
      </w:pPr>
      <w:bookmarkStart w:id="0" w:name="_Toc275961405"/>
      <w:r w:rsidRPr="00D82740">
        <w:rPr>
          <w:rFonts w:asciiTheme="minorEastAsia" w:eastAsiaTheme="minorEastAsia" w:hAnsiTheme="minorEastAsia"/>
          <w:color w:val="000000"/>
          <w:sz w:val="24"/>
          <w:szCs w:val="24"/>
        </w:rPr>
        <w:t>1 公告基本信息</w:t>
      </w:r>
      <w:bookmarkEnd w:id="0"/>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14"/>
        <w:gridCol w:w="3544"/>
        <w:gridCol w:w="2967"/>
      </w:tblGrid>
      <w:tr w:rsidR="00D327FA" w:rsidRPr="00D82740" w:rsidTr="00190157">
        <w:trPr>
          <w:jc w:val="center"/>
        </w:trPr>
        <w:tc>
          <w:tcPr>
            <w:tcW w:w="2914" w:type="dxa"/>
          </w:tcPr>
          <w:p w:rsidR="00D327FA" w:rsidRPr="00D82740" w:rsidRDefault="00D327FA" w:rsidP="00E93AFC">
            <w:pPr>
              <w:spacing w:line="560" w:lineRule="exact"/>
              <w:rPr>
                <w:rFonts w:asciiTheme="minorEastAsia" w:eastAsiaTheme="minorEastAsia" w:hAnsiTheme="minorEastAsia"/>
                <w:color w:val="000000"/>
                <w:sz w:val="24"/>
                <w:szCs w:val="24"/>
                <w:highlight w:val="cyan"/>
              </w:rPr>
            </w:pPr>
            <w:r w:rsidRPr="00D82740">
              <w:rPr>
                <w:rFonts w:asciiTheme="minorEastAsia" w:eastAsiaTheme="minorEastAsia" w:hAnsiTheme="minorEastAsia"/>
                <w:color w:val="000000"/>
                <w:sz w:val="24"/>
                <w:szCs w:val="24"/>
              </w:rPr>
              <w:t>基金名称</w:t>
            </w:r>
          </w:p>
        </w:tc>
        <w:tc>
          <w:tcPr>
            <w:tcW w:w="6511" w:type="dxa"/>
            <w:gridSpan w:val="2"/>
            <w:vAlign w:val="center"/>
          </w:tcPr>
          <w:p w:rsidR="00D327FA" w:rsidRPr="00D82740" w:rsidRDefault="00862AF1" w:rsidP="00327DA7">
            <w:pPr>
              <w:spacing w:line="5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中银丰荣定期开放债券型发起式证券投资基金</w:t>
            </w:r>
          </w:p>
        </w:tc>
      </w:tr>
      <w:tr w:rsidR="00D327FA" w:rsidRPr="00D82740" w:rsidTr="00190157">
        <w:trPr>
          <w:jc w:val="center"/>
        </w:trPr>
        <w:tc>
          <w:tcPr>
            <w:tcW w:w="2914" w:type="dxa"/>
          </w:tcPr>
          <w:p w:rsidR="00D327FA" w:rsidRPr="00D82740" w:rsidRDefault="00D327FA"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基金简称</w:t>
            </w:r>
          </w:p>
        </w:tc>
        <w:tc>
          <w:tcPr>
            <w:tcW w:w="6511" w:type="dxa"/>
            <w:gridSpan w:val="2"/>
            <w:vAlign w:val="center"/>
          </w:tcPr>
          <w:p w:rsidR="00D327FA" w:rsidRPr="00D82740" w:rsidRDefault="00FF6B12" w:rsidP="00862AF1">
            <w:pPr>
              <w:spacing w:line="560" w:lineRule="exact"/>
              <w:rPr>
                <w:rFonts w:asciiTheme="minorEastAsia" w:eastAsiaTheme="minorEastAsia" w:hAnsiTheme="minorEastAsia"/>
                <w:sz w:val="24"/>
                <w:szCs w:val="24"/>
              </w:rPr>
            </w:pPr>
            <w:r w:rsidRPr="00FF6B12">
              <w:rPr>
                <w:rFonts w:asciiTheme="minorEastAsia" w:eastAsiaTheme="minorEastAsia" w:hAnsiTheme="minorEastAsia" w:hint="eastAsia"/>
                <w:sz w:val="24"/>
                <w:szCs w:val="24"/>
              </w:rPr>
              <w:t>中银丰荣定期开放债券</w:t>
            </w:r>
          </w:p>
        </w:tc>
      </w:tr>
      <w:tr w:rsidR="00F95610" w:rsidRPr="00D82740" w:rsidTr="00190157">
        <w:trPr>
          <w:jc w:val="center"/>
        </w:trPr>
        <w:tc>
          <w:tcPr>
            <w:tcW w:w="2914" w:type="dxa"/>
            <w:vAlign w:val="center"/>
          </w:tcPr>
          <w:p w:rsidR="00F95610" w:rsidRPr="00D82740" w:rsidRDefault="00F95610" w:rsidP="00FB02B7">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基金主代码</w:t>
            </w:r>
          </w:p>
        </w:tc>
        <w:tc>
          <w:tcPr>
            <w:tcW w:w="6511" w:type="dxa"/>
            <w:gridSpan w:val="2"/>
            <w:vAlign w:val="center"/>
          </w:tcPr>
          <w:p w:rsidR="00F95610" w:rsidRPr="00D82740" w:rsidRDefault="00862AF1" w:rsidP="00FB02B7">
            <w:pPr>
              <w:spacing w:line="560" w:lineRule="exact"/>
              <w:rPr>
                <w:rFonts w:asciiTheme="minorEastAsia" w:eastAsiaTheme="minorEastAsia" w:hAnsiTheme="minorEastAsia"/>
                <w:sz w:val="24"/>
                <w:szCs w:val="24"/>
              </w:rPr>
            </w:pPr>
            <w:r w:rsidRPr="00862AF1">
              <w:rPr>
                <w:rFonts w:asciiTheme="minorEastAsia" w:eastAsiaTheme="minorEastAsia" w:hAnsiTheme="minorEastAsia"/>
                <w:sz w:val="24"/>
                <w:szCs w:val="24"/>
              </w:rPr>
              <w:t>004</w:t>
            </w:r>
            <w:r w:rsidRPr="00862AF1">
              <w:rPr>
                <w:rFonts w:asciiTheme="minorEastAsia" w:eastAsiaTheme="minorEastAsia" w:hAnsiTheme="minorEastAsia" w:hint="eastAsia"/>
                <w:sz w:val="24"/>
                <w:szCs w:val="24"/>
              </w:rPr>
              <w:t>882</w:t>
            </w:r>
            <w:bookmarkStart w:id="1" w:name="_GoBack"/>
            <w:bookmarkEnd w:id="1"/>
          </w:p>
        </w:tc>
      </w:tr>
      <w:tr w:rsidR="00F95610" w:rsidRPr="00D82740" w:rsidTr="00190157">
        <w:trPr>
          <w:jc w:val="center"/>
        </w:trPr>
        <w:tc>
          <w:tcPr>
            <w:tcW w:w="2914" w:type="dxa"/>
          </w:tcPr>
          <w:p w:rsidR="00F95610" w:rsidRPr="00D82740" w:rsidRDefault="00F95610"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基金管理人名称</w:t>
            </w:r>
          </w:p>
        </w:tc>
        <w:tc>
          <w:tcPr>
            <w:tcW w:w="6511" w:type="dxa"/>
            <w:gridSpan w:val="2"/>
            <w:vAlign w:val="center"/>
          </w:tcPr>
          <w:p w:rsidR="00F95610" w:rsidRPr="00D82740" w:rsidRDefault="00F95610" w:rsidP="00327DA7">
            <w:pPr>
              <w:rPr>
                <w:rFonts w:asciiTheme="minorEastAsia" w:eastAsiaTheme="minorEastAsia" w:hAnsiTheme="minorEastAsia"/>
                <w:sz w:val="24"/>
                <w:szCs w:val="24"/>
              </w:rPr>
            </w:pPr>
            <w:r w:rsidRPr="00D82740">
              <w:rPr>
                <w:rFonts w:asciiTheme="minorEastAsia" w:eastAsiaTheme="minorEastAsia" w:hAnsiTheme="minorEastAsia"/>
                <w:sz w:val="24"/>
                <w:szCs w:val="24"/>
              </w:rPr>
              <w:t>中银基金管理有限公司</w:t>
            </w:r>
          </w:p>
        </w:tc>
      </w:tr>
      <w:tr w:rsidR="00F95610" w:rsidRPr="00D82740" w:rsidTr="00190157">
        <w:trPr>
          <w:jc w:val="center"/>
        </w:trPr>
        <w:tc>
          <w:tcPr>
            <w:tcW w:w="2914" w:type="dxa"/>
          </w:tcPr>
          <w:p w:rsidR="00F95610" w:rsidRPr="00D82740" w:rsidRDefault="00F95610" w:rsidP="00E93AFC">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公告依据</w:t>
            </w:r>
          </w:p>
        </w:tc>
        <w:tc>
          <w:tcPr>
            <w:tcW w:w="6511" w:type="dxa"/>
            <w:gridSpan w:val="2"/>
            <w:vAlign w:val="center"/>
          </w:tcPr>
          <w:p w:rsidR="00F95610" w:rsidRPr="00DD7497" w:rsidRDefault="00F95610" w:rsidP="00DD7497">
            <w:pPr>
              <w:spacing w:line="560" w:lineRule="exact"/>
              <w:rPr>
                <w:rFonts w:asciiTheme="minorEastAsia" w:eastAsiaTheme="minorEastAsia" w:hAnsiTheme="minorEastAsia"/>
                <w:color w:val="000000"/>
                <w:sz w:val="24"/>
                <w:szCs w:val="24"/>
              </w:rPr>
            </w:pPr>
            <w:r w:rsidRPr="00DD7497">
              <w:rPr>
                <w:rFonts w:asciiTheme="minorEastAsia" w:eastAsiaTheme="minorEastAsia" w:hAnsiTheme="minorEastAsia"/>
                <w:color w:val="000000"/>
                <w:sz w:val="24"/>
                <w:szCs w:val="24"/>
              </w:rPr>
              <w:t>相关法律法规及《</w:t>
            </w:r>
            <w:r w:rsidR="00862AF1">
              <w:rPr>
                <w:rFonts w:asciiTheme="minorEastAsia" w:eastAsiaTheme="minorEastAsia" w:hAnsiTheme="minorEastAsia" w:hint="eastAsia"/>
                <w:color w:val="000000"/>
                <w:sz w:val="24"/>
                <w:szCs w:val="24"/>
              </w:rPr>
              <w:t>中银丰荣定期开放债券型发起式证券投资基金</w:t>
            </w:r>
            <w:r w:rsidRPr="00DD7497">
              <w:rPr>
                <w:rFonts w:asciiTheme="minorEastAsia" w:eastAsiaTheme="minorEastAsia" w:hAnsiTheme="minorEastAsia"/>
                <w:color w:val="000000"/>
                <w:sz w:val="24"/>
                <w:szCs w:val="24"/>
              </w:rPr>
              <w:t>基金合同》和《</w:t>
            </w:r>
            <w:r w:rsidR="00862AF1">
              <w:rPr>
                <w:rFonts w:asciiTheme="minorEastAsia" w:eastAsiaTheme="minorEastAsia" w:hAnsiTheme="minorEastAsia" w:hint="eastAsia"/>
                <w:color w:val="000000"/>
                <w:sz w:val="24"/>
                <w:szCs w:val="24"/>
              </w:rPr>
              <w:t>中银丰荣定期开放债券型发起式证券投资基金</w:t>
            </w:r>
            <w:r w:rsidRPr="00DD7497">
              <w:rPr>
                <w:rFonts w:asciiTheme="minorEastAsia" w:eastAsiaTheme="minorEastAsia" w:hAnsiTheme="minorEastAsia"/>
                <w:color w:val="000000"/>
                <w:sz w:val="24"/>
                <w:szCs w:val="24"/>
              </w:rPr>
              <w:t>招募说明书》的有关规定</w:t>
            </w:r>
          </w:p>
        </w:tc>
      </w:tr>
      <w:tr w:rsidR="008B4946" w:rsidRPr="00D82740" w:rsidTr="00190157">
        <w:trPr>
          <w:trHeight w:val="1106"/>
          <w:jc w:val="center"/>
        </w:trPr>
        <w:tc>
          <w:tcPr>
            <w:tcW w:w="2914" w:type="dxa"/>
            <w:vMerge w:val="restart"/>
            <w:vAlign w:val="center"/>
          </w:tcPr>
          <w:p w:rsidR="008B4946" w:rsidRPr="00414F7D" w:rsidRDefault="008B4946" w:rsidP="00E93AFC">
            <w:pPr>
              <w:spacing w:line="560" w:lineRule="exact"/>
              <w:rPr>
                <w:rFonts w:asciiTheme="minorEastAsia" w:eastAsiaTheme="minorEastAsia" w:hAnsiTheme="minorEastAsia"/>
                <w:color w:val="000000"/>
                <w:sz w:val="24"/>
                <w:szCs w:val="24"/>
              </w:rPr>
            </w:pPr>
          </w:p>
          <w:p w:rsidR="008B4946" w:rsidRDefault="008B4946">
            <w:r>
              <w:rPr>
                <w:rFonts w:asciiTheme="minorEastAsia" w:eastAsiaTheme="minorEastAsia" w:hAnsiTheme="minorEastAsia"/>
                <w:color w:val="000000"/>
                <w:sz w:val="24"/>
                <w:szCs w:val="24"/>
              </w:rPr>
              <w:t>暂停相关业务的起始日、金额及原因说明</w:t>
            </w:r>
          </w:p>
          <w:p w:rsidR="008B4946" w:rsidRPr="00D82740" w:rsidRDefault="008B4946" w:rsidP="00E93AFC">
            <w:pPr>
              <w:spacing w:line="560" w:lineRule="exact"/>
              <w:rPr>
                <w:rFonts w:asciiTheme="minorEastAsia" w:eastAsiaTheme="minorEastAsia" w:hAnsiTheme="minorEastAsia"/>
                <w:color w:val="000000"/>
                <w:sz w:val="24"/>
                <w:szCs w:val="24"/>
              </w:rPr>
            </w:pPr>
          </w:p>
          <w:p w:rsidR="008B4946" w:rsidRDefault="008B4946" w:rsidP="00A96DAB"/>
        </w:tc>
        <w:tc>
          <w:tcPr>
            <w:tcW w:w="3544" w:type="dxa"/>
          </w:tcPr>
          <w:p w:rsidR="008B4946" w:rsidRPr="00D82740" w:rsidRDefault="008B4946" w:rsidP="00CC7FCD">
            <w:pPr>
              <w:spacing w:line="560" w:lineRule="exact"/>
              <w:rPr>
                <w:rFonts w:asciiTheme="minorEastAsia" w:eastAsiaTheme="minorEastAsia" w:hAnsiTheme="minorEastAsia"/>
                <w:color w:val="000000"/>
                <w:sz w:val="24"/>
                <w:szCs w:val="24"/>
              </w:rPr>
            </w:pPr>
            <w:r w:rsidRPr="00D82740">
              <w:rPr>
                <w:rFonts w:asciiTheme="minorEastAsia" w:eastAsiaTheme="minorEastAsia" w:hAnsiTheme="minorEastAsia"/>
                <w:color w:val="000000"/>
                <w:sz w:val="24"/>
                <w:szCs w:val="24"/>
              </w:rPr>
              <w:t>暂停大额申购</w:t>
            </w:r>
            <w:r>
              <w:rPr>
                <w:rFonts w:asciiTheme="minorEastAsia" w:eastAsiaTheme="minorEastAsia" w:hAnsiTheme="minorEastAsia" w:hint="eastAsia"/>
                <w:color w:val="000000"/>
                <w:sz w:val="24"/>
                <w:szCs w:val="24"/>
              </w:rPr>
              <w:t>投资</w:t>
            </w:r>
            <w:r w:rsidRPr="00D82740">
              <w:rPr>
                <w:rFonts w:asciiTheme="minorEastAsia" w:eastAsiaTheme="minorEastAsia" w:hAnsiTheme="minorEastAsia"/>
                <w:color w:val="000000"/>
                <w:sz w:val="24"/>
                <w:szCs w:val="24"/>
              </w:rPr>
              <w:t>起始日</w:t>
            </w:r>
          </w:p>
        </w:tc>
        <w:tc>
          <w:tcPr>
            <w:tcW w:w="2967" w:type="dxa"/>
            <w:vAlign w:val="center"/>
          </w:tcPr>
          <w:p w:rsidR="008B4946" w:rsidRPr="00D82740" w:rsidRDefault="00273066" w:rsidP="00862AF1">
            <w:pPr>
              <w:spacing w:line="560"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2021年</w:t>
            </w:r>
            <w:r w:rsidR="00F147A8">
              <w:rPr>
                <w:rFonts w:asciiTheme="minorEastAsia" w:eastAsiaTheme="minorEastAsia" w:hAnsiTheme="minorEastAsia" w:hint="eastAsia"/>
                <w:sz w:val="24"/>
                <w:szCs w:val="24"/>
              </w:rPr>
              <w:t>8月19日</w:t>
            </w:r>
          </w:p>
        </w:tc>
      </w:tr>
      <w:tr w:rsidR="00414F7D" w:rsidRPr="00D82740" w:rsidTr="00190157">
        <w:trPr>
          <w:trHeight w:val="1106"/>
          <w:jc w:val="center"/>
        </w:trPr>
        <w:tc>
          <w:tcPr>
            <w:tcW w:w="2914" w:type="dxa"/>
            <w:vMerge/>
            <w:vAlign w:val="center"/>
          </w:tcPr>
          <w:p w:rsidR="00414F7D" w:rsidRPr="004D08B7" w:rsidRDefault="00414F7D" w:rsidP="00E93AFC">
            <w:pPr>
              <w:spacing w:line="560" w:lineRule="exact"/>
              <w:rPr>
                <w:rFonts w:asciiTheme="minorEastAsia" w:eastAsiaTheme="minorEastAsia" w:hAnsiTheme="minorEastAsia"/>
                <w:color w:val="000000"/>
                <w:sz w:val="24"/>
                <w:szCs w:val="24"/>
              </w:rPr>
            </w:pPr>
          </w:p>
        </w:tc>
        <w:tc>
          <w:tcPr>
            <w:tcW w:w="3544" w:type="dxa"/>
          </w:tcPr>
          <w:p w:rsidR="00414F7D" w:rsidRPr="00D82740" w:rsidRDefault="00414F7D" w:rsidP="008B4946">
            <w:pPr>
              <w:spacing w:line="560" w:lineRule="exact"/>
              <w:rPr>
                <w:rFonts w:asciiTheme="minorEastAsia" w:eastAsiaTheme="minorEastAsia" w:hAnsiTheme="minorEastAsia"/>
                <w:color w:val="000000"/>
                <w:sz w:val="24"/>
                <w:szCs w:val="24"/>
              </w:rPr>
            </w:pPr>
            <w:r w:rsidRPr="00414F7D">
              <w:rPr>
                <w:rFonts w:asciiTheme="minorEastAsia" w:eastAsiaTheme="minorEastAsia" w:hAnsiTheme="minorEastAsia" w:hint="eastAsia"/>
                <w:color w:val="000000"/>
                <w:sz w:val="24"/>
                <w:szCs w:val="24"/>
              </w:rPr>
              <w:t>限制大额申购金额（单位：元）</w:t>
            </w:r>
          </w:p>
        </w:tc>
        <w:tc>
          <w:tcPr>
            <w:tcW w:w="2967" w:type="dxa"/>
            <w:vAlign w:val="center"/>
          </w:tcPr>
          <w:p w:rsidR="00414F7D" w:rsidRPr="00D82740" w:rsidDel="00C62550" w:rsidRDefault="00B91FB9" w:rsidP="00D00228">
            <w:pPr>
              <w:spacing w:line="560" w:lineRule="exact"/>
              <w:jc w:val="center"/>
              <w:rPr>
                <w:rFonts w:asciiTheme="minorEastAsia" w:eastAsiaTheme="minorEastAsia" w:hAnsiTheme="minorEastAsia"/>
                <w:sz w:val="24"/>
                <w:szCs w:val="24"/>
              </w:rPr>
            </w:pPr>
            <w:r>
              <w:rPr>
                <w:rFonts w:asciiTheme="minorEastAsia" w:eastAsiaTheme="minorEastAsia" w:hAnsiTheme="minorEastAsia"/>
                <w:sz w:val="24"/>
                <w:szCs w:val="24"/>
              </w:rPr>
              <w:t>1</w:t>
            </w:r>
            <w:r w:rsidR="00F147A8">
              <w:rPr>
                <w:rFonts w:asciiTheme="minorEastAsia" w:eastAsiaTheme="minorEastAsia" w:hAnsiTheme="minorEastAsia"/>
                <w:sz w:val="24"/>
                <w:szCs w:val="24"/>
              </w:rPr>
              <w:t>0</w:t>
            </w:r>
            <w:r>
              <w:rPr>
                <w:rFonts w:asciiTheme="minorEastAsia" w:eastAsiaTheme="minorEastAsia" w:hAnsiTheme="minorEastAsia"/>
                <w:sz w:val="24"/>
                <w:szCs w:val="24"/>
              </w:rPr>
              <w:t>0</w:t>
            </w:r>
            <w:r>
              <w:rPr>
                <w:rFonts w:asciiTheme="minorEastAsia" w:eastAsiaTheme="minorEastAsia" w:hAnsiTheme="minorEastAsia" w:hint="eastAsia"/>
                <w:sz w:val="24"/>
                <w:szCs w:val="24"/>
              </w:rPr>
              <w:t>,000</w:t>
            </w:r>
          </w:p>
        </w:tc>
      </w:tr>
      <w:tr w:rsidR="00D27BD1" w:rsidRPr="00D82740" w:rsidTr="00190157">
        <w:trPr>
          <w:jc w:val="center"/>
        </w:trPr>
        <w:tc>
          <w:tcPr>
            <w:tcW w:w="2914" w:type="dxa"/>
            <w:vMerge/>
          </w:tcPr>
          <w:p w:rsidR="00D27BD1" w:rsidRDefault="00D27BD1"/>
        </w:tc>
        <w:tc>
          <w:tcPr>
            <w:tcW w:w="3544" w:type="dxa"/>
          </w:tcPr>
          <w:p w:rsidR="00D27BD1" w:rsidRPr="00D82740" w:rsidRDefault="00D27BD1" w:rsidP="00CC7FCD">
            <w:pPr>
              <w:spacing w:line="560" w:lineRule="exact"/>
              <w:rPr>
                <w:rFonts w:asciiTheme="minorEastAsia" w:eastAsiaTheme="minorEastAsia" w:hAnsiTheme="minorEastAsia"/>
                <w:color w:val="000000"/>
                <w:kern w:val="0"/>
                <w:sz w:val="24"/>
                <w:szCs w:val="24"/>
              </w:rPr>
            </w:pPr>
            <w:r w:rsidRPr="00D82740">
              <w:rPr>
                <w:rFonts w:asciiTheme="minorEastAsia" w:eastAsiaTheme="minorEastAsia" w:hAnsiTheme="minorEastAsia"/>
                <w:color w:val="000000"/>
                <w:sz w:val="24"/>
                <w:szCs w:val="24"/>
              </w:rPr>
              <w:t>暂停大额申购的原因说明</w:t>
            </w:r>
          </w:p>
        </w:tc>
        <w:tc>
          <w:tcPr>
            <w:tcW w:w="2967" w:type="dxa"/>
          </w:tcPr>
          <w:p w:rsidR="00D27BD1" w:rsidRPr="00D82740" w:rsidRDefault="00D27BD1" w:rsidP="00D0140F">
            <w:pPr>
              <w:spacing w:line="560" w:lineRule="exact"/>
              <w:rPr>
                <w:rFonts w:asciiTheme="minorEastAsia" w:eastAsiaTheme="minorEastAsia" w:hAnsiTheme="minorEastAsia"/>
                <w:sz w:val="24"/>
                <w:szCs w:val="24"/>
              </w:rPr>
            </w:pPr>
            <w:r w:rsidRPr="00D82740">
              <w:rPr>
                <w:rFonts w:asciiTheme="minorEastAsia" w:eastAsiaTheme="minorEastAsia" w:hAnsiTheme="minorEastAsia"/>
                <w:sz w:val="24"/>
                <w:szCs w:val="24"/>
              </w:rPr>
              <w:t>保护基金份额持有人利益</w:t>
            </w:r>
            <w:r w:rsidR="00D0140F" w:rsidRPr="00D82740" w:rsidDel="00D0140F">
              <w:rPr>
                <w:rFonts w:asciiTheme="minorEastAsia" w:eastAsiaTheme="minorEastAsia" w:hAnsiTheme="minorEastAsia"/>
                <w:sz w:val="24"/>
                <w:szCs w:val="24"/>
              </w:rPr>
              <w:t xml:space="preserve"> </w:t>
            </w:r>
          </w:p>
        </w:tc>
      </w:tr>
    </w:tbl>
    <w:p w:rsidR="00D327FA" w:rsidRPr="00D82740" w:rsidRDefault="00D327FA" w:rsidP="00D327FA">
      <w:pPr>
        <w:pStyle w:val="2"/>
        <w:spacing w:line="560" w:lineRule="exact"/>
        <w:rPr>
          <w:rFonts w:asciiTheme="minorEastAsia" w:eastAsiaTheme="minorEastAsia" w:hAnsiTheme="minorEastAsia"/>
          <w:bCs w:val="0"/>
          <w:color w:val="000000"/>
          <w:sz w:val="24"/>
          <w:szCs w:val="24"/>
        </w:rPr>
      </w:pPr>
      <w:bookmarkStart w:id="2" w:name="_Toc275961406"/>
      <w:r w:rsidRPr="00D82740">
        <w:rPr>
          <w:rFonts w:asciiTheme="minorEastAsia" w:eastAsiaTheme="minorEastAsia" w:hAnsiTheme="minorEastAsia"/>
          <w:bCs w:val="0"/>
          <w:color w:val="000000"/>
          <w:sz w:val="24"/>
          <w:szCs w:val="24"/>
        </w:rPr>
        <w:t>2其他需要提示的事项</w:t>
      </w:r>
      <w:bookmarkEnd w:id="2"/>
    </w:p>
    <w:p w:rsidR="00F3719D" w:rsidRPr="00EB7277" w:rsidRDefault="00F3719D">
      <w:pPr>
        <w:spacing w:line="560" w:lineRule="exact"/>
        <w:ind w:firstLine="420"/>
        <w:rPr>
          <w:rFonts w:asciiTheme="minorEastAsia" w:eastAsiaTheme="minorEastAsia" w:hAnsiTheme="minorEastAsia"/>
          <w:b/>
          <w:sz w:val="24"/>
          <w:szCs w:val="24"/>
        </w:rPr>
      </w:pPr>
      <w:r w:rsidRPr="00EB7277">
        <w:rPr>
          <w:rFonts w:asciiTheme="minorEastAsia" w:eastAsiaTheme="minorEastAsia" w:hAnsiTheme="minorEastAsia" w:hint="eastAsia"/>
          <w:b/>
          <w:sz w:val="24"/>
          <w:szCs w:val="24"/>
        </w:rPr>
        <w:t>本基金不向个人投资者公开销售。</w:t>
      </w:r>
    </w:p>
    <w:p w:rsidR="00CC7FCD" w:rsidRDefault="00CC7FCD" w:rsidP="00CC7FCD">
      <w:pPr>
        <w:spacing w:line="560" w:lineRule="exact"/>
        <w:ind w:firstLine="420"/>
        <w:rPr>
          <w:rFonts w:asciiTheme="minorEastAsia" w:eastAsiaTheme="minorEastAsia" w:hAnsiTheme="minorEastAsia"/>
          <w:sz w:val="24"/>
          <w:szCs w:val="24"/>
        </w:rPr>
      </w:pPr>
      <w:r w:rsidRPr="00690B65">
        <w:rPr>
          <w:rFonts w:asciiTheme="minorEastAsia" w:eastAsiaTheme="minorEastAsia" w:hAnsiTheme="minorEastAsia" w:hint="eastAsia"/>
          <w:sz w:val="24"/>
          <w:szCs w:val="24"/>
        </w:rPr>
        <w:t>自</w:t>
      </w:r>
      <w:r>
        <w:rPr>
          <w:rFonts w:asciiTheme="minorEastAsia" w:eastAsiaTheme="minorEastAsia" w:hAnsiTheme="minorEastAsia" w:hint="eastAsia"/>
          <w:sz w:val="24"/>
          <w:szCs w:val="24"/>
        </w:rPr>
        <w:t>2</w:t>
      </w:r>
      <w:r>
        <w:rPr>
          <w:rFonts w:asciiTheme="minorEastAsia" w:eastAsiaTheme="minorEastAsia" w:hAnsiTheme="minorEastAsia"/>
          <w:sz w:val="24"/>
          <w:szCs w:val="24"/>
        </w:rPr>
        <w:t>021</w:t>
      </w:r>
      <w:r w:rsidRPr="00690B65">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8月19日起</w:t>
      </w:r>
      <w:r>
        <w:rPr>
          <w:rFonts w:asciiTheme="minorEastAsia" w:eastAsiaTheme="minorEastAsia" w:hAnsiTheme="minorEastAsia"/>
          <w:sz w:val="24"/>
          <w:szCs w:val="24"/>
        </w:rPr>
        <w:t>，本基金暂停接受单日单个基金账户单笔或累计超过</w:t>
      </w:r>
      <w:r>
        <w:rPr>
          <w:rFonts w:asciiTheme="minorEastAsia" w:eastAsiaTheme="minorEastAsia" w:hAnsiTheme="minorEastAsia" w:hint="eastAsia"/>
          <w:sz w:val="24"/>
          <w:szCs w:val="24"/>
        </w:rPr>
        <w:t>10万</w:t>
      </w:r>
      <w:r>
        <w:rPr>
          <w:rFonts w:asciiTheme="minorEastAsia" w:eastAsiaTheme="minorEastAsia" w:hAnsiTheme="minorEastAsia"/>
          <w:sz w:val="24"/>
          <w:szCs w:val="24"/>
        </w:rPr>
        <w:t>元（</w:t>
      </w:r>
      <w:r w:rsidR="00C517CA">
        <w:rPr>
          <w:rFonts w:asciiTheme="minorEastAsia" w:eastAsiaTheme="minorEastAsia" w:hAnsiTheme="minorEastAsia" w:hint="eastAsia"/>
          <w:sz w:val="24"/>
          <w:szCs w:val="24"/>
        </w:rPr>
        <w:t>不</w:t>
      </w:r>
      <w:r>
        <w:rPr>
          <w:rFonts w:asciiTheme="minorEastAsia" w:eastAsiaTheme="minorEastAsia" w:hAnsiTheme="minorEastAsia"/>
          <w:sz w:val="24"/>
          <w:szCs w:val="24"/>
        </w:rPr>
        <w:t>含</w:t>
      </w:r>
      <w:r>
        <w:rPr>
          <w:rFonts w:asciiTheme="minorEastAsia" w:eastAsiaTheme="minorEastAsia" w:hAnsiTheme="minorEastAsia" w:hint="eastAsia"/>
          <w:sz w:val="24"/>
          <w:szCs w:val="24"/>
        </w:rPr>
        <w:t>10万</w:t>
      </w:r>
      <w:r>
        <w:rPr>
          <w:rFonts w:asciiTheme="minorEastAsia" w:eastAsiaTheme="minorEastAsia" w:hAnsiTheme="minorEastAsia"/>
          <w:sz w:val="24"/>
          <w:szCs w:val="24"/>
        </w:rPr>
        <w:t>元）的申购申请。如单日单个基金账户单笔申购本基金的金额超过</w:t>
      </w:r>
      <w:r>
        <w:rPr>
          <w:rFonts w:asciiTheme="minorEastAsia" w:eastAsiaTheme="minorEastAsia" w:hAnsiTheme="minorEastAsia" w:hint="eastAsia"/>
          <w:sz w:val="24"/>
          <w:szCs w:val="24"/>
        </w:rPr>
        <w:t>10万</w:t>
      </w:r>
      <w:r>
        <w:rPr>
          <w:rFonts w:asciiTheme="minorEastAsia" w:eastAsiaTheme="minorEastAsia" w:hAnsiTheme="minorEastAsia"/>
          <w:sz w:val="24"/>
          <w:szCs w:val="24"/>
        </w:rPr>
        <w:t>元（</w:t>
      </w:r>
      <w:r w:rsidR="00C517CA">
        <w:rPr>
          <w:rFonts w:asciiTheme="minorEastAsia" w:eastAsiaTheme="minorEastAsia" w:hAnsiTheme="minorEastAsia" w:hint="eastAsia"/>
          <w:sz w:val="24"/>
          <w:szCs w:val="24"/>
        </w:rPr>
        <w:t>不</w:t>
      </w:r>
      <w:r w:rsidR="00C517CA">
        <w:rPr>
          <w:rFonts w:asciiTheme="minorEastAsia" w:eastAsiaTheme="minorEastAsia" w:hAnsiTheme="minorEastAsia"/>
          <w:sz w:val="24"/>
          <w:szCs w:val="24"/>
        </w:rPr>
        <w:t>含</w:t>
      </w:r>
      <w:r>
        <w:rPr>
          <w:rFonts w:asciiTheme="minorEastAsia" w:eastAsiaTheme="minorEastAsia" w:hAnsiTheme="minorEastAsia" w:hint="eastAsia"/>
          <w:sz w:val="24"/>
          <w:szCs w:val="24"/>
        </w:rPr>
        <w:t>10万</w:t>
      </w:r>
      <w:r>
        <w:rPr>
          <w:rFonts w:asciiTheme="minorEastAsia" w:eastAsiaTheme="minorEastAsia" w:hAnsiTheme="minorEastAsia"/>
          <w:sz w:val="24"/>
          <w:szCs w:val="24"/>
        </w:rPr>
        <w:t>元），对该笔申购申请本公司有权拒绝；如单日单个基金账户多笔累计申购本基金的金额超过</w:t>
      </w:r>
      <w:r>
        <w:rPr>
          <w:rFonts w:asciiTheme="minorEastAsia" w:eastAsiaTheme="minorEastAsia" w:hAnsiTheme="minorEastAsia" w:hint="eastAsia"/>
          <w:sz w:val="24"/>
          <w:szCs w:val="24"/>
        </w:rPr>
        <w:t>10万</w:t>
      </w:r>
      <w:r>
        <w:rPr>
          <w:rFonts w:asciiTheme="minorEastAsia" w:eastAsiaTheme="minorEastAsia" w:hAnsiTheme="minorEastAsia"/>
          <w:sz w:val="24"/>
          <w:szCs w:val="24"/>
        </w:rPr>
        <w:t>元（</w:t>
      </w:r>
      <w:r w:rsidR="00C517CA">
        <w:rPr>
          <w:rFonts w:asciiTheme="minorEastAsia" w:eastAsiaTheme="minorEastAsia" w:hAnsiTheme="minorEastAsia" w:hint="eastAsia"/>
          <w:sz w:val="24"/>
          <w:szCs w:val="24"/>
        </w:rPr>
        <w:t>不</w:t>
      </w:r>
      <w:r w:rsidR="00C517CA">
        <w:rPr>
          <w:rFonts w:asciiTheme="minorEastAsia" w:eastAsiaTheme="minorEastAsia" w:hAnsiTheme="minorEastAsia"/>
          <w:sz w:val="24"/>
          <w:szCs w:val="24"/>
        </w:rPr>
        <w:t>含</w:t>
      </w:r>
      <w:r>
        <w:rPr>
          <w:rFonts w:asciiTheme="minorEastAsia" w:eastAsiaTheme="minorEastAsia" w:hAnsiTheme="minorEastAsia" w:hint="eastAsia"/>
          <w:sz w:val="24"/>
          <w:szCs w:val="24"/>
        </w:rPr>
        <w:t>10万</w:t>
      </w:r>
      <w:r>
        <w:rPr>
          <w:rFonts w:asciiTheme="minorEastAsia" w:eastAsiaTheme="minorEastAsia" w:hAnsiTheme="minorEastAsia"/>
          <w:sz w:val="24"/>
          <w:szCs w:val="24"/>
        </w:rPr>
        <w:t>元），对超过限额的该笔或多笔申购申请本公司有权拒绝。</w:t>
      </w:r>
    </w:p>
    <w:p w:rsidR="00CC7FCD" w:rsidRDefault="00CC7FCD" w:rsidP="00CC7FCD">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lastRenderedPageBreak/>
        <w:t>在本基金暂停大额申购业务期间，本基金的赎回</w:t>
      </w:r>
      <w:r>
        <w:rPr>
          <w:rFonts w:asciiTheme="minorEastAsia" w:eastAsiaTheme="minorEastAsia" w:hAnsiTheme="minorEastAsia" w:hint="eastAsia"/>
          <w:sz w:val="24"/>
          <w:szCs w:val="24"/>
        </w:rPr>
        <w:t>等</w:t>
      </w:r>
      <w:r>
        <w:rPr>
          <w:rFonts w:asciiTheme="minorEastAsia" w:eastAsiaTheme="minorEastAsia" w:hAnsiTheme="minorEastAsia"/>
          <w:sz w:val="24"/>
          <w:szCs w:val="24"/>
        </w:rPr>
        <w:t>业务正常办理。</w:t>
      </w:r>
      <w:r w:rsidR="000D3187">
        <w:rPr>
          <w:rFonts w:asciiTheme="minorEastAsia" w:eastAsiaTheme="minorEastAsia" w:hAnsiTheme="minorEastAsia"/>
          <w:sz w:val="24"/>
          <w:szCs w:val="24"/>
        </w:rPr>
        <w:t>原</w:t>
      </w:r>
      <w:r w:rsidR="000D3187">
        <w:rPr>
          <w:rFonts w:asciiTheme="minorEastAsia" w:eastAsiaTheme="minorEastAsia" w:hAnsiTheme="minorEastAsia" w:hint="eastAsia"/>
          <w:sz w:val="24"/>
          <w:szCs w:val="24"/>
        </w:rPr>
        <w:t>2</w:t>
      </w:r>
      <w:r w:rsidR="000D3187">
        <w:rPr>
          <w:rFonts w:asciiTheme="minorEastAsia" w:eastAsiaTheme="minorEastAsia" w:hAnsiTheme="minorEastAsia"/>
          <w:sz w:val="24"/>
          <w:szCs w:val="24"/>
        </w:rPr>
        <w:t>021年</w:t>
      </w:r>
      <w:r w:rsidR="000D3187">
        <w:rPr>
          <w:rFonts w:asciiTheme="minorEastAsia" w:eastAsiaTheme="minorEastAsia" w:hAnsiTheme="minorEastAsia" w:hint="eastAsia"/>
          <w:sz w:val="24"/>
          <w:szCs w:val="24"/>
        </w:rPr>
        <w:t>3月1</w:t>
      </w:r>
      <w:r w:rsidR="000D3187">
        <w:rPr>
          <w:rFonts w:asciiTheme="minorEastAsia" w:eastAsiaTheme="minorEastAsia" w:hAnsiTheme="minorEastAsia"/>
          <w:sz w:val="24"/>
          <w:szCs w:val="24"/>
        </w:rPr>
        <w:t>0日</w:t>
      </w:r>
      <w:r w:rsidR="000D3187">
        <w:rPr>
          <w:rFonts w:asciiTheme="minorEastAsia" w:eastAsiaTheme="minorEastAsia" w:hAnsiTheme="minorEastAsia" w:hint="eastAsia"/>
          <w:sz w:val="24"/>
          <w:szCs w:val="24"/>
        </w:rPr>
        <w:t>基金管理人发布的</w:t>
      </w:r>
      <w:r w:rsidR="000D3187">
        <w:rPr>
          <w:rFonts w:asciiTheme="minorEastAsia" w:eastAsiaTheme="minorEastAsia" w:hAnsiTheme="minorEastAsia"/>
          <w:sz w:val="24"/>
          <w:szCs w:val="24"/>
        </w:rPr>
        <w:t>《</w:t>
      </w:r>
      <w:r w:rsidR="000D3187" w:rsidRPr="00FA5AF9">
        <w:rPr>
          <w:rFonts w:asciiTheme="minorEastAsia" w:eastAsiaTheme="minorEastAsia" w:hAnsiTheme="minorEastAsia"/>
          <w:sz w:val="24"/>
          <w:szCs w:val="24"/>
        </w:rPr>
        <w:t>关于中银丰荣定期开放债券型发起式证券投资基金暂停大额申购及转换转入业务的公告</w:t>
      </w:r>
      <w:r w:rsidR="000D3187">
        <w:rPr>
          <w:rFonts w:asciiTheme="minorEastAsia" w:eastAsiaTheme="minorEastAsia" w:hAnsiTheme="minorEastAsia"/>
          <w:sz w:val="24"/>
          <w:szCs w:val="24"/>
        </w:rPr>
        <w:t>》将不再执行。</w:t>
      </w:r>
      <w:r w:rsidRPr="00B93945">
        <w:rPr>
          <w:rFonts w:asciiTheme="minorEastAsia" w:eastAsiaTheme="minorEastAsia" w:hAnsiTheme="minorEastAsia" w:hint="eastAsia"/>
          <w:sz w:val="24"/>
          <w:szCs w:val="24"/>
        </w:rPr>
        <w:t>本基金恢复办理正常申购业务的具体时间，将另行公告。</w:t>
      </w:r>
    </w:p>
    <w:p w:rsidR="00E413B5" w:rsidRDefault="00F775D3">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投资者如欲了解详情，可登陆本公司网站（www.bocim.com）或拨打客户服务电话：400-888-5566；021-38834788。</w:t>
      </w:r>
    </w:p>
    <w:p w:rsidR="00E413B5" w:rsidRDefault="00F775D3">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 xml:space="preserve">风险提示： </w:t>
      </w:r>
    </w:p>
    <w:p w:rsidR="008A5152" w:rsidRDefault="008A5152" w:rsidP="008A5152">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基金管理人承诺依照诚实信用、勤勉尽职的原则管理和运用基金资产，但不保证基金一定盈利，也不保证最低收益</w:t>
      </w:r>
      <w:r>
        <w:rPr>
          <w:rFonts w:asciiTheme="minorEastAsia" w:eastAsiaTheme="minorEastAsia" w:hAnsiTheme="minorEastAsia" w:hint="eastAsia"/>
          <w:sz w:val="24"/>
          <w:szCs w:val="24"/>
        </w:rPr>
        <w:t>，</w:t>
      </w:r>
      <w:r w:rsidRPr="00B64819">
        <w:rPr>
          <w:rFonts w:asciiTheme="minorEastAsia" w:eastAsiaTheme="minorEastAsia" w:hAnsiTheme="minorEastAsia" w:hint="eastAsia"/>
          <w:sz w:val="24"/>
          <w:szCs w:val="24"/>
        </w:rPr>
        <w:t>在市场波动等因素的影响下，基金投资存在本金损失的风险</w:t>
      </w:r>
      <w:r>
        <w:rPr>
          <w:rFonts w:asciiTheme="minorEastAsia" w:eastAsiaTheme="minorEastAsia" w:hAnsiTheme="minorEastAsia"/>
          <w:sz w:val="24"/>
          <w:szCs w:val="24"/>
        </w:rPr>
        <w:t>。基金的过往业绩及其净值高低并不预示其未来业绩表现。基金管理人提醒投资者基金投资的“买者自负”原则，在做出投资决策后，基金运营状况与基金净值变化引致的投资风险，由投资者自行负担。</w:t>
      </w:r>
    </w:p>
    <w:p w:rsidR="008A5152" w:rsidRDefault="0047164D" w:rsidP="008A5152">
      <w:pPr>
        <w:spacing w:line="560" w:lineRule="exact"/>
        <w:ind w:firstLine="420"/>
        <w:rPr>
          <w:rFonts w:asciiTheme="minorEastAsia" w:eastAsiaTheme="minorEastAsia" w:hAnsiTheme="minorEastAsia"/>
          <w:sz w:val="24"/>
          <w:szCs w:val="24"/>
        </w:rPr>
      </w:pPr>
      <w:r w:rsidRPr="0047164D">
        <w:rPr>
          <w:rFonts w:asciiTheme="minorEastAsia" w:eastAsiaTheme="minorEastAsia" w:hAnsiTheme="minorEastAsia" w:hint="eastAsia"/>
          <w:sz w:val="24"/>
          <w:szCs w:val="24"/>
        </w:rPr>
        <w:t>本基金以定期开放方式进行运作，在非开放期间投资者不能进行申购、赎回。</w:t>
      </w:r>
      <w:r w:rsidR="008A5152">
        <w:rPr>
          <w:rFonts w:asciiTheme="minorEastAsia" w:eastAsiaTheme="minorEastAsia" w:hAnsiTheme="minorEastAsia"/>
          <w:sz w:val="24"/>
          <w:szCs w:val="24"/>
        </w:rPr>
        <w:t>投资者投资本基金前应认真阅读基金合同、招募说明书等法律文件，了解拟投资基金的风险收益特征，根据自身投资目的、投资期限、投资经验、资产状况等判断基金是否和投资者的风险承受能力相匹配</w:t>
      </w:r>
      <w:r w:rsidR="008A5152">
        <w:rPr>
          <w:rFonts w:asciiTheme="minorEastAsia" w:eastAsiaTheme="minorEastAsia" w:hAnsiTheme="minorEastAsia" w:hint="eastAsia"/>
          <w:sz w:val="24"/>
          <w:szCs w:val="24"/>
        </w:rPr>
        <w:t>，</w:t>
      </w:r>
      <w:r w:rsidR="008A5152" w:rsidRPr="00B64819">
        <w:rPr>
          <w:rFonts w:asciiTheme="minorEastAsia" w:eastAsiaTheme="minorEastAsia" w:hAnsiTheme="minorEastAsia" w:hint="eastAsia"/>
          <w:sz w:val="24"/>
          <w:szCs w:val="24"/>
        </w:rPr>
        <w:t>并按照销售机构的要求完成风险承受能力与产品风险之间的匹配检验</w:t>
      </w:r>
      <w:r w:rsidR="008A5152">
        <w:rPr>
          <w:rFonts w:asciiTheme="minorEastAsia" w:eastAsiaTheme="minorEastAsia" w:hAnsiTheme="minorEastAsia"/>
          <w:sz w:val="24"/>
          <w:szCs w:val="24"/>
        </w:rPr>
        <w:t>。</w:t>
      </w:r>
    </w:p>
    <w:p w:rsidR="00E413B5" w:rsidRDefault="00F775D3">
      <w:pPr>
        <w:spacing w:line="560" w:lineRule="exact"/>
        <w:ind w:firstLine="420"/>
        <w:rPr>
          <w:rFonts w:asciiTheme="minorEastAsia" w:eastAsiaTheme="minorEastAsia" w:hAnsiTheme="minorEastAsia"/>
          <w:sz w:val="24"/>
          <w:szCs w:val="24"/>
        </w:rPr>
      </w:pPr>
      <w:r>
        <w:rPr>
          <w:rFonts w:asciiTheme="minorEastAsia" w:eastAsiaTheme="minorEastAsia" w:hAnsiTheme="minorEastAsia"/>
          <w:sz w:val="24"/>
          <w:szCs w:val="24"/>
        </w:rPr>
        <w:t>特此公告。</w:t>
      </w:r>
    </w:p>
    <w:p w:rsidR="006676C9" w:rsidRDefault="006676C9" w:rsidP="00E74A27">
      <w:pPr>
        <w:spacing w:line="560" w:lineRule="exact"/>
        <w:ind w:firstLine="420"/>
        <w:jc w:val="right"/>
        <w:rPr>
          <w:rFonts w:asciiTheme="minorEastAsia" w:eastAsiaTheme="minorEastAsia" w:hAnsiTheme="minorEastAsia"/>
          <w:sz w:val="24"/>
          <w:szCs w:val="24"/>
        </w:rPr>
      </w:pPr>
    </w:p>
    <w:p w:rsidR="00E413B5" w:rsidRDefault="00F775D3" w:rsidP="00E74A27">
      <w:pPr>
        <w:spacing w:line="560" w:lineRule="exact"/>
        <w:ind w:firstLine="420"/>
        <w:jc w:val="right"/>
        <w:rPr>
          <w:rFonts w:asciiTheme="minorEastAsia" w:eastAsiaTheme="minorEastAsia" w:hAnsiTheme="minorEastAsia"/>
          <w:sz w:val="24"/>
          <w:szCs w:val="24"/>
        </w:rPr>
      </w:pPr>
      <w:r>
        <w:rPr>
          <w:rFonts w:asciiTheme="minorEastAsia" w:eastAsiaTheme="minorEastAsia" w:hAnsiTheme="minorEastAsia"/>
          <w:sz w:val="24"/>
          <w:szCs w:val="24"/>
        </w:rPr>
        <w:t xml:space="preserve">中银基金管理有限公司 </w:t>
      </w:r>
    </w:p>
    <w:p w:rsidR="00364C2A" w:rsidRPr="00D82740" w:rsidRDefault="00273066" w:rsidP="00E74A27">
      <w:pPr>
        <w:spacing w:line="560" w:lineRule="exact"/>
        <w:ind w:firstLine="420"/>
        <w:jc w:val="right"/>
        <w:rPr>
          <w:rFonts w:asciiTheme="minorEastAsia" w:eastAsiaTheme="minorEastAsia" w:hAnsiTheme="minorEastAsia"/>
          <w:sz w:val="24"/>
          <w:szCs w:val="24"/>
        </w:rPr>
      </w:pPr>
      <w:r>
        <w:rPr>
          <w:rFonts w:asciiTheme="minorEastAsia" w:eastAsiaTheme="minorEastAsia" w:hAnsiTheme="minorEastAsia"/>
          <w:sz w:val="24"/>
          <w:szCs w:val="24"/>
        </w:rPr>
        <w:t>2021年</w:t>
      </w:r>
      <w:r w:rsidR="00F147A8">
        <w:rPr>
          <w:rFonts w:asciiTheme="minorEastAsia" w:eastAsiaTheme="minorEastAsia" w:hAnsiTheme="minorEastAsia" w:hint="eastAsia"/>
          <w:sz w:val="24"/>
          <w:szCs w:val="24"/>
        </w:rPr>
        <w:t>8月19日</w:t>
      </w:r>
    </w:p>
    <w:sectPr w:rsidR="00364C2A" w:rsidRPr="00D82740" w:rsidSect="00956B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297" w:rsidRDefault="00345297" w:rsidP="00D327FA">
      <w:r>
        <w:separator/>
      </w:r>
    </w:p>
  </w:endnote>
  <w:endnote w:type="continuationSeparator" w:id="0">
    <w:p w:rsidR="00345297" w:rsidRDefault="00345297" w:rsidP="00D327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roman"/>
    <w:pitch w:val="default"/>
    <w:sig w:usb0="00000000" w:usb1="0000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297" w:rsidRDefault="00345297" w:rsidP="00D327FA">
      <w:r>
        <w:separator/>
      </w:r>
    </w:p>
  </w:footnote>
  <w:footnote w:type="continuationSeparator" w:id="0">
    <w:p w:rsidR="00345297" w:rsidRDefault="00345297" w:rsidP="00D327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27FA"/>
    <w:rsid w:val="000020D6"/>
    <w:rsid w:val="00013E86"/>
    <w:rsid w:val="00014582"/>
    <w:rsid w:val="00020378"/>
    <w:rsid w:val="00041353"/>
    <w:rsid w:val="00041D74"/>
    <w:rsid w:val="000746EF"/>
    <w:rsid w:val="00082F4A"/>
    <w:rsid w:val="000A23A0"/>
    <w:rsid w:val="000A3F12"/>
    <w:rsid w:val="000A518D"/>
    <w:rsid w:val="000A6D90"/>
    <w:rsid w:val="000B3013"/>
    <w:rsid w:val="000B7199"/>
    <w:rsid w:val="000C4E69"/>
    <w:rsid w:val="000D3187"/>
    <w:rsid w:val="000E2B3D"/>
    <w:rsid w:val="000E4CBF"/>
    <w:rsid w:val="001061D9"/>
    <w:rsid w:val="001161A4"/>
    <w:rsid w:val="001169BB"/>
    <w:rsid w:val="00130844"/>
    <w:rsid w:val="00160DD4"/>
    <w:rsid w:val="00163276"/>
    <w:rsid w:val="00180DA3"/>
    <w:rsid w:val="00190157"/>
    <w:rsid w:val="001A3CA1"/>
    <w:rsid w:val="001B4F9F"/>
    <w:rsid w:val="001C0A65"/>
    <w:rsid w:val="001E2D2D"/>
    <w:rsid w:val="001E4CD3"/>
    <w:rsid w:val="00242857"/>
    <w:rsid w:val="00245724"/>
    <w:rsid w:val="00247DF5"/>
    <w:rsid w:val="00265B63"/>
    <w:rsid w:val="00273066"/>
    <w:rsid w:val="0028798D"/>
    <w:rsid w:val="002935EF"/>
    <w:rsid w:val="002956DE"/>
    <w:rsid w:val="00297148"/>
    <w:rsid w:val="002A465F"/>
    <w:rsid w:val="002C1211"/>
    <w:rsid w:val="002C300B"/>
    <w:rsid w:val="002C360B"/>
    <w:rsid w:val="002E14FD"/>
    <w:rsid w:val="002E26DF"/>
    <w:rsid w:val="002F7241"/>
    <w:rsid w:val="00317EC2"/>
    <w:rsid w:val="00327DA7"/>
    <w:rsid w:val="0033513C"/>
    <w:rsid w:val="00345297"/>
    <w:rsid w:val="003612CB"/>
    <w:rsid w:val="00366A78"/>
    <w:rsid w:val="0036784E"/>
    <w:rsid w:val="00386A1F"/>
    <w:rsid w:val="00392437"/>
    <w:rsid w:val="003A18FA"/>
    <w:rsid w:val="003B5E2D"/>
    <w:rsid w:val="00414F7D"/>
    <w:rsid w:val="004237B0"/>
    <w:rsid w:val="00442B4A"/>
    <w:rsid w:val="00444C43"/>
    <w:rsid w:val="0047164D"/>
    <w:rsid w:val="00473869"/>
    <w:rsid w:val="0048692B"/>
    <w:rsid w:val="004966BA"/>
    <w:rsid w:val="004A0F3B"/>
    <w:rsid w:val="004B2651"/>
    <w:rsid w:val="004D08B7"/>
    <w:rsid w:val="004D6346"/>
    <w:rsid w:val="004E1ABB"/>
    <w:rsid w:val="004E2421"/>
    <w:rsid w:val="004E37E5"/>
    <w:rsid w:val="004F0521"/>
    <w:rsid w:val="004F51E8"/>
    <w:rsid w:val="005051E9"/>
    <w:rsid w:val="00523123"/>
    <w:rsid w:val="005350AE"/>
    <w:rsid w:val="00540343"/>
    <w:rsid w:val="00556348"/>
    <w:rsid w:val="00560D3F"/>
    <w:rsid w:val="00564298"/>
    <w:rsid w:val="005C4FCC"/>
    <w:rsid w:val="005E7207"/>
    <w:rsid w:val="005F1AF0"/>
    <w:rsid w:val="006101E8"/>
    <w:rsid w:val="00614995"/>
    <w:rsid w:val="00642AC1"/>
    <w:rsid w:val="00646522"/>
    <w:rsid w:val="00650522"/>
    <w:rsid w:val="006676C9"/>
    <w:rsid w:val="00671529"/>
    <w:rsid w:val="006774E7"/>
    <w:rsid w:val="00685B38"/>
    <w:rsid w:val="006A4209"/>
    <w:rsid w:val="006D10B5"/>
    <w:rsid w:val="006D7122"/>
    <w:rsid w:val="006F1667"/>
    <w:rsid w:val="00710485"/>
    <w:rsid w:val="007202DA"/>
    <w:rsid w:val="00725538"/>
    <w:rsid w:val="0072778F"/>
    <w:rsid w:val="00727899"/>
    <w:rsid w:val="00734D3D"/>
    <w:rsid w:val="00753DDE"/>
    <w:rsid w:val="00770DB7"/>
    <w:rsid w:val="007B1D31"/>
    <w:rsid w:val="007B737B"/>
    <w:rsid w:val="007C1295"/>
    <w:rsid w:val="007C42D0"/>
    <w:rsid w:val="007D5886"/>
    <w:rsid w:val="007D5C4F"/>
    <w:rsid w:val="007F48D6"/>
    <w:rsid w:val="008079FE"/>
    <w:rsid w:val="0081164B"/>
    <w:rsid w:val="0082571C"/>
    <w:rsid w:val="00827D4A"/>
    <w:rsid w:val="0083445C"/>
    <w:rsid w:val="00841AFE"/>
    <w:rsid w:val="008472DB"/>
    <w:rsid w:val="00853A75"/>
    <w:rsid w:val="00855774"/>
    <w:rsid w:val="00862AF1"/>
    <w:rsid w:val="00875F57"/>
    <w:rsid w:val="00876EAC"/>
    <w:rsid w:val="008A5152"/>
    <w:rsid w:val="008B3DE1"/>
    <w:rsid w:val="008B4946"/>
    <w:rsid w:val="008C56A1"/>
    <w:rsid w:val="008C5AF1"/>
    <w:rsid w:val="008D1B90"/>
    <w:rsid w:val="008D3261"/>
    <w:rsid w:val="008D6018"/>
    <w:rsid w:val="008F225D"/>
    <w:rsid w:val="00903019"/>
    <w:rsid w:val="00905C60"/>
    <w:rsid w:val="00915A9D"/>
    <w:rsid w:val="00932FF1"/>
    <w:rsid w:val="0094190B"/>
    <w:rsid w:val="00956B0F"/>
    <w:rsid w:val="00963C6C"/>
    <w:rsid w:val="00980853"/>
    <w:rsid w:val="009A0B2E"/>
    <w:rsid w:val="009A0B67"/>
    <w:rsid w:val="009C5858"/>
    <w:rsid w:val="009D49E0"/>
    <w:rsid w:val="00A02B77"/>
    <w:rsid w:val="00A27298"/>
    <w:rsid w:val="00A309F1"/>
    <w:rsid w:val="00A516C4"/>
    <w:rsid w:val="00A52677"/>
    <w:rsid w:val="00A530B1"/>
    <w:rsid w:val="00A61680"/>
    <w:rsid w:val="00AA3A47"/>
    <w:rsid w:val="00AC2AB8"/>
    <w:rsid w:val="00AC50BF"/>
    <w:rsid w:val="00AF3328"/>
    <w:rsid w:val="00B101F7"/>
    <w:rsid w:val="00B12571"/>
    <w:rsid w:val="00B13229"/>
    <w:rsid w:val="00B243AE"/>
    <w:rsid w:val="00B3341F"/>
    <w:rsid w:val="00B33A3D"/>
    <w:rsid w:val="00B40A5A"/>
    <w:rsid w:val="00B5053A"/>
    <w:rsid w:val="00B52AD6"/>
    <w:rsid w:val="00B566C9"/>
    <w:rsid w:val="00B60D86"/>
    <w:rsid w:val="00B62C2E"/>
    <w:rsid w:val="00B91EB4"/>
    <w:rsid w:val="00B91FB9"/>
    <w:rsid w:val="00BA453E"/>
    <w:rsid w:val="00BA6967"/>
    <w:rsid w:val="00BB40E0"/>
    <w:rsid w:val="00BB42C8"/>
    <w:rsid w:val="00BB5217"/>
    <w:rsid w:val="00BB53B8"/>
    <w:rsid w:val="00BD601B"/>
    <w:rsid w:val="00BD6D93"/>
    <w:rsid w:val="00C50193"/>
    <w:rsid w:val="00C517CA"/>
    <w:rsid w:val="00C579B1"/>
    <w:rsid w:val="00C62550"/>
    <w:rsid w:val="00CC64D8"/>
    <w:rsid w:val="00CC7FCD"/>
    <w:rsid w:val="00CD1028"/>
    <w:rsid w:val="00CE241E"/>
    <w:rsid w:val="00D00228"/>
    <w:rsid w:val="00D0140F"/>
    <w:rsid w:val="00D100C9"/>
    <w:rsid w:val="00D114B7"/>
    <w:rsid w:val="00D217B5"/>
    <w:rsid w:val="00D27BD1"/>
    <w:rsid w:val="00D327FA"/>
    <w:rsid w:val="00D33E60"/>
    <w:rsid w:val="00D37CD5"/>
    <w:rsid w:val="00D70932"/>
    <w:rsid w:val="00D82740"/>
    <w:rsid w:val="00DB34A5"/>
    <w:rsid w:val="00DC1D4F"/>
    <w:rsid w:val="00DD66A8"/>
    <w:rsid w:val="00DD6CB8"/>
    <w:rsid w:val="00DD7497"/>
    <w:rsid w:val="00DE5E75"/>
    <w:rsid w:val="00E03E86"/>
    <w:rsid w:val="00E05F80"/>
    <w:rsid w:val="00E413B5"/>
    <w:rsid w:val="00E62D17"/>
    <w:rsid w:val="00E72255"/>
    <w:rsid w:val="00E730A9"/>
    <w:rsid w:val="00E74A27"/>
    <w:rsid w:val="00E77D74"/>
    <w:rsid w:val="00EA550A"/>
    <w:rsid w:val="00EB2F04"/>
    <w:rsid w:val="00EB7277"/>
    <w:rsid w:val="00EE1823"/>
    <w:rsid w:val="00EE260C"/>
    <w:rsid w:val="00F14414"/>
    <w:rsid w:val="00F147A8"/>
    <w:rsid w:val="00F3719D"/>
    <w:rsid w:val="00F5252D"/>
    <w:rsid w:val="00F603DC"/>
    <w:rsid w:val="00F61437"/>
    <w:rsid w:val="00F64447"/>
    <w:rsid w:val="00F65D4E"/>
    <w:rsid w:val="00F72DFA"/>
    <w:rsid w:val="00F775D3"/>
    <w:rsid w:val="00F814D5"/>
    <w:rsid w:val="00F875F9"/>
    <w:rsid w:val="00F95610"/>
    <w:rsid w:val="00FB4870"/>
    <w:rsid w:val="00FC2DFF"/>
    <w:rsid w:val="00FC2E1B"/>
    <w:rsid w:val="00FD4504"/>
    <w:rsid w:val="00FD542D"/>
    <w:rsid w:val="00FD7428"/>
    <w:rsid w:val="00FF6B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FA"/>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D327FA"/>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D327FA"/>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327FA"/>
    <w:rPr>
      <w:rFonts w:ascii="Times New Roman" w:eastAsia="宋体" w:hAnsi="Times New Roman" w:cs="Times New Roman"/>
      <w:b/>
      <w:bCs/>
      <w:kern w:val="44"/>
      <w:sz w:val="44"/>
      <w:szCs w:val="44"/>
    </w:rPr>
  </w:style>
  <w:style w:type="character" w:customStyle="1" w:styleId="2Char">
    <w:name w:val="标题 2 Char"/>
    <w:basedOn w:val="a0"/>
    <w:link w:val="2"/>
    <w:rsid w:val="00D327FA"/>
    <w:rPr>
      <w:rFonts w:ascii="Arial" w:eastAsia="黑体" w:hAnsi="Arial" w:cs="Times New Roman"/>
      <w:b/>
      <w:bCs/>
      <w:sz w:val="32"/>
      <w:szCs w:val="32"/>
    </w:rPr>
  </w:style>
  <w:style w:type="character" w:styleId="a3">
    <w:name w:val="footnote reference"/>
    <w:basedOn w:val="a0"/>
    <w:rsid w:val="00D327FA"/>
    <w:rPr>
      <w:vertAlign w:val="superscript"/>
    </w:rPr>
  </w:style>
  <w:style w:type="paragraph" w:styleId="a4">
    <w:name w:val="footnote text"/>
    <w:basedOn w:val="a"/>
    <w:link w:val="Char"/>
    <w:rsid w:val="00D327FA"/>
    <w:pPr>
      <w:snapToGrid w:val="0"/>
      <w:jc w:val="left"/>
    </w:pPr>
    <w:rPr>
      <w:rFonts w:eastAsia="宋体"/>
      <w:sz w:val="18"/>
    </w:rPr>
  </w:style>
  <w:style w:type="character" w:customStyle="1" w:styleId="Char">
    <w:name w:val="脚注文本 Char"/>
    <w:basedOn w:val="a0"/>
    <w:link w:val="a4"/>
    <w:rsid w:val="00D327FA"/>
    <w:rPr>
      <w:rFonts w:ascii="Times New Roman" w:eastAsia="宋体" w:hAnsi="Times New Roman" w:cs="Times New Roman"/>
      <w:sz w:val="18"/>
      <w:szCs w:val="20"/>
    </w:rPr>
  </w:style>
  <w:style w:type="paragraph" w:styleId="a5">
    <w:name w:val="Balloon Text"/>
    <w:basedOn w:val="a"/>
    <w:link w:val="Char0"/>
    <w:uiPriority w:val="99"/>
    <w:semiHidden/>
    <w:unhideWhenUsed/>
    <w:rsid w:val="00F64447"/>
    <w:rPr>
      <w:sz w:val="18"/>
      <w:szCs w:val="18"/>
    </w:rPr>
  </w:style>
  <w:style w:type="character" w:customStyle="1" w:styleId="Char0">
    <w:name w:val="批注框文本 Char"/>
    <w:basedOn w:val="a0"/>
    <w:link w:val="a5"/>
    <w:uiPriority w:val="99"/>
    <w:semiHidden/>
    <w:rsid w:val="00F64447"/>
    <w:rPr>
      <w:rFonts w:ascii="Times New Roman" w:eastAsia="方正仿宋简体" w:hAnsi="Times New Roman" w:cs="Times New Roman"/>
      <w:sz w:val="18"/>
      <w:szCs w:val="18"/>
    </w:rPr>
  </w:style>
  <w:style w:type="paragraph" w:styleId="a6">
    <w:name w:val="header"/>
    <w:basedOn w:val="a"/>
    <w:link w:val="Char1"/>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B101F7"/>
    <w:rPr>
      <w:rFonts w:ascii="Times New Roman" w:eastAsia="方正仿宋简体" w:hAnsi="Times New Roman" w:cs="Times New Roman"/>
      <w:sz w:val="18"/>
      <w:szCs w:val="18"/>
    </w:rPr>
  </w:style>
  <w:style w:type="paragraph" w:styleId="a7">
    <w:name w:val="footer"/>
    <w:basedOn w:val="a"/>
    <w:link w:val="Char2"/>
    <w:uiPriority w:val="99"/>
    <w:unhideWhenUsed/>
    <w:rsid w:val="00B101F7"/>
    <w:pPr>
      <w:tabs>
        <w:tab w:val="center" w:pos="4153"/>
        <w:tab w:val="right" w:pos="8306"/>
      </w:tabs>
      <w:snapToGrid w:val="0"/>
      <w:jc w:val="left"/>
    </w:pPr>
    <w:rPr>
      <w:sz w:val="18"/>
      <w:szCs w:val="18"/>
    </w:rPr>
  </w:style>
  <w:style w:type="character" w:customStyle="1" w:styleId="Char2">
    <w:name w:val="页脚 Char"/>
    <w:basedOn w:val="a0"/>
    <w:link w:val="a7"/>
    <w:uiPriority w:val="99"/>
    <w:rsid w:val="00B101F7"/>
    <w:rPr>
      <w:rFonts w:ascii="Times New Roman" w:eastAsia="方正仿宋简体" w:hAnsi="Times New Roman" w:cs="Times New Roman"/>
      <w:sz w:val="18"/>
      <w:szCs w:val="18"/>
    </w:rPr>
  </w:style>
  <w:style w:type="character" w:styleId="a8">
    <w:name w:val="annotation reference"/>
    <w:basedOn w:val="a0"/>
    <w:uiPriority w:val="99"/>
    <w:semiHidden/>
    <w:unhideWhenUsed/>
    <w:rsid w:val="00D37CD5"/>
    <w:rPr>
      <w:sz w:val="21"/>
      <w:szCs w:val="21"/>
    </w:rPr>
  </w:style>
  <w:style w:type="paragraph" w:styleId="a9">
    <w:name w:val="annotation text"/>
    <w:basedOn w:val="a"/>
    <w:link w:val="Char3"/>
    <w:uiPriority w:val="99"/>
    <w:semiHidden/>
    <w:unhideWhenUsed/>
    <w:rsid w:val="00D37CD5"/>
    <w:pPr>
      <w:jc w:val="left"/>
    </w:pPr>
  </w:style>
  <w:style w:type="character" w:customStyle="1" w:styleId="Char3">
    <w:name w:val="批注文字 Char"/>
    <w:basedOn w:val="a0"/>
    <w:link w:val="a9"/>
    <w:uiPriority w:val="99"/>
    <w:semiHidden/>
    <w:rsid w:val="00D37CD5"/>
    <w:rPr>
      <w:rFonts w:ascii="Times New Roman" w:eastAsia="方正仿宋简体" w:hAnsi="Times New Roman" w:cs="Times New Roman"/>
      <w:sz w:val="32"/>
      <w:szCs w:val="20"/>
    </w:rPr>
  </w:style>
  <w:style w:type="paragraph" w:styleId="aa">
    <w:name w:val="annotation subject"/>
    <w:basedOn w:val="a9"/>
    <w:next w:val="a9"/>
    <w:link w:val="Char4"/>
    <w:uiPriority w:val="99"/>
    <w:semiHidden/>
    <w:unhideWhenUsed/>
    <w:rsid w:val="00D37CD5"/>
    <w:rPr>
      <w:b/>
      <w:bCs/>
    </w:rPr>
  </w:style>
  <w:style w:type="character" w:customStyle="1" w:styleId="Char4">
    <w:name w:val="批注主题 Char"/>
    <w:basedOn w:val="Char3"/>
    <w:link w:val="aa"/>
    <w:uiPriority w:val="99"/>
    <w:semiHidden/>
    <w:rsid w:val="00D37CD5"/>
    <w:rPr>
      <w:rFonts w:ascii="Times New Roman" w:eastAsia="方正仿宋简体" w:hAnsi="Times New Roman" w:cs="Times New Roman"/>
      <w:b/>
      <w:bCs/>
      <w:sz w:val="32"/>
      <w:szCs w:val="20"/>
    </w:rPr>
  </w:style>
  <w:style w:type="paragraph" w:styleId="ab">
    <w:name w:val="Revision"/>
    <w:hidden/>
    <w:uiPriority w:val="99"/>
    <w:semiHidden/>
    <w:rsid w:val="006676C9"/>
    <w:rPr>
      <w:rFonts w:ascii="Times New Roman" w:eastAsia="方正仿宋简体" w:hAnsi="Times New Roman" w:cs="Times New Roman"/>
      <w:sz w:val="32"/>
      <w:szCs w:val="20"/>
    </w:rPr>
  </w:style>
  <w:style w:type="character" w:customStyle="1" w:styleId="fontstyle01">
    <w:name w:val="fontstyle01"/>
    <w:basedOn w:val="a0"/>
    <w:rsid w:val="000D3187"/>
    <w:rPr>
      <w:rFonts w:ascii="宋体" w:eastAsia="宋体" w:hAnsi="宋体" w:hint="eastAsia"/>
      <w:b w:val="0"/>
      <w:bCs w:val="0"/>
      <w:i w:val="0"/>
      <w:iCs w:val="0"/>
      <w:color w:val="000000"/>
      <w:sz w:val="30"/>
      <w:szCs w:val="30"/>
    </w:rPr>
  </w:style>
</w:styles>
</file>

<file path=word/webSettings.xml><?xml version="1.0" encoding="utf-8"?>
<w:webSettings xmlns:r="http://schemas.openxmlformats.org/officeDocument/2006/relationships" xmlns:w="http://schemas.openxmlformats.org/wordprocessingml/2006/main">
  <w:divs>
    <w:div w:id="654139910">
      <w:bodyDiv w:val="1"/>
      <w:marLeft w:val="0"/>
      <w:marRight w:val="0"/>
      <w:marTop w:val="0"/>
      <w:marBottom w:val="0"/>
      <w:divBdr>
        <w:top w:val="none" w:sz="0" w:space="0" w:color="auto"/>
        <w:left w:val="none" w:sz="0" w:space="0" w:color="auto"/>
        <w:bottom w:val="none" w:sz="0" w:space="0" w:color="auto"/>
        <w:right w:val="none" w:sz="0" w:space="0" w:color="auto"/>
      </w:divBdr>
    </w:div>
    <w:div w:id="1074739326">
      <w:bodyDiv w:val="1"/>
      <w:marLeft w:val="0"/>
      <w:marRight w:val="0"/>
      <w:marTop w:val="0"/>
      <w:marBottom w:val="0"/>
      <w:divBdr>
        <w:top w:val="none" w:sz="0" w:space="0" w:color="auto"/>
        <w:left w:val="none" w:sz="0" w:space="0" w:color="auto"/>
        <w:bottom w:val="none" w:sz="0" w:space="0" w:color="auto"/>
        <w:right w:val="none" w:sz="0" w:space="0" w:color="auto"/>
      </w:divBdr>
    </w:div>
    <w:div w:id="1323505555">
      <w:bodyDiv w:val="1"/>
      <w:marLeft w:val="0"/>
      <w:marRight w:val="0"/>
      <w:marTop w:val="0"/>
      <w:marBottom w:val="0"/>
      <w:divBdr>
        <w:top w:val="none" w:sz="0" w:space="0" w:color="auto"/>
        <w:left w:val="none" w:sz="0" w:space="0" w:color="auto"/>
        <w:bottom w:val="none" w:sz="0" w:space="0" w:color="auto"/>
        <w:right w:val="none" w:sz="0" w:space="0" w:color="auto"/>
      </w:divBdr>
    </w:div>
    <w:div w:id="133629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416B2-AC53-4D1C-9E79-B0002EF6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Words>
  <Characters>894</Characters>
  <Application>Microsoft Office Word</Application>
  <DocSecurity>4</DocSecurity>
  <Lines>7</Lines>
  <Paragraphs>2</Paragraphs>
  <ScaleCrop>false</ScaleCrop>
  <Company>微软中国</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2021-08-18T16:19:00Z</dcterms:created>
  <dcterms:modified xsi:type="dcterms:W3CDTF">2021-08-18T16:19:00Z</dcterms:modified>
</cp:coreProperties>
</file>