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3F" w:rsidRPr="00BC30D3" w:rsidRDefault="00F61E5B" w:rsidP="00644775">
      <w:pPr>
        <w:spacing w:line="500" w:lineRule="exact"/>
        <w:jc w:val="center"/>
        <w:rPr>
          <w:rFonts w:ascii="黑体" w:eastAsia="黑体" w:hAnsi="黑体"/>
          <w:sz w:val="30"/>
          <w:szCs w:val="30"/>
        </w:rPr>
      </w:pPr>
      <w:r w:rsidRPr="00BC30D3">
        <w:rPr>
          <w:rFonts w:ascii="黑体" w:eastAsia="黑体" w:hAnsi="黑体" w:hint="eastAsia"/>
          <w:sz w:val="30"/>
          <w:szCs w:val="30"/>
        </w:rPr>
        <w:t>申万菱信基金管理有限公司</w:t>
      </w:r>
    </w:p>
    <w:p w:rsidR="001A0768" w:rsidRDefault="000363D4" w:rsidP="002856FC">
      <w:pPr>
        <w:spacing w:afterLines="50" w:line="500" w:lineRule="exact"/>
        <w:jc w:val="center"/>
        <w:rPr>
          <w:rFonts w:ascii="黑体" w:eastAsia="黑体" w:hAnsi="黑体"/>
          <w:sz w:val="30"/>
          <w:szCs w:val="30"/>
        </w:rPr>
      </w:pPr>
      <w:r w:rsidRPr="00BC30D3">
        <w:rPr>
          <w:rFonts w:ascii="黑体" w:eastAsia="黑体" w:hAnsi="黑体" w:hint="eastAsia"/>
          <w:sz w:val="30"/>
          <w:szCs w:val="30"/>
        </w:rPr>
        <w:t>关于</w:t>
      </w:r>
      <w:r w:rsidR="00020BCE" w:rsidRPr="00BC30D3">
        <w:rPr>
          <w:rFonts w:ascii="黑体" w:eastAsia="黑体" w:hAnsi="黑体" w:hint="eastAsia"/>
          <w:sz w:val="30"/>
          <w:szCs w:val="30"/>
        </w:rPr>
        <w:t>旗下</w:t>
      </w:r>
      <w:r w:rsidR="00BC30D3">
        <w:rPr>
          <w:rFonts w:ascii="黑体" w:eastAsia="黑体" w:hAnsi="黑体" w:hint="eastAsia"/>
          <w:sz w:val="30"/>
          <w:szCs w:val="30"/>
        </w:rPr>
        <w:t>部分基金</w:t>
      </w:r>
      <w:r w:rsidRPr="00BC30D3">
        <w:rPr>
          <w:rFonts w:ascii="黑体" w:eastAsia="黑体" w:hAnsi="黑体" w:hint="eastAsia"/>
          <w:sz w:val="30"/>
          <w:szCs w:val="30"/>
        </w:rPr>
        <w:t>新增</w:t>
      </w:r>
      <w:r w:rsidR="00EA3103">
        <w:rPr>
          <w:rFonts w:ascii="黑体" w:eastAsia="黑体" w:hAnsi="黑体" w:hint="eastAsia"/>
          <w:sz w:val="30"/>
          <w:szCs w:val="30"/>
        </w:rPr>
        <w:t>中信证券（华南）</w:t>
      </w:r>
      <w:r w:rsidR="00DD779A" w:rsidRPr="00BC30D3">
        <w:rPr>
          <w:rFonts w:ascii="黑体" w:eastAsia="黑体" w:hAnsi="黑体" w:hint="eastAsia"/>
          <w:sz w:val="30"/>
          <w:szCs w:val="30"/>
        </w:rPr>
        <w:t>为</w:t>
      </w:r>
      <w:r w:rsidRPr="00BC30D3">
        <w:rPr>
          <w:rFonts w:ascii="黑体" w:eastAsia="黑体" w:hAnsi="黑体" w:hint="eastAsia"/>
          <w:sz w:val="30"/>
          <w:szCs w:val="30"/>
        </w:rPr>
        <w:t>代销机构</w:t>
      </w:r>
      <w:r w:rsidR="00EA3103">
        <w:rPr>
          <w:rFonts w:ascii="黑体" w:eastAsia="黑体" w:hAnsi="黑体" w:hint="eastAsia"/>
          <w:sz w:val="30"/>
          <w:szCs w:val="30"/>
        </w:rPr>
        <w:t>及</w:t>
      </w:r>
      <w:r w:rsidR="00DD779A" w:rsidRPr="00BC30D3">
        <w:rPr>
          <w:rFonts w:ascii="黑体" w:eastAsia="黑体" w:hAnsi="黑体" w:hint="eastAsia"/>
          <w:sz w:val="30"/>
          <w:szCs w:val="30"/>
        </w:rPr>
        <w:t>开通</w:t>
      </w:r>
      <w:r w:rsidR="00D12695">
        <w:rPr>
          <w:rFonts w:ascii="黑体" w:eastAsia="黑体" w:hAnsi="黑体" w:hint="eastAsia"/>
          <w:sz w:val="30"/>
          <w:szCs w:val="30"/>
        </w:rPr>
        <w:t>相关</w:t>
      </w:r>
      <w:r w:rsidR="00DD779A" w:rsidRPr="00BC30D3">
        <w:rPr>
          <w:rFonts w:ascii="黑体" w:eastAsia="黑体" w:hAnsi="黑体" w:hint="eastAsia"/>
          <w:sz w:val="30"/>
          <w:szCs w:val="30"/>
        </w:rPr>
        <w:t>业务</w:t>
      </w:r>
      <w:r w:rsidRPr="00BC30D3">
        <w:rPr>
          <w:rFonts w:ascii="黑体" w:eastAsia="黑体" w:hAnsi="黑体" w:hint="eastAsia"/>
          <w:sz w:val="30"/>
          <w:szCs w:val="30"/>
        </w:rPr>
        <w:t>的公告</w:t>
      </w:r>
    </w:p>
    <w:p w:rsidR="00F61E5B" w:rsidRDefault="00D81D23" w:rsidP="00644775">
      <w:pPr>
        <w:spacing w:line="500" w:lineRule="exact"/>
        <w:ind w:firstLineChars="200" w:firstLine="480"/>
        <w:rPr>
          <w:rFonts w:ascii="宋体" w:eastAsia="宋体" w:hAnsi="宋体"/>
          <w:sz w:val="24"/>
          <w:szCs w:val="24"/>
        </w:rPr>
      </w:pPr>
      <w:r>
        <w:rPr>
          <w:rFonts w:ascii="宋体" w:eastAsia="宋体" w:hAnsi="宋体" w:hint="eastAsia"/>
          <w:sz w:val="24"/>
          <w:szCs w:val="24"/>
        </w:rPr>
        <w:t>为满足广大投资者的理财需求，经</w:t>
      </w:r>
      <w:r w:rsidR="001A0768" w:rsidRPr="00F61E5B">
        <w:rPr>
          <w:rFonts w:ascii="宋体" w:eastAsia="宋体" w:hAnsi="宋体" w:hint="eastAsia"/>
          <w:sz w:val="24"/>
          <w:szCs w:val="24"/>
        </w:rPr>
        <w:t>申万菱信基金管理有限公司（以下简称“本公司”）与</w:t>
      </w:r>
      <w:r w:rsidR="00EA3103" w:rsidRPr="00EA3103">
        <w:rPr>
          <w:rFonts w:ascii="宋体" w:eastAsia="宋体" w:hAnsi="宋体" w:hint="eastAsia"/>
          <w:sz w:val="24"/>
          <w:szCs w:val="24"/>
        </w:rPr>
        <w:t>中信证券华南股份有限公司</w:t>
      </w:r>
      <w:r w:rsidR="00516B84" w:rsidRPr="00516B84">
        <w:rPr>
          <w:rFonts w:ascii="宋体" w:eastAsia="宋体" w:hAnsi="宋体" w:hint="eastAsia"/>
          <w:sz w:val="24"/>
          <w:szCs w:val="24"/>
        </w:rPr>
        <w:t>（以下简称“</w:t>
      </w:r>
      <w:r w:rsidR="00EA3103" w:rsidRPr="00EA3103">
        <w:rPr>
          <w:rFonts w:ascii="宋体" w:eastAsia="宋体" w:hAnsi="宋体" w:hint="eastAsia"/>
          <w:sz w:val="24"/>
          <w:szCs w:val="24"/>
        </w:rPr>
        <w:t>中信证券（华南）</w:t>
      </w:r>
      <w:r w:rsidR="00516B84" w:rsidRPr="00516B84">
        <w:rPr>
          <w:rFonts w:ascii="宋体" w:eastAsia="宋体" w:hAnsi="宋体" w:hint="eastAsia"/>
          <w:sz w:val="24"/>
          <w:szCs w:val="24"/>
        </w:rPr>
        <w:t>”）协商一致</w:t>
      </w:r>
      <w:r w:rsidR="001A0768" w:rsidRPr="00F61E5B">
        <w:rPr>
          <w:rFonts w:ascii="宋体" w:eastAsia="宋体" w:hAnsi="宋体" w:hint="eastAsia"/>
          <w:sz w:val="24"/>
          <w:szCs w:val="24"/>
        </w:rPr>
        <w:t>，</w:t>
      </w:r>
      <w:r w:rsidR="00466A27" w:rsidRPr="00F61E5B">
        <w:rPr>
          <w:rFonts w:ascii="宋体" w:eastAsia="宋体" w:hAnsi="宋体" w:hint="eastAsia"/>
          <w:sz w:val="24"/>
          <w:szCs w:val="24"/>
        </w:rPr>
        <w:t>202</w:t>
      </w:r>
      <w:r w:rsidR="00F709CF">
        <w:rPr>
          <w:rFonts w:ascii="宋体" w:eastAsia="宋体" w:hAnsi="宋体"/>
          <w:sz w:val="24"/>
          <w:szCs w:val="24"/>
        </w:rPr>
        <w:t>1</w:t>
      </w:r>
      <w:r w:rsidR="00466A27" w:rsidRPr="00F61E5B">
        <w:rPr>
          <w:rFonts w:ascii="宋体" w:eastAsia="宋体" w:hAnsi="宋体" w:hint="eastAsia"/>
          <w:sz w:val="24"/>
          <w:szCs w:val="24"/>
        </w:rPr>
        <w:t>年</w:t>
      </w:r>
      <w:r w:rsidR="00410887">
        <w:rPr>
          <w:rFonts w:ascii="宋体" w:eastAsia="宋体" w:hAnsi="宋体"/>
          <w:sz w:val="24"/>
          <w:szCs w:val="24"/>
        </w:rPr>
        <w:t>8</w:t>
      </w:r>
      <w:r w:rsidR="001A0768" w:rsidRPr="00F61E5B">
        <w:rPr>
          <w:rFonts w:ascii="宋体" w:eastAsia="宋体" w:hAnsi="宋体" w:hint="eastAsia"/>
          <w:sz w:val="24"/>
          <w:szCs w:val="24"/>
        </w:rPr>
        <w:t>月</w:t>
      </w:r>
      <w:r w:rsidR="00EA3103">
        <w:rPr>
          <w:rFonts w:ascii="宋体" w:eastAsia="宋体" w:hAnsi="宋体"/>
          <w:sz w:val="24"/>
          <w:szCs w:val="24"/>
        </w:rPr>
        <w:t>18</w:t>
      </w:r>
      <w:r w:rsidR="001A0768" w:rsidRPr="00F61E5B">
        <w:rPr>
          <w:rFonts w:ascii="宋体" w:eastAsia="宋体" w:hAnsi="宋体" w:hint="eastAsia"/>
          <w:sz w:val="24"/>
          <w:szCs w:val="24"/>
        </w:rPr>
        <w:t>日起，</w:t>
      </w:r>
      <w:r w:rsidR="00DD779A">
        <w:rPr>
          <w:rFonts w:ascii="宋体" w:eastAsia="宋体" w:hAnsi="宋体" w:hint="eastAsia"/>
          <w:sz w:val="24"/>
          <w:szCs w:val="24"/>
        </w:rPr>
        <w:t>本公司旗下</w:t>
      </w:r>
      <w:r w:rsidR="00BC30D3">
        <w:rPr>
          <w:rFonts w:ascii="宋体" w:eastAsia="宋体" w:hAnsi="宋体" w:hint="eastAsia"/>
          <w:sz w:val="24"/>
          <w:szCs w:val="24"/>
        </w:rPr>
        <w:t>部分基金</w:t>
      </w:r>
      <w:r w:rsidR="00DD779A">
        <w:rPr>
          <w:rFonts w:ascii="宋体" w:eastAsia="宋体" w:hAnsi="宋体" w:hint="eastAsia"/>
          <w:sz w:val="24"/>
          <w:szCs w:val="24"/>
        </w:rPr>
        <w:t>新增</w:t>
      </w:r>
      <w:r w:rsidR="00EA3103" w:rsidRPr="00EA3103">
        <w:rPr>
          <w:rFonts w:ascii="宋体" w:eastAsia="宋体" w:hAnsi="宋体" w:hint="eastAsia"/>
          <w:sz w:val="24"/>
          <w:szCs w:val="24"/>
        </w:rPr>
        <w:t>中信证券（华南）</w:t>
      </w:r>
      <w:r w:rsidR="00DD779A">
        <w:rPr>
          <w:rFonts w:ascii="宋体" w:eastAsia="宋体" w:hAnsi="宋体" w:hint="eastAsia"/>
          <w:sz w:val="24"/>
          <w:szCs w:val="24"/>
        </w:rPr>
        <w:t>为代销机构</w:t>
      </w:r>
      <w:r w:rsidR="00D12695">
        <w:rPr>
          <w:rFonts w:ascii="宋体" w:eastAsia="宋体" w:hAnsi="宋体" w:hint="eastAsia"/>
          <w:sz w:val="24"/>
          <w:szCs w:val="24"/>
        </w:rPr>
        <w:t>，</w:t>
      </w:r>
      <w:r w:rsidR="00DD779A">
        <w:rPr>
          <w:rFonts w:ascii="宋体" w:eastAsia="宋体" w:hAnsi="宋体" w:hint="eastAsia"/>
          <w:sz w:val="24"/>
          <w:szCs w:val="24"/>
        </w:rPr>
        <w:t>开通</w:t>
      </w:r>
      <w:r w:rsidR="00EA3103">
        <w:rPr>
          <w:rFonts w:ascii="宋体" w:eastAsia="宋体" w:hAnsi="宋体" w:hint="eastAsia"/>
          <w:sz w:val="24"/>
          <w:szCs w:val="24"/>
        </w:rPr>
        <w:t>申购、赎回、定期定额投资和基金转换业务</w:t>
      </w:r>
      <w:r w:rsidR="00180E3F">
        <w:rPr>
          <w:rFonts w:ascii="宋体" w:eastAsia="宋体" w:hAnsi="宋体" w:hint="eastAsia"/>
          <w:sz w:val="24"/>
          <w:szCs w:val="24"/>
        </w:rPr>
        <w:t>。详情如下：</w:t>
      </w:r>
    </w:p>
    <w:p w:rsidR="007B3B41" w:rsidRPr="00EA3103" w:rsidRDefault="001A0768" w:rsidP="00644775">
      <w:pPr>
        <w:pStyle w:val="aa"/>
        <w:numPr>
          <w:ilvl w:val="0"/>
          <w:numId w:val="12"/>
        </w:numPr>
        <w:spacing w:line="500" w:lineRule="exact"/>
        <w:ind w:firstLineChars="0"/>
        <w:rPr>
          <w:rFonts w:ascii="宋体" w:eastAsia="宋体" w:hAnsi="宋体"/>
          <w:b/>
          <w:sz w:val="24"/>
          <w:szCs w:val="24"/>
        </w:rPr>
      </w:pPr>
      <w:r w:rsidRPr="00D03464">
        <w:rPr>
          <w:rFonts w:ascii="宋体" w:eastAsia="宋体" w:hAnsi="宋体" w:hint="eastAsia"/>
          <w:sz w:val="24"/>
          <w:szCs w:val="24"/>
        </w:rPr>
        <w:t>适用基金范围</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1276"/>
        <w:gridCol w:w="992"/>
      </w:tblGrid>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宋体" w:eastAsia="宋体" w:hAnsi="宋体" w:cs="Arial"/>
                <w:kern w:val="0"/>
                <w:sz w:val="20"/>
                <w:szCs w:val="20"/>
              </w:rPr>
            </w:pPr>
            <w:r w:rsidRPr="00EA3103">
              <w:rPr>
                <w:rFonts w:ascii="宋体" w:eastAsia="宋体" w:hAnsi="宋体" w:cs="Arial" w:hint="eastAsia"/>
                <w:kern w:val="0"/>
                <w:sz w:val="20"/>
                <w:szCs w:val="20"/>
              </w:rPr>
              <w:t>基金名称</w:t>
            </w:r>
          </w:p>
        </w:tc>
        <w:tc>
          <w:tcPr>
            <w:tcW w:w="1276" w:type="dxa"/>
            <w:shd w:val="clear" w:color="auto" w:fill="auto"/>
            <w:noWrap/>
            <w:vAlign w:val="bottom"/>
            <w:hideMark/>
          </w:tcPr>
          <w:p w:rsidR="00EA3103" w:rsidRPr="00EA3103" w:rsidRDefault="00EA3103" w:rsidP="00EA3103">
            <w:pPr>
              <w:widowControl/>
              <w:jc w:val="center"/>
              <w:rPr>
                <w:rFonts w:ascii="宋体" w:eastAsia="宋体" w:hAnsi="宋体" w:cs="Arial"/>
                <w:kern w:val="0"/>
                <w:sz w:val="20"/>
                <w:szCs w:val="20"/>
              </w:rPr>
            </w:pPr>
            <w:r w:rsidRPr="00EA3103">
              <w:rPr>
                <w:rFonts w:ascii="宋体" w:eastAsia="宋体" w:hAnsi="宋体" w:cs="Arial" w:hint="eastAsia"/>
                <w:kern w:val="0"/>
                <w:sz w:val="20"/>
                <w:szCs w:val="20"/>
              </w:rPr>
              <w:t>基金代码</w:t>
            </w:r>
          </w:p>
        </w:tc>
        <w:tc>
          <w:tcPr>
            <w:tcW w:w="992"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TA</w:t>
            </w:r>
            <w:r w:rsidRPr="00EA3103">
              <w:rPr>
                <w:rFonts w:ascii="宋体" w:eastAsia="宋体" w:hAnsi="宋体" w:cs="Arial" w:hint="eastAsia"/>
                <w:kern w:val="0"/>
                <w:sz w:val="20"/>
                <w:szCs w:val="20"/>
              </w:rPr>
              <w:t>类别</w:t>
            </w: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申万菱信安泰丰利债券型证券投资基金</w:t>
            </w:r>
            <w:r w:rsidRPr="00EA3103">
              <w:rPr>
                <w:rFonts w:ascii="Arial" w:eastAsia="宋体" w:hAnsi="Arial" w:cs="Arial"/>
                <w:kern w:val="0"/>
                <w:sz w:val="20"/>
                <w:szCs w:val="20"/>
              </w:rPr>
              <w:t>A</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007391</w:t>
            </w:r>
          </w:p>
        </w:tc>
        <w:tc>
          <w:tcPr>
            <w:tcW w:w="992" w:type="dxa"/>
            <w:vMerge w:val="restart"/>
            <w:shd w:val="clear" w:color="auto" w:fill="auto"/>
            <w:noWrap/>
            <w:vAlign w:val="center"/>
            <w:hideMark/>
          </w:tcPr>
          <w:p w:rsidR="00EA3103" w:rsidRPr="00EA3103" w:rsidRDefault="00EA3103" w:rsidP="00EA3103">
            <w:pPr>
              <w:widowControl/>
              <w:jc w:val="center"/>
              <w:rPr>
                <w:rFonts w:ascii="Segoe UI" w:eastAsia="宋体" w:hAnsi="Segoe UI" w:cs="Segoe UI"/>
                <w:color w:val="000000"/>
                <w:kern w:val="0"/>
                <w:sz w:val="18"/>
                <w:szCs w:val="18"/>
              </w:rPr>
            </w:pPr>
            <w:r>
              <w:rPr>
                <w:rFonts w:ascii="Segoe UI" w:eastAsia="宋体" w:hAnsi="Segoe UI" w:cs="Segoe UI" w:hint="eastAsia"/>
                <w:color w:val="000000"/>
                <w:kern w:val="0"/>
                <w:sz w:val="18"/>
                <w:szCs w:val="18"/>
              </w:rPr>
              <w:t>自建</w:t>
            </w:r>
            <w:r>
              <w:rPr>
                <w:rFonts w:ascii="Segoe UI" w:eastAsia="宋体" w:hAnsi="Segoe UI" w:cs="Segoe UI" w:hint="eastAsia"/>
                <w:color w:val="000000"/>
                <w:kern w:val="0"/>
                <w:sz w:val="18"/>
                <w:szCs w:val="18"/>
              </w:rPr>
              <w:t>TA</w:t>
            </w: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申万菱信安泰丰利债券型证券投资基金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007392</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申万菱信安泰瑞利中短债债券型证券投资基金</w:t>
            </w:r>
            <w:r w:rsidRPr="00EA3103">
              <w:rPr>
                <w:rFonts w:ascii="Arial" w:eastAsia="宋体" w:hAnsi="Arial" w:cs="Arial"/>
                <w:kern w:val="0"/>
                <w:sz w:val="20"/>
                <w:szCs w:val="20"/>
              </w:rPr>
              <w:t>A</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006609</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申万菱信安泰瑞利中短债债券型证券投资基金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007240</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申万菱信安鑫回报灵活配置混合型证券投资基金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001727</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申万菱信安鑫精选混合型证券投资基金</w:t>
            </w:r>
            <w:r w:rsidRPr="00EA3103">
              <w:rPr>
                <w:rFonts w:ascii="Arial" w:eastAsia="宋体" w:hAnsi="Arial" w:cs="Arial"/>
                <w:kern w:val="0"/>
                <w:sz w:val="20"/>
                <w:szCs w:val="20"/>
              </w:rPr>
              <w:t>A</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003601</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申万菱信安鑫精选混合型证券投资基金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003602</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申万菱信安鑫优选混合型证券投资基金</w:t>
            </w:r>
            <w:r w:rsidRPr="00EA3103">
              <w:rPr>
                <w:rFonts w:ascii="Arial" w:eastAsia="宋体" w:hAnsi="Arial" w:cs="Arial"/>
                <w:kern w:val="0"/>
                <w:sz w:val="20"/>
                <w:szCs w:val="20"/>
              </w:rPr>
              <w:t>A</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003493</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申万菱信安鑫优选混合型证券投资基金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003512</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申万菱信多策略灵活配置混合型证券投资基金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001724</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申万菱信行业轮动股票型证券投资基金</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005009</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申万菱信价值优先混合型证券投资基金</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004769</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申万菱信量化对冲策略灵活配置混合型发起式证券投资基金</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008895</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申万菱信智能驱动股票型证券投资基金</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005825</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申万菱信中证</w:t>
            </w:r>
            <w:r w:rsidRPr="00EA3103">
              <w:rPr>
                <w:rFonts w:ascii="Arial" w:eastAsia="宋体" w:hAnsi="Arial" w:cs="Arial"/>
                <w:kern w:val="0"/>
                <w:sz w:val="20"/>
                <w:szCs w:val="20"/>
              </w:rPr>
              <w:t>500</w:t>
            </w:r>
            <w:r w:rsidRPr="00EA3103">
              <w:rPr>
                <w:rFonts w:ascii="Arial" w:eastAsia="宋体" w:hAnsi="Arial" w:cs="Arial"/>
                <w:kern w:val="0"/>
                <w:sz w:val="20"/>
                <w:szCs w:val="20"/>
              </w:rPr>
              <w:t>指数优选增强型证券投资基金</w:t>
            </w:r>
            <w:r w:rsidRPr="00EA3103">
              <w:rPr>
                <w:rFonts w:ascii="Arial" w:eastAsia="宋体" w:hAnsi="Arial" w:cs="Arial"/>
                <w:kern w:val="0"/>
                <w:sz w:val="20"/>
                <w:szCs w:val="20"/>
              </w:rPr>
              <w:t>A</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003986</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申万菱信中证研发创新</w:t>
            </w:r>
            <w:r w:rsidRPr="00EA3103">
              <w:rPr>
                <w:rFonts w:ascii="Arial" w:eastAsia="宋体" w:hAnsi="Arial" w:cs="Arial"/>
                <w:kern w:val="0"/>
                <w:sz w:val="20"/>
                <w:szCs w:val="20"/>
              </w:rPr>
              <w:t>100</w:t>
            </w:r>
            <w:r w:rsidRPr="00EA3103">
              <w:rPr>
                <w:rFonts w:ascii="Arial" w:eastAsia="宋体" w:hAnsi="Arial" w:cs="Arial"/>
                <w:kern w:val="0"/>
                <w:sz w:val="20"/>
                <w:szCs w:val="20"/>
              </w:rPr>
              <w:t>交易型开放式指数证券投资基金联接基金</w:t>
            </w:r>
            <w:r w:rsidRPr="00EA3103">
              <w:rPr>
                <w:rFonts w:ascii="Arial" w:eastAsia="宋体" w:hAnsi="Arial" w:cs="Arial"/>
                <w:kern w:val="0"/>
                <w:sz w:val="20"/>
                <w:szCs w:val="20"/>
              </w:rPr>
              <w:t>A</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007983</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r w:rsidR="00EA3103" w:rsidRPr="00EA3103" w:rsidTr="00EA3103">
        <w:trPr>
          <w:trHeight w:val="255"/>
        </w:trPr>
        <w:tc>
          <w:tcPr>
            <w:tcW w:w="5949" w:type="dxa"/>
            <w:shd w:val="clear" w:color="auto" w:fill="auto"/>
            <w:noWrap/>
            <w:vAlign w:val="bottom"/>
            <w:hideMark/>
          </w:tcPr>
          <w:p w:rsidR="00EA3103" w:rsidRPr="00EA3103" w:rsidRDefault="00EA3103" w:rsidP="00EA3103">
            <w:pPr>
              <w:widowControl/>
              <w:jc w:val="center"/>
              <w:rPr>
                <w:rFonts w:ascii="Arial" w:eastAsia="宋体" w:hAnsi="Arial" w:cs="Arial"/>
                <w:kern w:val="0"/>
                <w:sz w:val="20"/>
                <w:szCs w:val="20"/>
              </w:rPr>
            </w:pPr>
            <w:r w:rsidRPr="00EA3103">
              <w:rPr>
                <w:rFonts w:ascii="Arial" w:eastAsia="宋体" w:hAnsi="Arial" w:cs="Arial"/>
                <w:kern w:val="0"/>
                <w:sz w:val="20"/>
                <w:szCs w:val="20"/>
              </w:rPr>
              <w:t>申万菱信中证研发创新</w:t>
            </w:r>
            <w:r w:rsidRPr="00EA3103">
              <w:rPr>
                <w:rFonts w:ascii="Arial" w:eastAsia="宋体" w:hAnsi="Arial" w:cs="Arial"/>
                <w:kern w:val="0"/>
                <w:sz w:val="20"/>
                <w:szCs w:val="20"/>
              </w:rPr>
              <w:t>100</w:t>
            </w:r>
            <w:r w:rsidRPr="00EA3103">
              <w:rPr>
                <w:rFonts w:ascii="Arial" w:eastAsia="宋体" w:hAnsi="Arial" w:cs="Arial"/>
                <w:kern w:val="0"/>
                <w:sz w:val="20"/>
                <w:szCs w:val="20"/>
              </w:rPr>
              <w:t>交易型开放式指数证券投资基金联接基金</w:t>
            </w:r>
            <w:r w:rsidRPr="00EA3103">
              <w:rPr>
                <w:rFonts w:ascii="Arial" w:eastAsia="宋体" w:hAnsi="Arial" w:cs="Arial"/>
                <w:kern w:val="0"/>
                <w:sz w:val="20"/>
                <w:szCs w:val="20"/>
              </w:rPr>
              <w:t>C</w:t>
            </w:r>
          </w:p>
        </w:tc>
        <w:tc>
          <w:tcPr>
            <w:tcW w:w="1276" w:type="dxa"/>
            <w:shd w:val="clear" w:color="auto" w:fill="auto"/>
            <w:noWrap/>
            <w:vAlign w:val="bottom"/>
            <w:hideMark/>
          </w:tcPr>
          <w:p w:rsidR="00EA3103" w:rsidRPr="00EA3103" w:rsidRDefault="00EA3103" w:rsidP="00EA3103">
            <w:pPr>
              <w:widowControl/>
              <w:jc w:val="center"/>
              <w:rPr>
                <w:rFonts w:ascii="Segoe UI" w:eastAsia="宋体" w:hAnsi="Segoe UI" w:cs="Segoe UI"/>
                <w:color w:val="000000"/>
                <w:kern w:val="0"/>
                <w:sz w:val="18"/>
                <w:szCs w:val="18"/>
              </w:rPr>
            </w:pPr>
            <w:r w:rsidRPr="00EA3103">
              <w:rPr>
                <w:rFonts w:ascii="Segoe UI" w:eastAsia="宋体" w:hAnsi="Segoe UI" w:cs="Segoe UI"/>
                <w:color w:val="000000"/>
                <w:kern w:val="0"/>
                <w:sz w:val="18"/>
                <w:szCs w:val="18"/>
              </w:rPr>
              <w:t>007984</w:t>
            </w:r>
          </w:p>
        </w:tc>
        <w:tc>
          <w:tcPr>
            <w:tcW w:w="992" w:type="dxa"/>
            <w:vMerge/>
            <w:shd w:val="clear" w:color="auto" w:fill="auto"/>
            <w:noWrap/>
            <w:vAlign w:val="bottom"/>
            <w:hideMark/>
          </w:tcPr>
          <w:p w:rsidR="00EA3103" w:rsidRPr="00EA3103" w:rsidRDefault="00EA3103" w:rsidP="00EA3103">
            <w:pPr>
              <w:widowControl/>
              <w:jc w:val="left"/>
              <w:rPr>
                <w:rFonts w:ascii="Segoe UI" w:eastAsia="宋体" w:hAnsi="Segoe UI" w:cs="Segoe UI"/>
                <w:color w:val="000000"/>
                <w:kern w:val="0"/>
                <w:sz w:val="18"/>
                <w:szCs w:val="18"/>
              </w:rPr>
            </w:pPr>
          </w:p>
        </w:tc>
      </w:tr>
    </w:tbl>
    <w:p w:rsidR="00F23E10" w:rsidRDefault="00F23E10" w:rsidP="00644775">
      <w:pPr>
        <w:spacing w:line="500" w:lineRule="exact"/>
        <w:ind w:firstLineChars="200" w:firstLine="480"/>
        <w:rPr>
          <w:rFonts w:ascii="宋体" w:eastAsia="宋体" w:hAnsi="宋体"/>
          <w:sz w:val="24"/>
          <w:szCs w:val="24"/>
        </w:rPr>
      </w:pPr>
      <w:r w:rsidRPr="0096388D">
        <w:rPr>
          <w:rFonts w:ascii="宋体" w:eastAsia="宋体" w:hAnsi="宋体" w:hint="eastAsia"/>
          <w:sz w:val="24"/>
          <w:szCs w:val="24"/>
        </w:rPr>
        <w:t>注：</w:t>
      </w:r>
      <w:r>
        <w:rPr>
          <w:rFonts w:ascii="宋体" w:eastAsia="宋体" w:hAnsi="宋体" w:hint="eastAsia"/>
          <w:sz w:val="24"/>
          <w:szCs w:val="24"/>
        </w:rPr>
        <w:t>本公司旗下自建TA基金与中登（“中登”为中国证券登记结算有限公司的简称）TA 基金之间及同一基金两类份额之间不能相互转换。</w:t>
      </w:r>
    </w:p>
    <w:p w:rsidR="007801C9" w:rsidRDefault="007801C9" w:rsidP="00644775">
      <w:pPr>
        <w:pStyle w:val="aa"/>
        <w:numPr>
          <w:ilvl w:val="0"/>
          <w:numId w:val="12"/>
        </w:numPr>
        <w:spacing w:line="500" w:lineRule="exact"/>
        <w:ind w:firstLineChars="0"/>
        <w:rPr>
          <w:rFonts w:ascii="宋体" w:eastAsia="宋体" w:hAnsi="宋体"/>
          <w:sz w:val="24"/>
          <w:szCs w:val="24"/>
        </w:rPr>
      </w:pPr>
      <w:r>
        <w:rPr>
          <w:rFonts w:ascii="宋体" w:eastAsia="宋体" w:hAnsi="宋体" w:hint="eastAsia"/>
          <w:sz w:val="24"/>
          <w:szCs w:val="24"/>
        </w:rPr>
        <w:t>重要提示</w:t>
      </w:r>
    </w:p>
    <w:p w:rsidR="007801C9" w:rsidRPr="007801C9" w:rsidRDefault="007801C9" w:rsidP="00644775">
      <w:pPr>
        <w:spacing w:line="500" w:lineRule="exact"/>
        <w:ind w:firstLineChars="200" w:firstLine="480"/>
        <w:rPr>
          <w:rFonts w:ascii="宋体" w:eastAsia="宋体" w:hAnsi="宋体"/>
          <w:sz w:val="24"/>
          <w:szCs w:val="24"/>
        </w:rPr>
      </w:pPr>
      <w:r w:rsidRPr="007801C9">
        <w:rPr>
          <w:rFonts w:ascii="宋体" w:eastAsia="宋体" w:hAnsi="宋体" w:hint="eastAsia"/>
          <w:sz w:val="24"/>
          <w:szCs w:val="24"/>
        </w:rPr>
        <w:t>1、投资者应当充分了解基金定期定额投资和零存整取等储蓄方式的区别。定期定额投资是引导投资人进行长期投资、平均投资成本的一种简单易行的投资方式。但是定期定额投资并不能规避基金投资所固有的风险，不能保证投资者获得收益，也不是替代储蓄的等效理财方式。</w:t>
      </w:r>
    </w:p>
    <w:p w:rsidR="00D12695" w:rsidRPr="001F1280" w:rsidRDefault="00FE4235" w:rsidP="00644775">
      <w:pPr>
        <w:widowControl/>
        <w:adjustRightInd w:val="0"/>
        <w:spacing w:line="500" w:lineRule="exact"/>
        <w:ind w:firstLineChars="200" w:firstLine="480"/>
        <w:rPr>
          <w:rFonts w:ascii="宋体" w:hAnsi="宋体" w:cs="宋体"/>
          <w:color w:val="000000"/>
          <w:kern w:val="0"/>
          <w:sz w:val="24"/>
        </w:rPr>
      </w:pPr>
      <w:r>
        <w:rPr>
          <w:rFonts w:ascii="宋体" w:eastAsia="宋体" w:hAnsi="宋体" w:hint="eastAsia"/>
          <w:sz w:val="24"/>
          <w:szCs w:val="24"/>
        </w:rPr>
        <w:lastRenderedPageBreak/>
        <w:t>2</w:t>
      </w:r>
      <w:r w:rsidR="007801C9" w:rsidRPr="007801C9">
        <w:rPr>
          <w:rFonts w:ascii="宋体" w:eastAsia="宋体" w:hAnsi="宋体" w:hint="eastAsia"/>
          <w:sz w:val="24"/>
          <w:szCs w:val="24"/>
        </w:rPr>
        <w:t>、</w:t>
      </w:r>
      <w:r w:rsidR="00D12695" w:rsidRPr="001F1280">
        <w:rPr>
          <w:rFonts w:ascii="宋体" w:hAnsi="宋体" w:cs="宋体" w:hint="eastAsia"/>
          <w:kern w:val="0"/>
          <w:sz w:val="24"/>
        </w:rPr>
        <w:t>本</w:t>
      </w:r>
      <w:r w:rsidR="00D12695">
        <w:rPr>
          <w:rFonts w:ascii="宋体" w:hAnsi="宋体" w:cs="宋体" w:hint="eastAsia"/>
          <w:kern w:val="0"/>
          <w:sz w:val="24"/>
        </w:rPr>
        <w:t>次费率</w:t>
      </w:r>
      <w:r w:rsidR="00D12695" w:rsidRPr="001F1280">
        <w:rPr>
          <w:rFonts w:ascii="宋体" w:hAnsi="宋体" w:cs="宋体" w:hint="eastAsia"/>
          <w:kern w:val="0"/>
          <w:sz w:val="24"/>
        </w:rPr>
        <w:t>优惠活动仅适用于处于正常申购期</w:t>
      </w:r>
      <w:r w:rsidR="00D12695">
        <w:rPr>
          <w:rFonts w:ascii="宋体" w:hAnsi="宋体" w:cs="宋体" w:hint="eastAsia"/>
          <w:kern w:val="0"/>
          <w:sz w:val="24"/>
        </w:rPr>
        <w:t>的</w:t>
      </w:r>
      <w:r w:rsidR="00D12695" w:rsidRPr="001F1280">
        <w:rPr>
          <w:rFonts w:ascii="宋体" w:hAnsi="宋体" w:cs="宋体" w:hint="eastAsia"/>
          <w:kern w:val="0"/>
          <w:sz w:val="24"/>
        </w:rPr>
        <w:t>基金产品的前端收费模式的申购、定期定额投资</w:t>
      </w:r>
      <w:r w:rsidR="00D12695">
        <w:rPr>
          <w:rFonts w:ascii="宋体" w:hAnsi="宋体" w:cs="宋体" w:hint="eastAsia"/>
          <w:kern w:val="0"/>
          <w:sz w:val="24"/>
        </w:rPr>
        <w:t>、</w:t>
      </w:r>
      <w:r w:rsidR="00D12695">
        <w:rPr>
          <w:rFonts w:ascii="宋体" w:eastAsia="宋体" w:hAnsi="宋体" w:hint="eastAsia"/>
          <w:sz w:val="24"/>
          <w:szCs w:val="24"/>
        </w:rPr>
        <w:t>基金转换业务</w:t>
      </w:r>
      <w:r w:rsidR="00D12695" w:rsidRPr="001F1280">
        <w:rPr>
          <w:rFonts w:ascii="宋体" w:hAnsi="宋体" w:cs="宋体" w:hint="eastAsia"/>
          <w:kern w:val="0"/>
          <w:sz w:val="24"/>
        </w:rPr>
        <w:t>费用，不包括后端收费模式的相关手续费、赎回费及处于基金募集期的基金认购费等其他业务的费用。</w:t>
      </w:r>
    </w:p>
    <w:p w:rsidR="007801C9" w:rsidRDefault="00D12695" w:rsidP="00644775">
      <w:pPr>
        <w:spacing w:line="500" w:lineRule="exact"/>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7801C9" w:rsidRPr="007801C9">
        <w:rPr>
          <w:rFonts w:ascii="宋体" w:eastAsia="宋体" w:hAnsi="宋体" w:hint="eastAsia"/>
          <w:sz w:val="24"/>
          <w:szCs w:val="24"/>
        </w:rPr>
        <w:t>本次所开通业务办理的相关规则及流程以</w:t>
      </w:r>
      <w:r w:rsidR="00EA3103">
        <w:rPr>
          <w:rFonts w:ascii="宋体" w:eastAsia="宋体" w:hAnsi="宋体" w:hint="eastAsia"/>
          <w:sz w:val="24"/>
          <w:szCs w:val="24"/>
        </w:rPr>
        <w:t>中信证券（华南）</w:t>
      </w:r>
      <w:r w:rsidR="007801C9" w:rsidRPr="007801C9">
        <w:rPr>
          <w:rFonts w:ascii="宋体" w:eastAsia="宋体" w:hAnsi="宋体" w:hint="eastAsia"/>
          <w:sz w:val="24"/>
          <w:szCs w:val="24"/>
        </w:rPr>
        <w:t>的安排和规定为准，投资者欲了解各基金产品的详细情况，请仔细阅读各基金的基金合同、招募说明书</w:t>
      </w:r>
      <w:r w:rsidR="00FE4235">
        <w:rPr>
          <w:rFonts w:ascii="宋体" w:eastAsia="宋体" w:hAnsi="宋体" w:hint="eastAsia"/>
          <w:sz w:val="24"/>
          <w:szCs w:val="24"/>
        </w:rPr>
        <w:t>、基金产品资料概要等信息披露</w:t>
      </w:r>
      <w:r w:rsidR="007801C9" w:rsidRPr="007801C9">
        <w:rPr>
          <w:rFonts w:ascii="宋体" w:eastAsia="宋体" w:hAnsi="宋体" w:hint="eastAsia"/>
          <w:sz w:val="24"/>
          <w:szCs w:val="24"/>
        </w:rPr>
        <w:t>文件</w:t>
      </w:r>
      <w:r w:rsidR="005F64AE">
        <w:rPr>
          <w:rFonts w:ascii="宋体" w:eastAsia="宋体" w:hAnsi="宋体" w:hint="eastAsia"/>
          <w:sz w:val="24"/>
          <w:szCs w:val="24"/>
        </w:rPr>
        <w:t>，</w:t>
      </w:r>
      <w:r w:rsidR="005F64AE" w:rsidRPr="007801C9">
        <w:rPr>
          <w:rFonts w:ascii="宋体" w:eastAsia="宋体" w:hAnsi="宋体" w:hint="eastAsia"/>
          <w:sz w:val="24"/>
          <w:szCs w:val="24"/>
        </w:rPr>
        <w:t>了解所投资基金的风险收益特征，并根据自身情况购买与本人风险承受能力相匹配的产品。</w:t>
      </w:r>
    </w:p>
    <w:p w:rsidR="00B10A58" w:rsidRPr="00D03464" w:rsidRDefault="00B10A58" w:rsidP="00644775">
      <w:pPr>
        <w:pStyle w:val="aa"/>
        <w:numPr>
          <w:ilvl w:val="0"/>
          <w:numId w:val="12"/>
        </w:numPr>
        <w:spacing w:line="500" w:lineRule="exact"/>
        <w:ind w:firstLineChars="0"/>
        <w:rPr>
          <w:rFonts w:ascii="宋体" w:eastAsia="宋体" w:hAnsi="宋体"/>
          <w:sz w:val="24"/>
          <w:szCs w:val="24"/>
        </w:rPr>
      </w:pPr>
      <w:r w:rsidRPr="00D03464">
        <w:rPr>
          <w:rFonts w:ascii="宋体" w:eastAsia="宋体" w:hAnsi="宋体" w:hint="eastAsia"/>
          <w:sz w:val="24"/>
          <w:szCs w:val="24"/>
        </w:rPr>
        <w:t>投资者可通过以下渠道咨询详情</w:t>
      </w:r>
    </w:p>
    <w:p w:rsidR="00EA3103" w:rsidRDefault="00EA3103" w:rsidP="00644775">
      <w:pPr>
        <w:spacing w:line="500" w:lineRule="exact"/>
        <w:ind w:left="480"/>
        <w:rPr>
          <w:rFonts w:ascii="宋体" w:eastAsia="宋体" w:hAnsi="宋体"/>
          <w:sz w:val="24"/>
          <w:szCs w:val="24"/>
        </w:rPr>
      </w:pPr>
      <w:r>
        <w:rPr>
          <w:rFonts w:ascii="宋体" w:eastAsia="宋体" w:hAnsi="宋体" w:hint="eastAsia"/>
          <w:sz w:val="24"/>
          <w:szCs w:val="24"/>
        </w:rPr>
        <w:t>1、</w:t>
      </w:r>
      <w:r w:rsidRPr="00EA3103">
        <w:rPr>
          <w:rFonts w:ascii="宋体" w:eastAsia="宋体" w:hAnsi="宋体" w:hint="eastAsia"/>
          <w:sz w:val="24"/>
          <w:szCs w:val="24"/>
        </w:rPr>
        <w:t>中信证券华南股份有限公司</w:t>
      </w:r>
    </w:p>
    <w:p w:rsidR="00516B84" w:rsidRPr="00410887" w:rsidRDefault="00516B84" w:rsidP="00644775">
      <w:pPr>
        <w:spacing w:line="500" w:lineRule="exact"/>
        <w:ind w:left="480"/>
        <w:rPr>
          <w:rFonts w:ascii="宋体" w:eastAsia="宋体" w:hAnsi="宋体"/>
          <w:sz w:val="24"/>
          <w:szCs w:val="24"/>
        </w:rPr>
      </w:pPr>
      <w:r w:rsidRPr="00410887">
        <w:rPr>
          <w:rFonts w:ascii="宋体" w:eastAsia="宋体" w:hAnsi="宋体" w:hint="eastAsia"/>
          <w:sz w:val="24"/>
          <w:szCs w:val="24"/>
        </w:rPr>
        <w:t>客服电话：</w:t>
      </w:r>
      <w:r w:rsidR="00EA3103">
        <w:rPr>
          <w:rFonts w:ascii="宋体" w:eastAsia="宋体" w:hAnsi="宋体"/>
          <w:sz w:val="24"/>
          <w:szCs w:val="24"/>
        </w:rPr>
        <w:t>95548</w:t>
      </w:r>
    </w:p>
    <w:p w:rsidR="00516B84" w:rsidRPr="00516B84" w:rsidRDefault="00516B84" w:rsidP="00644775">
      <w:pPr>
        <w:spacing w:line="500" w:lineRule="exact"/>
        <w:ind w:firstLineChars="200" w:firstLine="480"/>
        <w:rPr>
          <w:rFonts w:ascii="宋体" w:eastAsia="宋体" w:hAnsi="宋体"/>
          <w:sz w:val="24"/>
          <w:szCs w:val="24"/>
        </w:rPr>
      </w:pPr>
      <w:r w:rsidRPr="00516B84">
        <w:rPr>
          <w:rFonts w:ascii="宋体" w:eastAsia="宋体" w:hAnsi="宋体" w:hint="eastAsia"/>
          <w:sz w:val="24"/>
          <w:szCs w:val="24"/>
        </w:rPr>
        <w:t>公司网站：</w:t>
      </w:r>
      <w:r w:rsidR="00EA3103" w:rsidRPr="00EA3103">
        <w:rPr>
          <w:rFonts w:ascii="宋体" w:eastAsia="宋体" w:hAnsi="宋体"/>
          <w:sz w:val="24"/>
          <w:szCs w:val="24"/>
        </w:rPr>
        <w:t>www.gzs.com.cn</w:t>
      </w:r>
    </w:p>
    <w:p w:rsidR="00516B84" w:rsidRPr="00516B84" w:rsidRDefault="00516B84" w:rsidP="00644775">
      <w:pPr>
        <w:spacing w:line="500" w:lineRule="exact"/>
        <w:ind w:firstLineChars="200" w:firstLine="480"/>
        <w:rPr>
          <w:rFonts w:ascii="宋体" w:eastAsia="宋体" w:hAnsi="宋体"/>
          <w:sz w:val="24"/>
          <w:szCs w:val="24"/>
        </w:rPr>
      </w:pPr>
      <w:r w:rsidRPr="00516B84">
        <w:rPr>
          <w:rFonts w:ascii="宋体" w:eastAsia="宋体" w:hAnsi="宋体" w:hint="eastAsia"/>
          <w:sz w:val="24"/>
          <w:szCs w:val="24"/>
        </w:rPr>
        <w:t>2、申万菱信基金管理有限公司</w:t>
      </w:r>
    </w:p>
    <w:p w:rsidR="00516B84" w:rsidRPr="00516B84" w:rsidRDefault="00516B84" w:rsidP="00644775">
      <w:pPr>
        <w:spacing w:line="500" w:lineRule="exact"/>
        <w:ind w:firstLineChars="200" w:firstLine="480"/>
        <w:rPr>
          <w:rFonts w:ascii="宋体" w:eastAsia="宋体" w:hAnsi="宋体"/>
          <w:sz w:val="24"/>
          <w:szCs w:val="24"/>
        </w:rPr>
      </w:pPr>
      <w:r w:rsidRPr="00516B84">
        <w:rPr>
          <w:rFonts w:ascii="宋体" w:eastAsia="宋体" w:hAnsi="宋体" w:hint="eastAsia"/>
          <w:sz w:val="24"/>
          <w:szCs w:val="24"/>
        </w:rPr>
        <w:t>客服电话：400-880-8588（免长途话费）或021-962299</w:t>
      </w:r>
    </w:p>
    <w:p w:rsidR="00516B84" w:rsidRPr="00516B84" w:rsidRDefault="00516B84" w:rsidP="00644775">
      <w:pPr>
        <w:spacing w:line="500" w:lineRule="exact"/>
        <w:ind w:firstLineChars="200" w:firstLine="480"/>
        <w:rPr>
          <w:rFonts w:ascii="宋体" w:eastAsia="宋体" w:hAnsi="宋体"/>
          <w:sz w:val="24"/>
          <w:szCs w:val="24"/>
        </w:rPr>
      </w:pPr>
      <w:r w:rsidRPr="00516B84">
        <w:rPr>
          <w:rFonts w:ascii="宋体" w:eastAsia="宋体" w:hAnsi="宋体" w:hint="eastAsia"/>
          <w:sz w:val="24"/>
          <w:szCs w:val="24"/>
        </w:rPr>
        <w:t>公司网址：www.swsmu.com</w:t>
      </w:r>
    </w:p>
    <w:p w:rsidR="008119AB" w:rsidRPr="00D03464" w:rsidRDefault="008119AB" w:rsidP="00644775">
      <w:pPr>
        <w:pStyle w:val="aa"/>
        <w:numPr>
          <w:ilvl w:val="0"/>
          <w:numId w:val="12"/>
        </w:numPr>
        <w:spacing w:line="500" w:lineRule="exact"/>
        <w:ind w:firstLineChars="0"/>
        <w:rPr>
          <w:rFonts w:ascii="宋体" w:eastAsia="宋体" w:hAnsi="宋体"/>
          <w:sz w:val="24"/>
          <w:szCs w:val="24"/>
        </w:rPr>
      </w:pPr>
      <w:r w:rsidRPr="00D03464">
        <w:rPr>
          <w:rFonts w:ascii="宋体" w:eastAsia="宋体" w:hAnsi="宋体" w:hint="eastAsia"/>
          <w:sz w:val="24"/>
          <w:szCs w:val="24"/>
        </w:rPr>
        <w:t>本公司旗下开放式基金代销机构</w:t>
      </w:r>
    </w:p>
    <w:p w:rsidR="008119AB" w:rsidRPr="00F61E5B" w:rsidRDefault="00EF67E7" w:rsidP="00644775">
      <w:pPr>
        <w:spacing w:line="500" w:lineRule="exact"/>
        <w:ind w:firstLineChars="200" w:firstLine="480"/>
        <w:rPr>
          <w:rFonts w:ascii="宋体" w:eastAsia="宋体" w:hAnsi="宋体"/>
          <w:sz w:val="24"/>
          <w:szCs w:val="24"/>
        </w:rPr>
      </w:pPr>
      <w:r>
        <w:rPr>
          <w:rFonts w:ascii="宋体" w:eastAsia="宋体" w:hAnsi="宋体" w:hint="eastAsia"/>
          <w:sz w:val="24"/>
          <w:szCs w:val="24"/>
        </w:rPr>
        <w:t>本公司旗下各</w:t>
      </w:r>
      <w:r w:rsidR="008119AB" w:rsidRPr="00F61E5B">
        <w:rPr>
          <w:rFonts w:ascii="宋体" w:eastAsia="宋体" w:hAnsi="宋体" w:hint="eastAsia"/>
          <w:sz w:val="24"/>
          <w:szCs w:val="24"/>
        </w:rPr>
        <w:t>基金</w:t>
      </w:r>
      <w:r>
        <w:rPr>
          <w:rFonts w:ascii="宋体" w:eastAsia="宋体" w:hAnsi="宋体" w:hint="eastAsia"/>
          <w:sz w:val="24"/>
          <w:szCs w:val="24"/>
        </w:rPr>
        <w:t>的</w:t>
      </w:r>
      <w:r w:rsidR="008119AB" w:rsidRPr="00F61E5B">
        <w:rPr>
          <w:rFonts w:ascii="宋体" w:eastAsia="宋体" w:hAnsi="宋体" w:hint="eastAsia"/>
          <w:sz w:val="24"/>
          <w:szCs w:val="24"/>
        </w:rPr>
        <w:t>代销机构可通过本公司网站刊登的</w:t>
      </w:r>
      <w:r w:rsidR="00672149" w:rsidRPr="00672149">
        <w:rPr>
          <w:rFonts w:ascii="宋体" w:eastAsia="宋体" w:hAnsi="宋体" w:hint="eastAsia"/>
          <w:sz w:val="24"/>
          <w:szCs w:val="24"/>
        </w:rPr>
        <w:t>旗下基金代销机构表</w:t>
      </w:r>
      <w:r w:rsidR="008119AB" w:rsidRPr="00F61E5B">
        <w:rPr>
          <w:rFonts w:ascii="宋体" w:eastAsia="宋体" w:hAnsi="宋体" w:hint="eastAsia"/>
          <w:sz w:val="24"/>
          <w:szCs w:val="24"/>
        </w:rPr>
        <w:t>进行查询。</w:t>
      </w:r>
    </w:p>
    <w:p w:rsidR="008119AB" w:rsidRPr="00F61E5B" w:rsidRDefault="008119AB" w:rsidP="00644775">
      <w:pPr>
        <w:spacing w:line="500" w:lineRule="exact"/>
        <w:ind w:firstLineChars="200" w:firstLine="480"/>
        <w:rPr>
          <w:rFonts w:ascii="宋体" w:eastAsia="宋体" w:hAnsi="宋体"/>
          <w:sz w:val="24"/>
          <w:szCs w:val="24"/>
        </w:rPr>
      </w:pPr>
      <w:r w:rsidRPr="00F61E5B">
        <w:rPr>
          <w:rFonts w:ascii="宋体" w:eastAsia="宋体" w:hAnsi="宋体" w:hint="eastAsia"/>
          <w:sz w:val="24"/>
          <w:szCs w:val="24"/>
        </w:rPr>
        <w:t>欢迎广大投资者垂询、惠顾办理本公司旗下各基金的开户、申购、</w:t>
      </w:r>
      <w:r w:rsidR="00CA0518">
        <w:rPr>
          <w:rFonts w:ascii="宋体" w:eastAsia="宋体" w:hAnsi="宋体" w:hint="eastAsia"/>
          <w:sz w:val="24"/>
          <w:szCs w:val="24"/>
        </w:rPr>
        <w:t>定期定额投资</w:t>
      </w:r>
      <w:r w:rsidRPr="00F61E5B">
        <w:rPr>
          <w:rFonts w:ascii="宋体" w:eastAsia="宋体" w:hAnsi="宋体" w:hint="eastAsia"/>
          <w:sz w:val="24"/>
          <w:szCs w:val="24"/>
        </w:rPr>
        <w:t>、转换等相关业务。</w:t>
      </w:r>
    </w:p>
    <w:p w:rsidR="008119AB" w:rsidRPr="00D03464" w:rsidRDefault="00D6377E" w:rsidP="00644775">
      <w:pPr>
        <w:pStyle w:val="aa"/>
        <w:numPr>
          <w:ilvl w:val="0"/>
          <w:numId w:val="12"/>
        </w:numPr>
        <w:spacing w:line="500" w:lineRule="exact"/>
        <w:ind w:firstLineChars="0"/>
        <w:rPr>
          <w:rFonts w:ascii="宋体" w:eastAsia="宋体" w:hAnsi="宋体"/>
          <w:sz w:val="24"/>
          <w:szCs w:val="24"/>
        </w:rPr>
      </w:pPr>
      <w:r w:rsidRPr="00D03464">
        <w:rPr>
          <w:rFonts w:ascii="宋体" w:eastAsia="宋体" w:hAnsi="宋体" w:hint="eastAsia"/>
          <w:sz w:val="24"/>
          <w:szCs w:val="24"/>
        </w:rPr>
        <w:t>风险</w:t>
      </w:r>
      <w:r w:rsidR="008119AB" w:rsidRPr="00D03464">
        <w:rPr>
          <w:rFonts w:ascii="宋体" w:eastAsia="宋体" w:hAnsi="宋体" w:hint="eastAsia"/>
          <w:sz w:val="24"/>
          <w:szCs w:val="24"/>
        </w:rPr>
        <w:t>提示</w:t>
      </w:r>
    </w:p>
    <w:p w:rsidR="008119AB" w:rsidRPr="00F61E5B" w:rsidRDefault="00D03464" w:rsidP="00644775">
      <w:pPr>
        <w:spacing w:line="500" w:lineRule="exact"/>
        <w:ind w:firstLineChars="200" w:firstLine="480"/>
        <w:rPr>
          <w:rFonts w:ascii="宋体" w:eastAsia="宋体" w:hAnsi="宋体"/>
          <w:sz w:val="24"/>
          <w:szCs w:val="24"/>
        </w:rPr>
      </w:pPr>
      <w:r>
        <w:rPr>
          <w:rFonts w:ascii="宋体" w:eastAsia="宋体" w:hAnsi="宋体" w:hint="eastAsia"/>
          <w:sz w:val="24"/>
          <w:szCs w:val="24"/>
        </w:rPr>
        <w:t>本基金管理人</w:t>
      </w:r>
      <w:r w:rsidR="008119AB" w:rsidRPr="00F61E5B">
        <w:rPr>
          <w:rFonts w:ascii="宋体" w:eastAsia="宋体" w:hAnsi="宋体" w:hint="eastAsia"/>
          <w:sz w:val="24"/>
          <w:szCs w:val="24"/>
        </w:rPr>
        <w:t>承诺以诚实信用、勤勉尽责的原则管理和运用基金资产,但不保证基金一定盈利，也不保证最低收益</w:t>
      </w:r>
      <w:r w:rsidR="001468CF">
        <w:rPr>
          <w:rFonts w:ascii="宋体" w:eastAsia="宋体" w:hAnsi="宋体" w:hint="eastAsia"/>
          <w:sz w:val="24"/>
          <w:szCs w:val="24"/>
        </w:rPr>
        <w:t>。</w:t>
      </w:r>
      <w:r w:rsidR="001468CF" w:rsidRPr="00F61E5B">
        <w:rPr>
          <w:rFonts w:ascii="宋体" w:eastAsia="宋体" w:hAnsi="宋体" w:hint="eastAsia"/>
          <w:sz w:val="24"/>
          <w:szCs w:val="24"/>
        </w:rPr>
        <w:t>投资者欲了解基金产品的详细情况，请仔细阅读基金的</w:t>
      </w:r>
      <w:r w:rsidR="00FE4235" w:rsidRPr="007801C9">
        <w:rPr>
          <w:rFonts w:ascii="宋体" w:eastAsia="宋体" w:hAnsi="宋体" w:hint="eastAsia"/>
          <w:sz w:val="24"/>
          <w:szCs w:val="24"/>
        </w:rPr>
        <w:t>基金合同、招募说明书</w:t>
      </w:r>
      <w:r w:rsidR="00FE4235">
        <w:rPr>
          <w:rFonts w:ascii="宋体" w:eastAsia="宋体" w:hAnsi="宋体" w:hint="eastAsia"/>
          <w:sz w:val="24"/>
          <w:szCs w:val="24"/>
        </w:rPr>
        <w:t>、基金产品资料概要等信息披露</w:t>
      </w:r>
      <w:r w:rsidR="00FE4235" w:rsidRPr="007801C9">
        <w:rPr>
          <w:rFonts w:ascii="宋体" w:eastAsia="宋体" w:hAnsi="宋体" w:hint="eastAsia"/>
          <w:sz w:val="24"/>
          <w:szCs w:val="24"/>
        </w:rPr>
        <w:t>文件</w:t>
      </w:r>
      <w:r w:rsidR="001468CF" w:rsidRPr="00F61E5B">
        <w:rPr>
          <w:rFonts w:ascii="宋体" w:eastAsia="宋体" w:hAnsi="宋体" w:hint="eastAsia"/>
          <w:sz w:val="24"/>
          <w:szCs w:val="24"/>
        </w:rPr>
        <w:t>。</w:t>
      </w:r>
      <w:r w:rsidR="008119AB" w:rsidRPr="00F61E5B">
        <w:rPr>
          <w:rFonts w:ascii="宋体" w:eastAsia="宋体" w:hAnsi="宋体" w:hint="eastAsia"/>
          <w:sz w:val="24"/>
          <w:szCs w:val="24"/>
        </w:rPr>
        <w:t>敬请投资者注意投资风险。</w:t>
      </w:r>
    </w:p>
    <w:p w:rsidR="008119AB" w:rsidRPr="00F61E5B" w:rsidRDefault="008119AB" w:rsidP="00644775">
      <w:pPr>
        <w:spacing w:line="500" w:lineRule="exact"/>
        <w:ind w:firstLineChars="200" w:firstLine="480"/>
        <w:rPr>
          <w:rFonts w:ascii="宋体" w:eastAsia="宋体" w:hAnsi="宋体"/>
          <w:sz w:val="24"/>
          <w:szCs w:val="24"/>
        </w:rPr>
      </w:pPr>
      <w:r w:rsidRPr="00F61E5B">
        <w:rPr>
          <w:rFonts w:ascii="宋体" w:eastAsia="宋体" w:hAnsi="宋体" w:hint="eastAsia"/>
          <w:sz w:val="24"/>
          <w:szCs w:val="24"/>
        </w:rPr>
        <w:t>特此公告。</w:t>
      </w:r>
    </w:p>
    <w:p w:rsidR="008119AB" w:rsidRPr="00F61E5B" w:rsidRDefault="008119AB" w:rsidP="00644775">
      <w:pPr>
        <w:spacing w:line="500" w:lineRule="exact"/>
        <w:jc w:val="right"/>
        <w:rPr>
          <w:rFonts w:ascii="宋体" w:eastAsia="宋体" w:hAnsi="宋体"/>
          <w:sz w:val="24"/>
          <w:szCs w:val="24"/>
        </w:rPr>
      </w:pPr>
      <w:bookmarkStart w:id="0" w:name="_GoBack"/>
      <w:bookmarkEnd w:id="0"/>
      <w:r w:rsidRPr="00F61E5B">
        <w:rPr>
          <w:rFonts w:ascii="宋体" w:eastAsia="宋体" w:hAnsi="宋体" w:hint="eastAsia"/>
          <w:sz w:val="24"/>
          <w:szCs w:val="24"/>
        </w:rPr>
        <w:t>申万菱信基金管理有限公司</w:t>
      </w:r>
    </w:p>
    <w:p w:rsidR="008119AB" w:rsidRPr="00F61E5B" w:rsidRDefault="008119AB" w:rsidP="00644775">
      <w:pPr>
        <w:spacing w:line="500" w:lineRule="exact"/>
        <w:jc w:val="right"/>
        <w:rPr>
          <w:rFonts w:ascii="宋体" w:eastAsia="宋体" w:hAnsi="宋体"/>
          <w:sz w:val="24"/>
          <w:szCs w:val="24"/>
        </w:rPr>
      </w:pPr>
      <w:r w:rsidRPr="0032026A">
        <w:rPr>
          <w:rFonts w:ascii="宋体" w:eastAsia="宋体" w:hAnsi="宋体" w:hint="eastAsia"/>
          <w:sz w:val="24"/>
          <w:szCs w:val="24"/>
        </w:rPr>
        <w:t>202</w:t>
      </w:r>
      <w:r w:rsidR="00F709CF">
        <w:rPr>
          <w:rFonts w:ascii="宋体" w:eastAsia="宋体" w:hAnsi="宋体"/>
          <w:sz w:val="24"/>
          <w:szCs w:val="24"/>
        </w:rPr>
        <w:t>1</w:t>
      </w:r>
      <w:r w:rsidRPr="0032026A">
        <w:rPr>
          <w:rFonts w:ascii="宋体" w:eastAsia="宋体" w:hAnsi="宋体" w:hint="eastAsia"/>
          <w:sz w:val="24"/>
          <w:szCs w:val="24"/>
        </w:rPr>
        <w:t>年</w:t>
      </w:r>
      <w:r w:rsidR="00410887">
        <w:rPr>
          <w:rFonts w:ascii="宋体" w:eastAsia="宋体" w:hAnsi="宋体"/>
          <w:sz w:val="24"/>
          <w:szCs w:val="24"/>
        </w:rPr>
        <w:t>8</w:t>
      </w:r>
      <w:r w:rsidRPr="0032026A">
        <w:rPr>
          <w:rFonts w:ascii="宋体" w:eastAsia="宋体" w:hAnsi="宋体" w:hint="eastAsia"/>
          <w:sz w:val="24"/>
          <w:szCs w:val="24"/>
        </w:rPr>
        <w:t>月</w:t>
      </w:r>
      <w:r w:rsidR="00EA3103">
        <w:rPr>
          <w:rFonts w:ascii="宋体" w:eastAsia="宋体" w:hAnsi="宋体"/>
          <w:sz w:val="24"/>
          <w:szCs w:val="24"/>
        </w:rPr>
        <w:t>14</w:t>
      </w:r>
      <w:r w:rsidRPr="0032026A">
        <w:rPr>
          <w:rFonts w:ascii="宋体" w:eastAsia="宋体" w:hAnsi="宋体" w:hint="eastAsia"/>
          <w:sz w:val="24"/>
          <w:szCs w:val="24"/>
        </w:rPr>
        <w:t>日</w:t>
      </w:r>
    </w:p>
    <w:sectPr w:rsidR="008119AB" w:rsidRPr="00F61E5B" w:rsidSect="00672149">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35A" w:rsidRDefault="00B1135A" w:rsidP="00DE6A71">
      <w:r>
        <w:separator/>
      </w:r>
    </w:p>
  </w:endnote>
  <w:endnote w:type="continuationSeparator" w:id="0">
    <w:p w:rsidR="00B1135A" w:rsidRDefault="00B1135A" w:rsidP="00DE6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35A" w:rsidRDefault="00B1135A" w:rsidP="00DE6A71">
      <w:r>
        <w:separator/>
      </w:r>
    </w:p>
  </w:footnote>
  <w:footnote w:type="continuationSeparator" w:id="0">
    <w:p w:rsidR="00B1135A" w:rsidRDefault="00B1135A" w:rsidP="00DE6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7133"/>
    <w:multiLevelType w:val="hybridMultilevel"/>
    <w:tmpl w:val="0CA42A1C"/>
    <w:lvl w:ilvl="0" w:tplc="92CABB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5004E2"/>
    <w:multiLevelType w:val="hybridMultilevel"/>
    <w:tmpl w:val="0CA42A1C"/>
    <w:lvl w:ilvl="0" w:tplc="92CABB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0523C3"/>
    <w:multiLevelType w:val="hybridMultilevel"/>
    <w:tmpl w:val="9ACAAB2E"/>
    <w:lvl w:ilvl="0" w:tplc="E6B40CA0">
      <w:start w:val="1"/>
      <w:numFmt w:val="decimal"/>
      <w:lvlText w:val="%1、"/>
      <w:lvlJc w:val="left"/>
      <w:pPr>
        <w:ind w:left="57" w:hanging="5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7F571A"/>
    <w:multiLevelType w:val="hybridMultilevel"/>
    <w:tmpl w:val="A65A508E"/>
    <w:lvl w:ilvl="0" w:tplc="A8AEA3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B550A1"/>
    <w:multiLevelType w:val="hybridMultilevel"/>
    <w:tmpl w:val="0FC41A74"/>
    <w:lvl w:ilvl="0" w:tplc="B62429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D205BE8"/>
    <w:multiLevelType w:val="hybridMultilevel"/>
    <w:tmpl w:val="34F40646"/>
    <w:lvl w:ilvl="0" w:tplc="8EFE1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482A6D"/>
    <w:multiLevelType w:val="hybridMultilevel"/>
    <w:tmpl w:val="7AEAD07A"/>
    <w:lvl w:ilvl="0" w:tplc="71D0B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97A3E93"/>
    <w:multiLevelType w:val="hybridMultilevel"/>
    <w:tmpl w:val="8222B60E"/>
    <w:lvl w:ilvl="0" w:tplc="92CABB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9B41F8"/>
    <w:multiLevelType w:val="hybridMultilevel"/>
    <w:tmpl w:val="74B4A544"/>
    <w:lvl w:ilvl="0" w:tplc="324E3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2"/>
    <w:lvlOverride w:ilvl="0">
      <w:lvl w:ilvl="0" w:tplc="E6B40CA0">
        <w:start w:val="1"/>
        <w:numFmt w:val="decimal"/>
        <w:suff w:val="nothing"/>
        <w:lvlText w:val="%1、"/>
        <w:lvlJc w:val="left"/>
        <w:pPr>
          <w:ind w:left="57" w:hanging="57"/>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
    <w:abstractNumId w:val="2"/>
    <w:lvlOverride w:ilvl="0">
      <w:lvl w:ilvl="0" w:tplc="E6B40CA0">
        <w:start w:val="1"/>
        <w:numFmt w:val="decimal"/>
        <w:suff w:val="nothing"/>
        <w:lvlText w:val="%1、"/>
        <w:lvlJc w:val="left"/>
        <w:pPr>
          <w:ind w:left="113" w:hanging="113"/>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5">
    <w:abstractNumId w:val="2"/>
    <w:lvlOverride w:ilvl="0">
      <w:lvl w:ilvl="0" w:tplc="E6B40CA0">
        <w:start w:val="1"/>
        <w:numFmt w:val="decimal"/>
        <w:suff w:val="nothing"/>
        <w:lvlText w:val="%1、"/>
        <w:lvlJc w:val="left"/>
        <w:pPr>
          <w:ind w:left="0" w:firstLine="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6">
    <w:abstractNumId w:val="7"/>
  </w:num>
  <w:num w:numId="7">
    <w:abstractNumId w:val="8"/>
  </w:num>
  <w:num w:numId="8">
    <w:abstractNumId w:val="7"/>
    <w:lvlOverride w:ilvl="0">
      <w:lvl w:ilvl="0" w:tplc="92CABB0C">
        <w:start w:val="1"/>
        <w:numFmt w:val="decimal"/>
        <w:suff w:val="nothing"/>
        <w:lvlText w:val="%1、"/>
        <w:lvlJc w:val="left"/>
        <w:pPr>
          <w:ind w:left="420" w:hanging="420"/>
        </w:pPr>
        <w:rPr>
          <w:rFonts w:hint="default"/>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9">
    <w:abstractNumId w:val="3"/>
  </w:num>
  <w:num w:numId="10">
    <w:abstractNumId w:val="1"/>
  </w:num>
  <w:num w:numId="11">
    <w:abstractNumId w:val="0"/>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0768"/>
    <w:rsid w:val="00020330"/>
    <w:rsid w:val="00020BCE"/>
    <w:rsid w:val="00026A0C"/>
    <w:rsid w:val="00036043"/>
    <w:rsid w:val="000363D4"/>
    <w:rsid w:val="00054716"/>
    <w:rsid w:val="000577B8"/>
    <w:rsid w:val="000B5D3F"/>
    <w:rsid w:val="000C312E"/>
    <w:rsid w:val="000C5544"/>
    <w:rsid w:val="000D1247"/>
    <w:rsid w:val="000E1845"/>
    <w:rsid w:val="000F74D7"/>
    <w:rsid w:val="00111E1A"/>
    <w:rsid w:val="0013417B"/>
    <w:rsid w:val="001468CF"/>
    <w:rsid w:val="0015419E"/>
    <w:rsid w:val="0016230B"/>
    <w:rsid w:val="00180E3F"/>
    <w:rsid w:val="001A0768"/>
    <w:rsid w:val="001B4CF9"/>
    <w:rsid w:val="001D62F0"/>
    <w:rsid w:val="001F46AF"/>
    <w:rsid w:val="00204D72"/>
    <w:rsid w:val="002145A0"/>
    <w:rsid w:val="002413BC"/>
    <w:rsid w:val="002561B1"/>
    <w:rsid w:val="00261CE2"/>
    <w:rsid w:val="00275823"/>
    <w:rsid w:val="00276115"/>
    <w:rsid w:val="002856FC"/>
    <w:rsid w:val="00285ADD"/>
    <w:rsid w:val="00290044"/>
    <w:rsid w:val="00294FFC"/>
    <w:rsid w:val="002967BF"/>
    <w:rsid w:val="002A72C1"/>
    <w:rsid w:val="002B3F65"/>
    <w:rsid w:val="002E5EAC"/>
    <w:rsid w:val="002E753A"/>
    <w:rsid w:val="0032026A"/>
    <w:rsid w:val="00324AC2"/>
    <w:rsid w:val="00327B54"/>
    <w:rsid w:val="00375DC5"/>
    <w:rsid w:val="003A58F2"/>
    <w:rsid w:val="003B08E8"/>
    <w:rsid w:val="003B320A"/>
    <w:rsid w:val="003C7A4D"/>
    <w:rsid w:val="003E035A"/>
    <w:rsid w:val="003E5D13"/>
    <w:rsid w:val="004105B3"/>
    <w:rsid w:val="00410887"/>
    <w:rsid w:val="00466A27"/>
    <w:rsid w:val="0049295F"/>
    <w:rsid w:val="004929F9"/>
    <w:rsid w:val="004939EA"/>
    <w:rsid w:val="004A13AE"/>
    <w:rsid w:val="004C6A29"/>
    <w:rsid w:val="004F403F"/>
    <w:rsid w:val="00510EB3"/>
    <w:rsid w:val="00516B84"/>
    <w:rsid w:val="005405CC"/>
    <w:rsid w:val="00556935"/>
    <w:rsid w:val="00572591"/>
    <w:rsid w:val="00575742"/>
    <w:rsid w:val="005879D3"/>
    <w:rsid w:val="005A7C94"/>
    <w:rsid w:val="005D25D4"/>
    <w:rsid w:val="005D39E8"/>
    <w:rsid w:val="005F64AE"/>
    <w:rsid w:val="00626FC8"/>
    <w:rsid w:val="00634C66"/>
    <w:rsid w:val="00642C6B"/>
    <w:rsid w:val="00644775"/>
    <w:rsid w:val="00672149"/>
    <w:rsid w:val="006F418E"/>
    <w:rsid w:val="00720D47"/>
    <w:rsid w:val="00744FBB"/>
    <w:rsid w:val="007720C3"/>
    <w:rsid w:val="007801C9"/>
    <w:rsid w:val="007B3B41"/>
    <w:rsid w:val="007D17F4"/>
    <w:rsid w:val="007E36C5"/>
    <w:rsid w:val="007E3F4F"/>
    <w:rsid w:val="007E5DD8"/>
    <w:rsid w:val="008119AB"/>
    <w:rsid w:val="00820535"/>
    <w:rsid w:val="00856C68"/>
    <w:rsid w:val="0086408D"/>
    <w:rsid w:val="00876895"/>
    <w:rsid w:val="00884BDE"/>
    <w:rsid w:val="00921DE9"/>
    <w:rsid w:val="00925FC8"/>
    <w:rsid w:val="00961C37"/>
    <w:rsid w:val="0096388D"/>
    <w:rsid w:val="009902B2"/>
    <w:rsid w:val="00992220"/>
    <w:rsid w:val="009A4AA5"/>
    <w:rsid w:val="009C3CAB"/>
    <w:rsid w:val="00A16CCF"/>
    <w:rsid w:val="00A828A1"/>
    <w:rsid w:val="00AC6D87"/>
    <w:rsid w:val="00AE7BCC"/>
    <w:rsid w:val="00B10A58"/>
    <w:rsid w:val="00B1135A"/>
    <w:rsid w:val="00B11958"/>
    <w:rsid w:val="00B16D71"/>
    <w:rsid w:val="00B51F34"/>
    <w:rsid w:val="00B72DB1"/>
    <w:rsid w:val="00BC30D3"/>
    <w:rsid w:val="00BC619C"/>
    <w:rsid w:val="00BC6AEF"/>
    <w:rsid w:val="00BC6FE8"/>
    <w:rsid w:val="00BD4F40"/>
    <w:rsid w:val="00C0218F"/>
    <w:rsid w:val="00C21444"/>
    <w:rsid w:val="00C2216C"/>
    <w:rsid w:val="00C26B0F"/>
    <w:rsid w:val="00C35540"/>
    <w:rsid w:val="00C9263A"/>
    <w:rsid w:val="00CA0518"/>
    <w:rsid w:val="00CA05DC"/>
    <w:rsid w:val="00CD582A"/>
    <w:rsid w:val="00CF0010"/>
    <w:rsid w:val="00D03464"/>
    <w:rsid w:val="00D12695"/>
    <w:rsid w:val="00D31B06"/>
    <w:rsid w:val="00D33D98"/>
    <w:rsid w:val="00D37DF7"/>
    <w:rsid w:val="00D41148"/>
    <w:rsid w:val="00D6377E"/>
    <w:rsid w:val="00D66663"/>
    <w:rsid w:val="00D76A41"/>
    <w:rsid w:val="00D81D23"/>
    <w:rsid w:val="00D87DAD"/>
    <w:rsid w:val="00DA080C"/>
    <w:rsid w:val="00DA5D57"/>
    <w:rsid w:val="00DC167A"/>
    <w:rsid w:val="00DC7467"/>
    <w:rsid w:val="00DD779A"/>
    <w:rsid w:val="00DE498C"/>
    <w:rsid w:val="00DE6A71"/>
    <w:rsid w:val="00E85BED"/>
    <w:rsid w:val="00E945E5"/>
    <w:rsid w:val="00EA3103"/>
    <w:rsid w:val="00EB516C"/>
    <w:rsid w:val="00EE7AE0"/>
    <w:rsid w:val="00EF67E7"/>
    <w:rsid w:val="00F17F45"/>
    <w:rsid w:val="00F23E10"/>
    <w:rsid w:val="00F441AD"/>
    <w:rsid w:val="00F61E5B"/>
    <w:rsid w:val="00F709CF"/>
    <w:rsid w:val="00F74989"/>
    <w:rsid w:val="00F81E46"/>
    <w:rsid w:val="00FB284D"/>
    <w:rsid w:val="00FB3CBE"/>
    <w:rsid w:val="00FE1CFA"/>
    <w:rsid w:val="00FE4235"/>
    <w:rsid w:val="00FF2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0A58"/>
    <w:rPr>
      <w:color w:val="0000FF" w:themeColor="hyperlink"/>
      <w:u w:val="single"/>
    </w:rPr>
  </w:style>
  <w:style w:type="character" w:styleId="a4">
    <w:name w:val="annotation reference"/>
    <w:basedOn w:val="a0"/>
    <w:uiPriority w:val="99"/>
    <w:semiHidden/>
    <w:unhideWhenUsed/>
    <w:rsid w:val="00F61E5B"/>
    <w:rPr>
      <w:sz w:val="21"/>
      <w:szCs w:val="21"/>
    </w:rPr>
  </w:style>
  <w:style w:type="paragraph" w:styleId="a5">
    <w:name w:val="annotation text"/>
    <w:basedOn w:val="a"/>
    <w:link w:val="Char"/>
    <w:uiPriority w:val="99"/>
    <w:semiHidden/>
    <w:unhideWhenUsed/>
    <w:rsid w:val="00F61E5B"/>
    <w:pPr>
      <w:jc w:val="left"/>
    </w:pPr>
  </w:style>
  <w:style w:type="character" w:customStyle="1" w:styleId="Char">
    <w:name w:val="批注文字 Char"/>
    <w:basedOn w:val="a0"/>
    <w:link w:val="a5"/>
    <w:uiPriority w:val="99"/>
    <w:semiHidden/>
    <w:rsid w:val="00F61E5B"/>
  </w:style>
  <w:style w:type="paragraph" w:styleId="a6">
    <w:name w:val="annotation subject"/>
    <w:basedOn w:val="a5"/>
    <w:next w:val="a5"/>
    <w:link w:val="Char0"/>
    <w:uiPriority w:val="99"/>
    <w:semiHidden/>
    <w:unhideWhenUsed/>
    <w:rsid w:val="00F61E5B"/>
    <w:rPr>
      <w:b/>
      <w:bCs/>
    </w:rPr>
  </w:style>
  <w:style w:type="character" w:customStyle="1" w:styleId="Char0">
    <w:name w:val="批注主题 Char"/>
    <w:basedOn w:val="Char"/>
    <w:link w:val="a6"/>
    <w:uiPriority w:val="99"/>
    <w:semiHidden/>
    <w:rsid w:val="00F61E5B"/>
    <w:rPr>
      <w:b/>
      <w:bCs/>
    </w:rPr>
  </w:style>
  <w:style w:type="paragraph" w:styleId="a7">
    <w:name w:val="Balloon Text"/>
    <w:basedOn w:val="a"/>
    <w:link w:val="Char1"/>
    <w:uiPriority w:val="99"/>
    <w:semiHidden/>
    <w:unhideWhenUsed/>
    <w:rsid w:val="00F61E5B"/>
    <w:rPr>
      <w:sz w:val="18"/>
      <w:szCs w:val="18"/>
    </w:rPr>
  </w:style>
  <w:style w:type="character" w:customStyle="1" w:styleId="Char1">
    <w:name w:val="批注框文本 Char"/>
    <w:basedOn w:val="a0"/>
    <w:link w:val="a7"/>
    <w:uiPriority w:val="99"/>
    <w:semiHidden/>
    <w:rsid w:val="00F61E5B"/>
    <w:rPr>
      <w:sz w:val="18"/>
      <w:szCs w:val="18"/>
    </w:rPr>
  </w:style>
  <w:style w:type="paragraph" w:styleId="a8">
    <w:name w:val="header"/>
    <w:basedOn w:val="a"/>
    <w:link w:val="Char2"/>
    <w:uiPriority w:val="99"/>
    <w:unhideWhenUsed/>
    <w:rsid w:val="00DE6A7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E6A71"/>
    <w:rPr>
      <w:sz w:val="18"/>
      <w:szCs w:val="18"/>
    </w:rPr>
  </w:style>
  <w:style w:type="paragraph" w:styleId="a9">
    <w:name w:val="footer"/>
    <w:basedOn w:val="a"/>
    <w:link w:val="Char3"/>
    <w:uiPriority w:val="99"/>
    <w:unhideWhenUsed/>
    <w:rsid w:val="00DE6A71"/>
    <w:pPr>
      <w:tabs>
        <w:tab w:val="center" w:pos="4153"/>
        <w:tab w:val="right" w:pos="8306"/>
      </w:tabs>
      <w:snapToGrid w:val="0"/>
      <w:jc w:val="left"/>
    </w:pPr>
    <w:rPr>
      <w:sz w:val="18"/>
      <w:szCs w:val="18"/>
    </w:rPr>
  </w:style>
  <w:style w:type="character" w:customStyle="1" w:styleId="Char3">
    <w:name w:val="页脚 Char"/>
    <w:basedOn w:val="a0"/>
    <w:link w:val="a9"/>
    <w:uiPriority w:val="99"/>
    <w:rsid w:val="00DE6A71"/>
    <w:rPr>
      <w:sz w:val="18"/>
      <w:szCs w:val="18"/>
    </w:rPr>
  </w:style>
  <w:style w:type="paragraph" w:styleId="aa">
    <w:name w:val="List Paragraph"/>
    <w:basedOn w:val="a"/>
    <w:uiPriority w:val="34"/>
    <w:qFormat/>
    <w:rsid w:val="003E035A"/>
    <w:pPr>
      <w:ind w:firstLineChars="200" w:firstLine="420"/>
    </w:pPr>
  </w:style>
  <w:style w:type="table" w:styleId="ab">
    <w:name w:val="Table Grid"/>
    <w:basedOn w:val="a1"/>
    <w:uiPriority w:val="59"/>
    <w:rsid w:val="002E7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79183">
      <w:bodyDiv w:val="1"/>
      <w:marLeft w:val="0"/>
      <w:marRight w:val="0"/>
      <w:marTop w:val="0"/>
      <w:marBottom w:val="0"/>
      <w:divBdr>
        <w:top w:val="none" w:sz="0" w:space="0" w:color="auto"/>
        <w:left w:val="none" w:sz="0" w:space="0" w:color="auto"/>
        <w:bottom w:val="none" w:sz="0" w:space="0" w:color="auto"/>
        <w:right w:val="none" w:sz="0" w:space="0" w:color="auto"/>
      </w:divBdr>
    </w:div>
    <w:div w:id="211038472">
      <w:bodyDiv w:val="1"/>
      <w:marLeft w:val="0"/>
      <w:marRight w:val="0"/>
      <w:marTop w:val="0"/>
      <w:marBottom w:val="0"/>
      <w:divBdr>
        <w:top w:val="none" w:sz="0" w:space="0" w:color="auto"/>
        <w:left w:val="none" w:sz="0" w:space="0" w:color="auto"/>
        <w:bottom w:val="none" w:sz="0" w:space="0" w:color="auto"/>
        <w:right w:val="none" w:sz="0" w:space="0" w:color="auto"/>
      </w:divBdr>
    </w:div>
    <w:div w:id="221908819">
      <w:bodyDiv w:val="1"/>
      <w:marLeft w:val="0"/>
      <w:marRight w:val="0"/>
      <w:marTop w:val="0"/>
      <w:marBottom w:val="0"/>
      <w:divBdr>
        <w:top w:val="none" w:sz="0" w:space="0" w:color="auto"/>
        <w:left w:val="none" w:sz="0" w:space="0" w:color="auto"/>
        <w:bottom w:val="none" w:sz="0" w:space="0" w:color="auto"/>
        <w:right w:val="none" w:sz="0" w:space="0" w:color="auto"/>
      </w:divBdr>
    </w:div>
    <w:div w:id="228804095">
      <w:bodyDiv w:val="1"/>
      <w:marLeft w:val="0"/>
      <w:marRight w:val="0"/>
      <w:marTop w:val="0"/>
      <w:marBottom w:val="0"/>
      <w:divBdr>
        <w:top w:val="none" w:sz="0" w:space="0" w:color="auto"/>
        <w:left w:val="none" w:sz="0" w:space="0" w:color="auto"/>
        <w:bottom w:val="none" w:sz="0" w:space="0" w:color="auto"/>
        <w:right w:val="none" w:sz="0" w:space="0" w:color="auto"/>
      </w:divBdr>
    </w:div>
    <w:div w:id="316888270">
      <w:bodyDiv w:val="1"/>
      <w:marLeft w:val="0"/>
      <w:marRight w:val="0"/>
      <w:marTop w:val="0"/>
      <w:marBottom w:val="0"/>
      <w:divBdr>
        <w:top w:val="none" w:sz="0" w:space="0" w:color="auto"/>
        <w:left w:val="none" w:sz="0" w:space="0" w:color="auto"/>
        <w:bottom w:val="none" w:sz="0" w:space="0" w:color="auto"/>
        <w:right w:val="none" w:sz="0" w:space="0" w:color="auto"/>
      </w:divBdr>
    </w:div>
    <w:div w:id="456217755">
      <w:bodyDiv w:val="1"/>
      <w:marLeft w:val="0"/>
      <w:marRight w:val="0"/>
      <w:marTop w:val="0"/>
      <w:marBottom w:val="0"/>
      <w:divBdr>
        <w:top w:val="none" w:sz="0" w:space="0" w:color="auto"/>
        <w:left w:val="none" w:sz="0" w:space="0" w:color="auto"/>
        <w:bottom w:val="none" w:sz="0" w:space="0" w:color="auto"/>
        <w:right w:val="none" w:sz="0" w:space="0" w:color="auto"/>
      </w:divBdr>
    </w:div>
    <w:div w:id="669716522">
      <w:bodyDiv w:val="1"/>
      <w:marLeft w:val="0"/>
      <w:marRight w:val="0"/>
      <w:marTop w:val="0"/>
      <w:marBottom w:val="0"/>
      <w:divBdr>
        <w:top w:val="none" w:sz="0" w:space="0" w:color="auto"/>
        <w:left w:val="none" w:sz="0" w:space="0" w:color="auto"/>
        <w:bottom w:val="none" w:sz="0" w:space="0" w:color="auto"/>
        <w:right w:val="none" w:sz="0" w:space="0" w:color="auto"/>
      </w:divBdr>
    </w:div>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896278302">
      <w:bodyDiv w:val="1"/>
      <w:marLeft w:val="0"/>
      <w:marRight w:val="0"/>
      <w:marTop w:val="0"/>
      <w:marBottom w:val="0"/>
      <w:divBdr>
        <w:top w:val="none" w:sz="0" w:space="0" w:color="auto"/>
        <w:left w:val="none" w:sz="0" w:space="0" w:color="auto"/>
        <w:bottom w:val="none" w:sz="0" w:space="0" w:color="auto"/>
        <w:right w:val="none" w:sz="0" w:space="0" w:color="auto"/>
      </w:divBdr>
    </w:div>
    <w:div w:id="910116209">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66467243">
      <w:bodyDiv w:val="1"/>
      <w:marLeft w:val="0"/>
      <w:marRight w:val="0"/>
      <w:marTop w:val="0"/>
      <w:marBottom w:val="0"/>
      <w:divBdr>
        <w:top w:val="none" w:sz="0" w:space="0" w:color="auto"/>
        <w:left w:val="none" w:sz="0" w:space="0" w:color="auto"/>
        <w:bottom w:val="none" w:sz="0" w:space="0" w:color="auto"/>
        <w:right w:val="none" w:sz="0" w:space="0" w:color="auto"/>
      </w:divBdr>
    </w:div>
    <w:div w:id="991518407">
      <w:bodyDiv w:val="1"/>
      <w:marLeft w:val="0"/>
      <w:marRight w:val="0"/>
      <w:marTop w:val="0"/>
      <w:marBottom w:val="0"/>
      <w:divBdr>
        <w:top w:val="none" w:sz="0" w:space="0" w:color="auto"/>
        <w:left w:val="none" w:sz="0" w:space="0" w:color="auto"/>
        <w:bottom w:val="none" w:sz="0" w:space="0" w:color="auto"/>
        <w:right w:val="none" w:sz="0" w:space="0" w:color="auto"/>
      </w:divBdr>
    </w:div>
    <w:div w:id="1066684472">
      <w:bodyDiv w:val="1"/>
      <w:marLeft w:val="0"/>
      <w:marRight w:val="0"/>
      <w:marTop w:val="0"/>
      <w:marBottom w:val="0"/>
      <w:divBdr>
        <w:top w:val="none" w:sz="0" w:space="0" w:color="auto"/>
        <w:left w:val="none" w:sz="0" w:space="0" w:color="auto"/>
        <w:bottom w:val="none" w:sz="0" w:space="0" w:color="auto"/>
        <w:right w:val="none" w:sz="0" w:space="0" w:color="auto"/>
      </w:divBdr>
    </w:div>
    <w:div w:id="1299453950">
      <w:bodyDiv w:val="1"/>
      <w:marLeft w:val="0"/>
      <w:marRight w:val="0"/>
      <w:marTop w:val="0"/>
      <w:marBottom w:val="0"/>
      <w:divBdr>
        <w:top w:val="none" w:sz="0" w:space="0" w:color="auto"/>
        <w:left w:val="none" w:sz="0" w:space="0" w:color="auto"/>
        <w:bottom w:val="none" w:sz="0" w:space="0" w:color="auto"/>
        <w:right w:val="none" w:sz="0" w:space="0" w:color="auto"/>
      </w:divBdr>
    </w:div>
    <w:div w:id="1400444970">
      <w:bodyDiv w:val="1"/>
      <w:marLeft w:val="0"/>
      <w:marRight w:val="0"/>
      <w:marTop w:val="0"/>
      <w:marBottom w:val="0"/>
      <w:divBdr>
        <w:top w:val="none" w:sz="0" w:space="0" w:color="auto"/>
        <w:left w:val="none" w:sz="0" w:space="0" w:color="auto"/>
        <w:bottom w:val="none" w:sz="0" w:space="0" w:color="auto"/>
        <w:right w:val="none" w:sz="0" w:space="0" w:color="auto"/>
      </w:divBdr>
    </w:div>
    <w:div w:id="1503859105">
      <w:bodyDiv w:val="1"/>
      <w:marLeft w:val="0"/>
      <w:marRight w:val="0"/>
      <w:marTop w:val="0"/>
      <w:marBottom w:val="0"/>
      <w:divBdr>
        <w:top w:val="none" w:sz="0" w:space="0" w:color="auto"/>
        <w:left w:val="none" w:sz="0" w:space="0" w:color="auto"/>
        <w:bottom w:val="none" w:sz="0" w:space="0" w:color="auto"/>
        <w:right w:val="none" w:sz="0" w:space="0" w:color="auto"/>
      </w:divBdr>
    </w:div>
    <w:div w:id="1514371482">
      <w:bodyDiv w:val="1"/>
      <w:marLeft w:val="0"/>
      <w:marRight w:val="0"/>
      <w:marTop w:val="0"/>
      <w:marBottom w:val="0"/>
      <w:divBdr>
        <w:top w:val="none" w:sz="0" w:space="0" w:color="auto"/>
        <w:left w:val="none" w:sz="0" w:space="0" w:color="auto"/>
        <w:bottom w:val="none" w:sz="0" w:space="0" w:color="auto"/>
        <w:right w:val="none" w:sz="0" w:space="0" w:color="auto"/>
      </w:divBdr>
    </w:div>
    <w:div w:id="1550730190">
      <w:bodyDiv w:val="1"/>
      <w:marLeft w:val="0"/>
      <w:marRight w:val="0"/>
      <w:marTop w:val="0"/>
      <w:marBottom w:val="0"/>
      <w:divBdr>
        <w:top w:val="none" w:sz="0" w:space="0" w:color="auto"/>
        <w:left w:val="none" w:sz="0" w:space="0" w:color="auto"/>
        <w:bottom w:val="none" w:sz="0" w:space="0" w:color="auto"/>
        <w:right w:val="none" w:sz="0" w:space="0" w:color="auto"/>
      </w:divBdr>
    </w:div>
    <w:div w:id="1582249138">
      <w:bodyDiv w:val="1"/>
      <w:marLeft w:val="0"/>
      <w:marRight w:val="0"/>
      <w:marTop w:val="0"/>
      <w:marBottom w:val="0"/>
      <w:divBdr>
        <w:top w:val="none" w:sz="0" w:space="0" w:color="auto"/>
        <w:left w:val="none" w:sz="0" w:space="0" w:color="auto"/>
        <w:bottom w:val="none" w:sz="0" w:space="0" w:color="auto"/>
        <w:right w:val="none" w:sz="0" w:space="0" w:color="auto"/>
      </w:divBdr>
    </w:div>
    <w:div w:id="1684237134">
      <w:bodyDiv w:val="1"/>
      <w:marLeft w:val="0"/>
      <w:marRight w:val="0"/>
      <w:marTop w:val="0"/>
      <w:marBottom w:val="0"/>
      <w:divBdr>
        <w:top w:val="none" w:sz="0" w:space="0" w:color="auto"/>
        <w:left w:val="none" w:sz="0" w:space="0" w:color="auto"/>
        <w:bottom w:val="none" w:sz="0" w:space="0" w:color="auto"/>
        <w:right w:val="none" w:sz="0" w:space="0" w:color="auto"/>
      </w:divBdr>
    </w:div>
    <w:div w:id="1892955961">
      <w:bodyDiv w:val="1"/>
      <w:marLeft w:val="0"/>
      <w:marRight w:val="0"/>
      <w:marTop w:val="0"/>
      <w:marBottom w:val="0"/>
      <w:divBdr>
        <w:top w:val="none" w:sz="0" w:space="0" w:color="auto"/>
        <w:left w:val="none" w:sz="0" w:space="0" w:color="auto"/>
        <w:bottom w:val="none" w:sz="0" w:space="0" w:color="auto"/>
        <w:right w:val="none" w:sz="0" w:space="0" w:color="auto"/>
      </w:divBdr>
    </w:div>
    <w:div w:id="2034767871">
      <w:bodyDiv w:val="1"/>
      <w:marLeft w:val="0"/>
      <w:marRight w:val="0"/>
      <w:marTop w:val="0"/>
      <w:marBottom w:val="0"/>
      <w:divBdr>
        <w:top w:val="none" w:sz="0" w:space="0" w:color="auto"/>
        <w:left w:val="none" w:sz="0" w:space="0" w:color="auto"/>
        <w:bottom w:val="none" w:sz="0" w:space="0" w:color="auto"/>
        <w:right w:val="none" w:sz="0" w:space="0" w:color="auto"/>
      </w:divBdr>
    </w:div>
    <w:div w:id="21442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4</DocSecurity>
  <Lines>10</Lines>
  <Paragraphs>3</Paragraphs>
  <ScaleCrop>false</ScaleCrop>
  <Company>Microsoft</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张淑静</dc:creator>
  <cp:lastModifiedBy>ZHONGM</cp:lastModifiedBy>
  <cp:revision>2</cp:revision>
  <dcterms:created xsi:type="dcterms:W3CDTF">2021-08-13T16:21:00Z</dcterms:created>
  <dcterms:modified xsi:type="dcterms:W3CDTF">2021-08-13T16:21:00Z</dcterms:modified>
</cp:coreProperties>
</file>