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D0" w:rsidRDefault="00C906D0" w:rsidP="00E24E07">
      <w:pPr>
        <w:jc w:val="center"/>
        <w:rPr>
          <w:rFonts w:ascii="Times New Roman" w:hAnsi="Times New Roman"/>
          <w:b/>
          <w:kern w:val="0"/>
          <w:sz w:val="32"/>
          <w:szCs w:val="28"/>
        </w:rPr>
      </w:pPr>
      <w:r>
        <w:rPr>
          <w:rFonts w:ascii="Times New Roman" w:hAnsi="Times New Roman" w:hint="eastAsia"/>
          <w:b/>
          <w:bCs/>
          <w:kern w:val="0"/>
          <w:sz w:val="32"/>
          <w:szCs w:val="28"/>
        </w:rPr>
        <w:t>财通基金管理有限公司</w:t>
      </w:r>
      <w:r>
        <w:rPr>
          <w:rFonts w:ascii="Times New Roman" w:hAnsi="Times New Roman" w:hint="eastAsia"/>
          <w:b/>
          <w:kern w:val="0"/>
          <w:sz w:val="32"/>
          <w:szCs w:val="28"/>
        </w:rPr>
        <w:t>旗下</w:t>
      </w:r>
      <w:r w:rsidR="00962F93">
        <w:rPr>
          <w:rFonts w:ascii="Times New Roman" w:hAnsi="Times New Roman" w:hint="eastAsia"/>
          <w:b/>
          <w:kern w:val="0"/>
          <w:sz w:val="32"/>
          <w:szCs w:val="28"/>
        </w:rPr>
        <w:t>公开</w:t>
      </w:r>
      <w:r w:rsidR="00962F93">
        <w:rPr>
          <w:rFonts w:ascii="Times New Roman" w:hAnsi="Times New Roman"/>
          <w:b/>
          <w:kern w:val="0"/>
          <w:sz w:val="32"/>
          <w:szCs w:val="28"/>
        </w:rPr>
        <w:t>募集</w:t>
      </w:r>
      <w:r>
        <w:rPr>
          <w:rFonts w:ascii="Times New Roman" w:hAnsi="Times New Roman" w:hint="eastAsia"/>
          <w:b/>
          <w:kern w:val="0"/>
          <w:sz w:val="32"/>
          <w:szCs w:val="28"/>
        </w:rPr>
        <w:t>证券投资基金</w:t>
      </w:r>
      <w:r w:rsidR="00962F93" w:rsidRPr="00766227">
        <w:rPr>
          <w:rFonts w:ascii="Times New Roman" w:hAnsi="Times New Roman"/>
          <w:b/>
          <w:bCs/>
          <w:kern w:val="0"/>
          <w:sz w:val="32"/>
          <w:szCs w:val="28"/>
        </w:rPr>
        <w:t>2021</w:t>
      </w:r>
      <w:r w:rsidR="00962F93" w:rsidRPr="00766227">
        <w:rPr>
          <w:rFonts w:ascii="Times New Roman" w:hAnsi="Times New Roman"/>
          <w:b/>
          <w:kern w:val="0"/>
          <w:sz w:val="32"/>
          <w:szCs w:val="28"/>
        </w:rPr>
        <w:t>年</w:t>
      </w:r>
    </w:p>
    <w:p w:rsidR="00E24E07" w:rsidRPr="00766227" w:rsidRDefault="00E24E07" w:rsidP="00E24E07">
      <w:pPr>
        <w:jc w:val="center"/>
        <w:rPr>
          <w:rFonts w:ascii="Times New Roman" w:hAnsi="Times New Roman" w:hint="eastAsia"/>
          <w:b/>
          <w:sz w:val="28"/>
        </w:rPr>
      </w:pPr>
      <w:r w:rsidRPr="00766227">
        <w:rPr>
          <w:rFonts w:ascii="Times New Roman" w:hAnsi="Times New Roman"/>
          <w:b/>
          <w:kern w:val="0"/>
          <w:sz w:val="32"/>
          <w:szCs w:val="28"/>
        </w:rPr>
        <w:t>风险评价结果</w:t>
      </w:r>
      <w:r w:rsidR="00C33D20">
        <w:rPr>
          <w:rFonts w:ascii="Times New Roman" w:hAnsi="Times New Roman" w:hint="eastAsia"/>
          <w:b/>
          <w:kern w:val="0"/>
          <w:sz w:val="32"/>
          <w:szCs w:val="28"/>
        </w:rPr>
        <w:t>的</w:t>
      </w:r>
      <w:r w:rsidR="00C33D20">
        <w:rPr>
          <w:rFonts w:ascii="Times New Roman" w:hAnsi="Times New Roman"/>
          <w:b/>
          <w:kern w:val="0"/>
          <w:sz w:val="32"/>
          <w:szCs w:val="28"/>
        </w:rPr>
        <w:t>公告</w:t>
      </w:r>
    </w:p>
    <w:p w:rsidR="00E24E07" w:rsidRPr="00766227" w:rsidRDefault="00E24E07" w:rsidP="00E24E07">
      <w:pPr>
        <w:pStyle w:val="Default"/>
        <w:rPr>
          <w:rFonts w:ascii="Times New Roman" w:eastAsia="宋体" w:hAnsi="Times New Roman" w:cs="Times New Roman"/>
        </w:rPr>
      </w:pPr>
    </w:p>
    <w:p w:rsidR="00E24E07" w:rsidRPr="00766227" w:rsidRDefault="00766227" w:rsidP="0082197A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  <w:b/>
        </w:rPr>
      </w:pPr>
      <w:r w:rsidRPr="00766227">
        <w:rPr>
          <w:rFonts w:ascii="Times New Roman" w:eastAsia="宋体" w:hAnsi="Times New Roman" w:cs="Times New Roman"/>
          <w:b/>
        </w:rPr>
        <w:t>一、公司旗下</w:t>
      </w:r>
      <w:r w:rsidR="00962F93">
        <w:rPr>
          <w:rFonts w:ascii="Times New Roman" w:eastAsia="宋体" w:hAnsi="Times New Roman" w:cs="Times New Roman" w:hint="eastAsia"/>
          <w:b/>
        </w:rPr>
        <w:t>基金</w:t>
      </w:r>
      <w:r w:rsidRPr="00766227">
        <w:rPr>
          <w:rFonts w:ascii="Times New Roman" w:eastAsia="宋体" w:hAnsi="Times New Roman" w:cs="Times New Roman"/>
          <w:b/>
        </w:rPr>
        <w:t>风险评价方法说明</w:t>
      </w:r>
    </w:p>
    <w:p w:rsidR="00766227" w:rsidRPr="00766227" w:rsidRDefault="00766227" w:rsidP="00766227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  <w:b/>
        </w:rPr>
      </w:pPr>
      <w:r w:rsidRPr="00766227">
        <w:rPr>
          <w:rFonts w:ascii="Times New Roman" w:eastAsia="宋体" w:hAnsi="Times New Roman" w:cs="Times New Roman"/>
          <w:b/>
        </w:rPr>
        <w:t>（一）主要依据与目的</w:t>
      </w:r>
    </w:p>
    <w:p w:rsidR="00766227" w:rsidRPr="00766227" w:rsidRDefault="00766227" w:rsidP="00766227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766227">
        <w:rPr>
          <w:rFonts w:ascii="Times New Roman" w:eastAsia="宋体" w:hAnsi="Times New Roman" w:cs="Times New Roman"/>
        </w:rPr>
        <w:t>财通基金管理有限公司</w:t>
      </w:r>
      <w:r w:rsidR="00E839DD">
        <w:rPr>
          <w:rFonts w:ascii="Times New Roman" w:eastAsia="宋体" w:hAnsi="Times New Roman" w:cs="Times New Roman" w:hint="eastAsia"/>
        </w:rPr>
        <w:t>（下称“本公司”）</w:t>
      </w:r>
      <w:r w:rsidRPr="00766227">
        <w:rPr>
          <w:rFonts w:ascii="Times New Roman" w:eastAsia="宋体" w:hAnsi="Times New Roman" w:cs="Times New Roman"/>
        </w:rPr>
        <w:t>旗下</w:t>
      </w:r>
      <w:r w:rsidR="00962F93">
        <w:rPr>
          <w:rFonts w:ascii="Times New Roman" w:eastAsia="宋体" w:hAnsi="Times New Roman" w:cs="Times New Roman" w:hint="eastAsia"/>
        </w:rPr>
        <w:t>公开</w:t>
      </w:r>
      <w:r w:rsidR="00962F93">
        <w:rPr>
          <w:rFonts w:ascii="Times New Roman" w:eastAsia="宋体" w:hAnsi="Times New Roman" w:cs="Times New Roman"/>
        </w:rPr>
        <w:t>募集</w:t>
      </w:r>
      <w:r w:rsidR="00C906D0">
        <w:rPr>
          <w:rFonts w:ascii="Times New Roman" w:eastAsia="宋体" w:hAnsi="Times New Roman" w:cs="Times New Roman" w:hint="eastAsia"/>
        </w:rPr>
        <w:t>证券投资基金</w:t>
      </w:r>
      <w:r w:rsidR="00962F93">
        <w:rPr>
          <w:rFonts w:ascii="Times New Roman" w:eastAsia="宋体" w:hAnsi="Times New Roman" w:cs="Times New Roman" w:hint="eastAsia"/>
        </w:rPr>
        <w:t>（下称</w:t>
      </w:r>
      <w:r w:rsidR="00962F93">
        <w:rPr>
          <w:rFonts w:ascii="Times New Roman" w:eastAsia="宋体" w:hAnsi="Times New Roman" w:cs="Times New Roman"/>
        </w:rPr>
        <w:t>“</w:t>
      </w:r>
      <w:r w:rsidR="00962F93">
        <w:rPr>
          <w:rFonts w:ascii="Times New Roman" w:eastAsia="宋体" w:hAnsi="Times New Roman" w:cs="Times New Roman" w:hint="eastAsia"/>
        </w:rPr>
        <w:t>基金</w:t>
      </w:r>
      <w:r w:rsidR="00962F93">
        <w:rPr>
          <w:rFonts w:ascii="Times New Roman" w:eastAsia="宋体" w:hAnsi="Times New Roman" w:cs="Times New Roman"/>
        </w:rPr>
        <w:t>”</w:t>
      </w:r>
      <w:r w:rsidR="00962F93">
        <w:rPr>
          <w:rFonts w:ascii="Times New Roman" w:eastAsia="宋体" w:hAnsi="Times New Roman" w:cs="Times New Roman" w:hint="eastAsia"/>
        </w:rPr>
        <w:t>）</w:t>
      </w:r>
      <w:r w:rsidRPr="00766227">
        <w:rPr>
          <w:rFonts w:ascii="Times New Roman" w:eastAsia="宋体" w:hAnsi="Times New Roman" w:cs="Times New Roman"/>
        </w:rPr>
        <w:t>的风险评价工作方法，主要依据《</w:t>
      </w:r>
      <w:r w:rsidR="00962F93">
        <w:rPr>
          <w:rFonts w:ascii="Times New Roman" w:eastAsia="宋体" w:hAnsi="Times New Roman" w:cs="Times New Roman" w:hint="eastAsia"/>
        </w:rPr>
        <w:t>中华人民</w:t>
      </w:r>
      <w:r w:rsidR="00962F93">
        <w:rPr>
          <w:rFonts w:ascii="Times New Roman" w:eastAsia="宋体" w:hAnsi="Times New Roman" w:cs="Times New Roman"/>
        </w:rPr>
        <w:t>共和国</w:t>
      </w:r>
      <w:r w:rsidRPr="00766227">
        <w:rPr>
          <w:rFonts w:ascii="Times New Roman" w:eastAsia="宋体" w:hAnsi="Times New Roman" w:cs="Times New Roman"/>
        </w:rPr>
        <w:t>证券投资基金法》、《公开募集证券投资基金运作管理办法》、《</w:t>
      </w:r>
      <w:r w:rsidR="00962F93" w:rsidRPr="00962F93">
        <w:rPr>
          <w:rFonts w:ascii="Times New Roman" w:eastAsia="宋体" w:hAnsi="Times New Roman" w:cs="Times New Roman" w:hint="eastAsia"/>
        </w:rPr>
        <w:t>公开募集证券投资基金销售机构监督管理办法</w:t>
      </w:r>
      <w:r w:rsidRPr="00766227">
        <w:rPr>
          <w:rFonts w:ascii="Times New Roman" w:eastAsia="宋体" w:hAnsi="Times New Roman" w:cs="Times New Roman"/>
        </w:rPr>
        <w:t>》、《</w:t>
      </w:r>
      <w:r w:rsidR="00962F93" w:rsidRPr="00962F93">
        <w:rPr>
          <w:rFonts w:ascii="Times New Roman" w:eastAsia="宋体" w:hAnsi="Times New Roman" w:cs="Times New Roman" w:hint="eastAsia"/>
        </w:rPr>
        <w:t>证券期货投资者适当性管理办法</w:t>
      </w:r>
      <w:r w:rsidRPr="00766227">
        <w:rPr>
          <w:rFonts w:ascii="Times New Roman" w:eastAsia="宋体" w:hAnsi="Times New Roman" w:cs="Times New Roman"/>
        </w:rPr>
        <w:t>》及其他法律法规的要求，目的是为了规范</w:t>
      </w:r>
      <w:r w:rsidR="00962F93">
        <w:rPr>
          <w:rFonts w:ascii="Times New Roman" w:eastAsia="宋体" w:hAnsi="Times New Roman" w:cs="Times New Roman"/>
        </w:rPr>
        <w:t>基金</w:t>
      </w:r>
      <w:r w:rsidRPr="00766227">
        <w:rPr>
          <w:rFonts w:ascii="Times New Roman" w:eastAsia="宋体" w:hAnsi="Times New Roman" w:cs="Times New Roman"/>
        </w:rPr>
        <w:t>投资者适当性管理，维护基金投资者的利益。</w:t>
      </w:r>
    </w:p>
    <w:p w:rsidR="00766227" w:rsidRPr="00766227" w:rsidRDefault="00766227" w:rsidP="00E24E07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szCs w:val="21"/>
        </w:rPr>
      </w:pPr>
    </w:p>
    <w:p w:rsidR="00766227" w:rsidRPr="00766227" w:rsidRDefault="00766227" w:rsidP="0082197A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  <w:b/>
          <w:szCs w:val="21"/>
        </w:rPr>
      </w:pPr>
      <w:r w:rsidRPr="00766227">
        <w:rPr>
          <w:rFonts w:ascii="Times New Roman" w:hAnsi="Times New Roman" w:cs="Times New Roman"/>
          <w:b/>
          <w:szCs w:val="21"/>
        </w:rPr>
        <w:t>（二）基金的风险等级</w:t>
      </w:r>
    </w:p>
    <w:p w:rsidR="00766227" w:rsidRDefault="00962F93" w:rsidP="0082197A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基金</w:t>
      </w:r>
      <w:r w:rsidR="00766227" w:rsidRPr="00766227">
        <w:rPr>
          <w:rFonts w:ascii="Times New Roman" w:eastAsia="宋体" w:hAnsi="Times New Roman" w:cs="Times New Roman"/>
        </w:rPr>
        <w:t>风险评价结果以基金产品风险等级来具体反映，</w:t>
      </w:r>
      <w:r>
        <w:rPr>
          <w:rFonts w:ascii="Times New Roman" w:eastAsia="宋体" w:hAnsi="Times New Roman" w:cs="Times New Roman" w:hint="eastAsia"/>
        </w:rPr>
        <w:t>基金</w:t>
      </w:r>
      <w:r w:rsidR="00766227" w:rsidRPr="00766227">
        <w:rPr>
          <w:rFonts w:ascii="Times New Roman" w:eastAsia="宋体" w:hAnsi="Times New Roman" w:cs="Times New Roman"/>
        </w:rPr>
        <w:t>风险包括以下五个等级：</w:t>
      </w:r>
      <w:r w:rsidR="00766227" w:rsidRPr="00766227">
        <w:rPr>
          <w:rFonts w:ascii="Times New Roman" w:eastAsia="宋体" w:hAnsi="Times New Roman" w:cs="Times New Roman"/>
        </w:rPr>
        <w:t>R1</w:t>
      </w:r>
      <w:r w:rsidR="00766227" w:rsidRPr="00766227">
        <w:rPr>
          <w:rFonts w:ascii="Times New Roman" w:eastAsia="宋体" w:hAnsi="Times New Roman" w:cs="Times New Roman"/>
        </w:rPr>
        <w:t>、</w:t>
      </w:r>
      <w:r w:rsidR="00766227" w:rsidRPr="00766227">
        <w:rPr>
          <w:rFonts w:ascii="Times New Roman" w:eastAsia="宋体" w:hAnsi="Times New Roman" w:cs="Times New Roman"/>
        </w:rPr>
        <w:t>R2</w:t>
      </w:r>
      <w:r w:rsidR="00766227" w:rsidRPr="00766227">
        <w:rPr>
          <w:rFonts w:ascii="Times New Roman" w:eastAsia="宋体" w:hAnsi="Times New Roman" w:cs="Times New Roman"/>
        </w:rPr>
        <w:t>、</w:t>
      </w:r>
      <w:r w:rsidR="00766227" w:rsidRPr="00766227">
        <w:rPr>
          <w:rFonts w:ascii="Times New Roman" w:eastAsia="宋体" w:hAnsi="Times New Roman" w:cs="Times New Roman"/>
        </w:rPr>
        <w:t>R3</w:t>
      </w:r>
      <w:r w:rsidR="00766227" w:rsidRPr="00766227">
        <w:rPr>
          <w:rFonts w:ascii="Times New Roman" w:eastAsia="宋体" w:hAnsi="Times New Roman" w:cs="Times New Roman"/>
        </w:rPr>
        <w:t>、</w:t>
      </w:r>
      <w:r w:rsidR="00766227" w:rsidRPr="00766227">
        <w:rPr>
          <w:rFonts w:ascii="Times New Roman" w:eastAsia="宋体" w:hAnsi="Times New Roman" w:cs="Times New Roman"/>
        </w:rPr>
        <w:t>R4</w:t>
      </w:r>
      <w:r w:rsidR="00766227" w:rsidRPr="00766227">
        <w:rPr>
          <w:rFonts w:ascii="Times New Roman" w:eastAsia="宋体" w:hAnsi="Times New Roman" w:cs="Times New Roman"/>
        </w:rPr>
        <w:t>、</w:t>
      </w:r>
      <w:r w:rsidR="00766227" w:rsidRPr="00766227">
        <w:rPr>
          <w:rFonts w:ascii="Times New Roman" w:eastAsia="宋体" w:hAnsi="Times New Roman" w:cs="Times New Roman"/>
        </w:rPr>
        <w:t>R5</w:t>
      </w:r>
      <w:r w:rsidR="00766227" w:rsidRPr="00766227">
        <w:rPr>
          <w:rFonts w:ascii="Times New Roman" w:eastAsia="宋体" w:hAnsi="Times New Roman" w:cs="Times New Roman"/>
        </w:rPr>
        <w:t>。</w:t>
      </w:r>
    </w:p>
    <w:p w:rsidR="00ED72DE" w:rsidRDefault="00ED72DE" w:rsidP="002575CB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  <w:b/>
          <w:szCs w:val="21"/>
        </w:rPr>
      </w:pPr>
    </w:p>
    <w:p w:rsidR="00ED72DE" w:rsidRPr="002575CB" w:rsidRDefault="00ED72DE" w:rsidP="002575CB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  <w:b/>
          <w:szCs w:val="21"/>
        </w:rPr>
      </w:pPr>
      <w:r w:rsidRPr="00766227"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三</w:t>
      </w:r>
      <w:r w:rsidRPr="00766227">
        <w:rPr>
          <w:rFonts w:ascii="Times New Roman" w:hAnsi="Times New Roman" w:cs="Times New Roman"/>
          <w:b/>
          <w:szCs w:val="21"/>
        </w:rPr>
        <w:t>）</w:t>
      </w:r>
      <w:r w:rsidRPr="002575CB">
        <w:rPr>
          <w:rFonts w:ascii="Times New Roman" w:hAnsi="Times New Roman" w:cs="Times New Roman" w:hint="eastAsia"/>
          <w:b/>
          <w:szCs w:val="21"/>
        </w:rPr>
        <w:t>投资者</w:t>
      </w:r>
      <w:r>
        <w:rPr>
          <w:rFonts w:ascii="Times New Roman" w:hAnsi="Times New Roman" w:cs="Times New Roman" w:hint="eastAsia"/>
          <w:b/>
          <w:szCs w:val="21"/>
        </w:rPr>
        <w:t>风险偏好</w:t>
      </w:r>
      <w:r w:rsidRPr="002575CB">
        <w:rPr>
          <w:rFonts w:ascii="Times New Roman" w:hAnsi="Times New Roman" w:cs="Times New Roman" w:hint="eastAsia"/>
          <w:b/>
          <w:szCs w:val="21"/>
        </w:rPr>
        <w:t>与产品</w:t>
      </w:r>
      <w:r>
        <w:rPr>
          <w:rFonts w:ascii="Times New Roman" w:hAnsi="Times New Roman" w:cs="Times New Roman" w:hint="eastAsia"/>
          <w:b/>
          <w:szCs w:val="21"/>
        </w:rPr>
        <w:t>风险等级</w:t>
      </w:r>
      <w:r w:rsidRPr="002575CB">
        <w:rPr>
          <w:rFonts w:ascii="Times New Roman" w:hAnsi="Times New Roman" w:cs="Times New Roman" w:hint="eastAsia"/>
          <w:b/>
          <w:szCs w:val="21"/>
        </w:rPr>
        <w:t>匹配</w:t>
      </w:r>
      <w:r w:rsidRPr="001D27D6">
        <w:rPr>
          <w:rFonts w:ascii="Times New Roman" w:hAnsi="Times New Roman" w:cs="Times New Roman" w:hint="eastAsia"/>
          <w:b/>
          <w:szCs w:val="21"/>
        </w:rPr>
        <w:t>原则</w:t>
      </w:r>
    </w:p>
    <w:p w:rsidR="00ED72DE" w:rsidRDefault="00ED72DE" w:rsidP="00ED72DE">
      <w:pPr>
        <w:widowControl/>
        <w:spacing w:before="100" w:beforeAutospacing="1" w:after="100" w:afterAutospacing="1" w:line="560" w:lineRule="exact"/>
        <w:ind w:firstLineChars="200" w:firstLine="480"/>
        <w:jc w:val="left"/>
        <w:outlineLvl w:val="5"/>
        <w:rPr>
          <w:sz w:val="24"/>
        </w:rPr>
      </w:pPr>
      <w:r>
        <w:rPr>
          <w:rFonts w:ascii="Times New Roman" w:hAnsi="宋体" w:hint="eastAsia"/>
          <w:bCs/>
          <w:kern w:val="0"/>
          <w:sz w:val="24"/>
          <w:szCs w:val="24"/>
        </w:rPr>
        <w:t>本公司将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根据投资</w:t>
      </w:r>
      <w:r>
        <w:rPr>
          <w:rFonts w:ascii="Times New Roman" w:hAnsi="宋体" w:hint="eastAsia"/>
          <w:bCs/>
          <w:kern w:val="0"/>
          <w:sz w:val="24"/>
          <w:szCs w:val="24"/>
        </w:rPr>
        <w:t>者更新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的基本信息、财务状况、收入情况、投资目标、风险偏好、投资经历等要素，按照</w:t>
      </w:r>
      <w:r>
        <w:rPr>
          <w:rFonts w:ascii="Times New Roman" w:hAnsi="宋体" w:hint="eastAsia"/>
          <w:bCs/>
          <w:kern w:val="0"/>
          <w:sz w:val="24"/>
          <w:szCs w:val="24"/>
        </w:rPr>
        <w:t>投资者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风险承受能力由低至高，将</w:t>
      </w:r>
      <w:r>
        <w:rPr>
          <w:rFonts w:ascii="Times New Roman" w:hAnsi="宋体" w:hint="eastAsia"/>
          <w:bCs/>
          <w:kern w:val="0"/>
          <w:sz w:val="24"/>
          <w:szCs w:val="24"/>
        </w:rPr>
        <w:t>投资者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划分为“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C1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”、“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C2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”、“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C3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”、“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C4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”、“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C5</w:t>
      </w:r>
      <w:r w:rsidRPr="00D60341">
        <w:rPr>
          <w:rFonts w:ascii="Times New Roman" w:hAnsi="宋体" w:hint="eastAsia"/>
          <w:bCs/>
          <w:kern w:val="0"/>
          <w:sz w:val="24"/>
          <w:szCs w:val="24"/>
        </w:rPr>
        <w:t>”五个类别。</w:t>
      </w:r>
      <w:r>
        <w:rPr>
          <w:rFonts w:ascii="Times New Roman" w:hAnsi="宋体" w:hint="eastAsia"/>
          <w:bCs/>
          <w:kern w:val="0"/>
          <w:sz w:val="24"/>
          <w:szCs w:val="24"/>
        </w:rPr>
        <w:t>其中，</w:t>
      </w:r>
      <w:r w:rsidRPr="005B7C75">
        <w:rPr>
          <w:rFonts w:hint="eastAsia"/>
          <w:sz w:val="24"/>
        </w:rPr>
        <w:t>投资</w:t>
      </w:r>
      <w:r>
        <w:rPr>
          <w:rFonts w:hint="eastAsia"/>
          <w:sz w:val="24"/>
        </w:rPr>
        <w:t>者</w:t>
      </w:r>
      <w:r w:rsidRPr="005B7C75">
        <w:rPr>
          <w:rFonts w:hint="eastAsia"/>
          <w:sz w:val="24"/>
        </w:rPr>
        <w:t>与产品应按如下原则匹配：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D72DE" w:rsidTr="00020C76">
        <w:trPr>
          <w:trHeight w:val="668"/>
        </w:trPr>
        <w:tc>
          <w:tcPr>
            <w:tcW w:w="1420" w:type="dxa"/>
            <w:tcBorders>
              <w:tl2br w:val="single" w:sz="4" w:space="0" w:color="auto"/>
            </w:tcBorders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产品风险等级</w:t>
            </w:r>
          </w:p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投资人类别</w:t>
            </w:r>
          </w:p>
        </w:tc>
        <w:tc>
          <w:tcPr>
            <w:tcW w:w="1420" w:type="dxa"/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R1</w:t>
            </w:r>
          </w:p>
        </w:tc>
        <w:tc>
          <w:tcPr>
            <w:tcW w:w="1420" w:type="dxa"/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R2</w:t>
            </w:r>
          </w:p>
        </w:tc>
        <w:tc>
          <w:tcPr>
            <w:tcW w:w="1420" w:type="dxa"/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R3</w:t>
            </w:r>
          </w:p>
        </w:tc>
        <w:tc>
          <w:tcPr>
            <w:tcW w:w="1421" w:type="dxa"/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R4</w:t>
            </w:r>
          </w:p>
        </w:tc>
        <w:tc>
          <w:tcPr>
            <w:tcW w:w="1421" w:type="dxa"/>
            <w:vAlign w:val="center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R5</w:t>
            </w:r>
          </w:p>
        </w:tc>
      </w:tr>
      <w:tr w:rsidR="00ED72DE" w:rsidTr="00020C76"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C1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</w:tr>
      <w:tr w:rsidR="00ED72DE" w:rsidTr="00020C76"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C2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</w:tr>
      <w:tr w:rsidR="00ED72DE" w:rsidTr="00020C76"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C3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</w:tr>
      <w:tr w:rsidR="00ED72DE" w:rsidTr="00020C76"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lastRenderedPageBreak/>
              <w:t>C4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</w:p>
        </w:tc>
      </w:tr>
      <w:tr w:rsidR="00ED72DE" w:rsidTr="00020C76"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C5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:rsidR="00ED72DE" w:rsidRPr="00D60341" w:rsidRDefault="00ED72DE" w:rsidP="00020C76">
            <w:pPr>
              <w:spacing w:before="100" w:beforeAutospacing="1" w:after="100" w:afterAutospacing="1" w:line="312" w:lineRule="auto"/>
              <w:jc w:val="center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 w:rsidRPr="00D6034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√</w:t>
            </w:r>
          </w:p>
        </w:tc>
      </w:tr>
    </w:tbl>
    <w:p w:rsidR="00ED72DE" w:rsidRPr="00766227" w:rsidRDefault="00ED72DE" w:rsidP="0082197A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 w:hint="eastAsia"/>
        </w:rPr>
      </w:pPr>
    </w:p>
    <w:p w:rsidR="00E24E07" w:rsidRPr="00766227" w:rsidRDefault="00766227" w:rsidP="0082197A">
      <w:pPr>
        <w:pStyle w:val="Default"/>
        <w:spacing w:line="360" w:lineRule="auto"/>
        <w:ind w:firstLineChars="200" w:firstLine="482"/>
        <w:rPr>
          <w:rFonts w:ascii="Times New Roman" w:hAnsi="Times New Roman" w:cs="Times New Roman"/>
          <w:b/>
          <w:szCs w:val="21"/>
        </w:rPr>
      </w:pPr>
      <w:r w:rsidRPr="00766227">
        <w:rPr>
          <w:rFonts w:ascii="Times New Roman" w:hAnsi="Times New Roman" w:cs="Times New Roman"/>
          <w:b/>
          <w:szCs w:val="21"/>
        </w:rPr>
        <w:t>二、基金风险评价结果</w:t>
      </w:r>
    </w:p>
    <w:p w:rsidR="00E24E07" w:rsidRPr="00766227" w:rsidRDefault="00E24E07" w:rsidP="00E24E07">
      <w:pPr>
        <w:rPr>
          <w:rFonts w:ascii="Times New Roman" w:hAnsi="Times New Roman"/>
        </w:rPr>
      </w:pPr>
    </w:p>
    <w:tbl>
      <w:tblPr>
        <w:tblW w:w="8658" w:type="dxa"/>
        <w:tblInd w:w="-34" w:type="dxa"/>
        <w:tblLook w:val="04A0"/>
      </w:tblPr>
      <w:tblGrid>
        <w:gridCol w:w="709"/>
        <w:gridCol w:w="5114"/>
        <w:gridCol w:w="1985"/>
        <w:gridCol w:w="850"/>
      </w:tblGrid>
      <w:tr w:rsidR="00E24E07" w:rsidRPr="00766227" w:rsidTr="002575C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766227">
              <w:rPr>
                <w:rFonts w:ascii="Times New Roman" w:hAnsi="Times New Roman"/>
                <w:b/>
                <w:bCs/>
                <w:kern w:val="0"/>
                <w:sz w:val="22"/>
              </w:rPr>
              <w:t>基金全称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766227">
              <w:rPr>
                <w:rFonts w:ascii="Times New Roman" w:hAnsi="Times New Roman"/>
                <w:b/>
                <w:bCs/>
                <w:kern w:val="0"/>
                <w:sz w:val="22"/>
              </w:rPr>
              <w:t>产品类型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风险评价结果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财通价值动量混合型证券投资基金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财通可转债债券型证券投资基金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中证财通中国可持续发展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100(ECPI ESG)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指数增强型证券投资基金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股票型基金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财通可持续发展主题混合型证券投资基金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财通成长优选混合型证券投资基金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财通多策略精选混合型证券投资基金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(LOF)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财通收益增强债券型证券投资基金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财通多策略升级混合型证券投资基金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(LOF)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财通财通宝货币市场基金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货币市场型基金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R1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财通多策略福享混合型证券投资基金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(LOF)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财通多策略福瑞混合型发起式证券投资基金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(LOF)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财通福盛多策略混合型发起式证券投资基金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(LOF)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财通多策略福鑫定期开放灵活配置混合型发起式证券投资基金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财通新视野灵活配置混合型证券投资基金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财通汇利纯债债券型证券投资基金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财通量化核心优选混合型证券投资基金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财通聚利纯债债券型证券投资基金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财通集成电路产业股票型证券投资基金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股票型基金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财通量化价值优选灵活配置混合型证券投资基金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财通新兴蓝筹混合型证券投资基金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财通安瑞短债债券型证券投资基金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财通中证香港红利等权投资指数型证券投资基金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股票型基金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财通科创主题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年封闭运作灵活配置混合型证券投资基金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财通恒利纯债债券型证券投资基金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财通久利三个月定期开放债券型发起式证券投资基金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财通兴利纯债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个月定期开放债券型发起式证券投资基金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财通裕惠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个月定期开放债券型证券投资基金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财通智慧成长混合型证券投资基金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财通行业龙头精选混合型证券投资基金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财通科技创新混合型证券投资基金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财通内需增长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个月定期开放混合型证券投资基金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财通多利纯债债券型证券投资基金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财通裕泰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87</w:t>
            </w: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个月定期开放债券型证券投资基金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债券型基金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R2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财通安盈混合型证券投资基金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财通景气行业一年封闭运作混合型证券投资基金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财通智选消费股票型证券投资基金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股票型基金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财通优势行业轮动混合型证券投资基金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  <w:tr w:rsidR="00E24E07" w:rsidRPr="00766227" w:rsidTr="002575CB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财通安华混合型发起式证券投资基金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76622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07" w:rsidRPr="00766227" w:rsidRDefault="00E24E07" w:rsidP="00EF58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66227">
              <w:rPr>
                <w:rFonts w:ascii="Times New Roman" w:hAnsi="Times New Roman"/>
                <w:color w:val="000000"/>
                <w:kern w:val="0"/>
                <w:sz w:val="22"/>
              </w:rPr>
              <w:t>R3</w:t>
            </w:r>
          </w:p>
        </w:tc>
      </w:tr>
    </w:tbl>
    <w:p w:rsidR="00E24E07" w:rsidRDefault="00E24E07" w:rsidP="00E24E07">
      <w:pPr>
        <w:rPr>
          <w:rFonts w:ascii="Times New Roman" w:hAnsi="Times New Roman" w:hint="eastAsia"/>
        </w:rPr>
      </w:pPr>
    </w:p>
    <w:p w:rsidR="008955E2" w:rsidRDefault="008955E2" w:rsidP="008955E2">
      <w:pPr>
        <w:pStyle w:val="ad"/>
        <w:spacing w:beforeLines="50" w:afterLines="50" w:line="36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ar-SA"/>
        </w:rPr>
        <w:t>风险提示：本公司承诺以诚实信用、勤勉尽责的原则管理和运用基金资产，但不保证基金一定盈利，也不保证最低收益。敬请投资人注意投资风险。投资者投资基金前应认真阅读基金的基金合同、更新的招募说明书。</w:t>
      </w:r>
    </w:p>
    <w:p w:rsidR="00766227" w:rsidRPr="008955E2" w:rsidRDefault="00766227" w:rsidP="00E24E07">
      <w:pPr>
        <w:rPr>
          <w:rFonts w:ascii="Times New Roman" w:hAnsi="Times New Roman"/>
        </w:rPr>
      </w:pPr>
    </w:p>
    <w:p w:rsidR="00E24E07" w:rsidRPr="00766227" w:rsidRDefault="00E24E07" w:rsidP="00E24E07">
      <w:pPr>
        <w:rPr>
          <w:rFonts w:ascii="Times New Roman" w:hAnsi="Times New Roman"/>
        </w:rPr>
      </w:pPr>
    </w:p>
    <w:p w:rsidR="00E24E07" w:rsidRPr="00766227" w:rsidRDefault="00766227" w:rsidP="00766227">
      <w:pPr>
        <w:jc w:val="right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766227">
        <w:rPr>
          <w:rFonts w:ascii="Times New Roman" w:hAnsi="Times New Roman" w:hint="eastAsia"/>
          <w:color w:val="000000"/>
          <w:kern w:val="0"/>
          <w:sz w:val="24"/>
          <w:szCs w:val="24"/>
        </w:rPr>
        <w:t>财通基金管理有限公司</w:t>
      </w:r>
    </w:p>
    <w:p w:rsidR="00766227" w:rsidRDefault="00766227" w:rsidP="00766227">
      <w:pPr>
        <w:jc w:val="right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766227" w:rsidRPr="00766227" w:rsidRDefault="00962F93" w:rsidP="00766227">
      <w:pPr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二〇二一</w:t>
      </w:r>
      <w:r w:rsidR="00766227" w:rsidRPr="00766227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八</w:t>
      </w:r>
      <w:r w:rsidR="00766227" w:rsidRPr="00766227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2575CB">
        <w:rPr>
          <w:rFonts w:ascii="Times New Roman" w:hAnsi="Times New Roman" w:hint="eastAsia"/>
          <w:color w:val="000000"/>
          <w:kern w:val="0"/>
          <w:sz w:val="24"/>
          <w:szCs w:val="24"/>
        </w:rPr>
        <w:t>十</w:t>
      </w:r>
      <w:r w:rsidR="00766227" w:rsidRPr="00766227"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BB3501" w:rsidRPr="00766227" w:rsidRDefault="00BB3501" w:rsidP="006B3F51">
      <w:pPr>
        <w:widowControl/>
        <w:spacing w:line="300" w:lineRule="auto"/>
        <w:jc w:val="right"/>
        <w:outlineLvl w:val="5"/>
        <w:rPr>
          <w:rFonts w:ascii="Times New Roman" w:eastAsia="仿宋" w:hAnsi="Times New Roman"/>
          <w:color w:val="000000"/>
          <w:sz w:val="32"/>
          <w:szCs w:val="32"/>
        </w:rPr>
      </w:pPr>
      <w:bookmarkStart w:id="0" w:name="_GoBack"/>
      <w:bookmarkEnd w:id="0"/>
    </w:p>
    <w:sectPr w:rsidR="00BB3501" w:rsidRPr="00766227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B8" w:rsidRDefault="000221B8" w:rsidP="009A149B">
      <w:r>
        <w:separator/>
      </w:r>
    </w:p>
  </w:endnote>
  <w:endnote w:type="continuationSeparator" w:id="0">
    <w:p w:rsidR="000221B8" w:rsidRDefault="000221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Y壵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0" w:rsidRDefault="00E941F0">
    <w:pPr>
      <w:pStyle w:val="a4"/>
      <w:jc w:val="center"/>
    </w:pPr>
    <w:fldSimple w:instr="PAGE   \* MERGEFORMAT">
      <w:r w:rsidR="00165639" w:rsidRPr="00165639">
        <w:rPr>
          <w:noProof/>
          <w:lang w:val="zh-CN"/>
        </w:rPr>
        <w:t>2</w:t>
      </w:r>
    </w:fldSimple>
  </w:p>
  <w:p w:rsidR="00E941F0" w:rsidRDefault="00E941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0" w:rsidRDefault="00E941F0">
    <w:pPr>
      <w:pStyle w:val="a4"/>
      <w:jc w:val="center"/>
    </w:pPr>
    <w:fldSimple w:instr="PAGE   \* MERGEFORMAT">
      <w:r w:rsidR="00165639" w:rsidRPr="00165639">
        <w:rPr>
          <w:noProof/>
          <w:lang w:val="zh-CN"/>
        </w:rPr>
        <w:t>1</w:t>
      </w:r>
    </w:fldSimple>
  </w:p>
  <w:p w:rsidR="00E941F0" w:rsidRDefault="00E941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B8" w:rsidRDefault="000221B8" w:rsidP="009A149B">
      <w:r>
        <w:separator/>
      </w:r>
    </w:p>
  </w:footnote>
  <w:footnote w:type="continuationSeparator" w:id="0">
    <w:p w:rsidR="000221B8" w:rsidRDefault="000221B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F0" w:rsidRDefault="00E941F0" w:rsidP="00987E32">
    <w:pPr>
      <w:pStyle w:val="a3"/>
      <w:pBdr>
        <w:bottom w:val="single" w:sz="6" w:space="2" w:color="auto"/>
      </w:pBdr>
      <w:tabs>
        <w:tab w:val="clear" w:pos="4153"/>
      </w:tabs>
      <w:jc w:val="left"/>
      <w:rPr>
        <w:rFonts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76"/>
    <w:rsid w:val="000221B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0980"/>
    <w:rsid w:val="0009227A"/>
    <w:rsid w:val="00093E55"/>
    <w:rsid w:val="00094F20"/>
    <w:rsid w:val="00096EFA"/>
    <w:rsid w:val="000A0272"/>
    <w:rsid w:val="000A0ECE"/>
    <w:rsid w:val="000A42AC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2F84"/>
    <w:rsid w:val="00126BB0"/>
    <w:rsid w:val="001279BE"/>
    <w:rsid w:val="0013251E"/>
    <w:rsid w:val="001445A9"/>
    <w:rsid w:val="00146307"/>
    <w:rsid w:val="00151626"/>
    <w:rsid w:val="001533B2"/>
    <w:rsid w:val="001623CF"/>
    <w:rsid w:val="00165639"/>
    <w:rsid w:val="00165D5C"/>
    <w:rsid w:val="00166B15"/>
    <w:rsid w:val="00174B04"/>
    <w:rsid w:val="00174C8C"/>
    <w:rsid w:val="0017571E"/>
    <w:rsid w:val="00175AED"/>
    <w:rsid w:val="00191702"/>
    <w:rsid w:val="00192262"/>
    <w:rsid w:val="001A593B"/>
    <w:rsid w:val="001B3BD8"/>
    <w:rsid w:val="001D04AB"/>
    <w:rsid w:val="001D2521"/>
    <w:rsid w:val="001D33D7"/>
    <w:rsid w:val="001D74AE"/>
    <w:rsid w:val="001E0059"/>
    <w:rsid w:val="001E7CAD"/>
    <w:rsid w:val="001F125D"/>
    <w:rsid w:val="001F15CB"/>
    <w:rsid w:val="001F533E"/>
    <w:rsid w:val="002074D1"/>
    <w:rsid w:val="0021074F"/>
    <w:rsid w:val="0021172E"/>
    <w:rsid w:val="00221DE2"/>
    <w:rsid w:val="00234298"/>
    <w:rsid w:val="0023722A"/>
    <w:rsid w:val="002471D4"/>
    <w:rsid w:val="00253326"/>
    <w:rsid w:val="002575CB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27F"/>
    <w:rsid w:val="002A1F54"/>
    <w:rsid w:val="002A1FE8"/>
    <w:rsid w:val="002A4FF0"/>
    <w:rsid w:val="002B144C"/>
    <w:rsid w:val="002B16F4"/>
    <w:rsid w:val="002B2DA0"/>
    <w:rsid w:val="002B35CD"/>
    <w:rsid w:val="002B7B4F"/>
    <w:rsid w:val="002C5D36"/>
    <w:rsid w:val="002D069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2DC"/>
    <w:rsid w:val="003448D6"/>
    <w:rsid w:val="003465E1"/>
    <w:rsid w:val="003467B5"/>
    <w:rsid w:val="00355B7C"/>
    <w:rsid w:val="00361065"/>
    <w:rsid w:val="0036248F"/>
    <w:rsid w:val="00376B58"/>
    <w:rsid w:val="00382BCB"/>
    <w:rsid w:val="00391944"/>
    <w:rsid w:val="00393949"/>
    <w:rsid w:val="003948AF"/>
    <w:rsid w:val="00394BBC"/>
    <w:rsid w:val="003A4AC6"/>
    <w:rsid w:val="003A60D9"/>
    <w:rsid w:val="003C2820"/>
    <w:rsid w:val="003C3CB5"/>
    <w:rsid w:val="003C5A1A"/>
    <w:rsid w:val="003D0424"/>
    <w:rsid w:val="003D32D7"/>
    <w:rsid w:val="003F035F"/>
    <w:rsid w:val="003F4E13"/>
    <w:rsid w:val="003F6960"/>
    <w:rsid w:val="0040020D"/>
    <w:rsid w:val="00400EEC"/>
    <w:rsid w:val="00401BE3"/>
    <w:rsid w:val="00403663"/>
    <w:rsid w:val="00405ADB"/>
    <w:rsid w:val="00420A2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77FA4"/>
    <w:rsid w:val="0048111A"/>
    <w:rsid w:val="004836C8"/>
    <w:rsid w:val="00487BF1"/>
    <w:rsid w:val="00491FCB"/>
    <w:rsid w:val="00497943"/>
    <w:rsid w:val="00497A8B"/>
    <w:rsid w:val="004A0E45"/>
    <w:rsid w:val="004A54A6"/>
    <w:rsid w:val="004B1105"/>
    <w:rsid w:val="004B404A"/>
    <w:rsid w:val="004C3109"/>
    <w:rsid w:val="004C44C4"/>
    <w:rsid w:val="004C625A"/>
    <w:rsid w:val="004C6355"/>
    <w:rsid w:val="004E1785"/>
    <w:rsid w:val="004E1D5E"/>
    <w:rsid w:val="004E4408"/>
    <w:rsid w:val="004E630B"/>
    <w:rsid w:val="004F7313"/>
    <w:rsid w:val="005158A6"/>
    <w:rsid w:val="005168C5"/>
    <w:rsid w:val="0052094C"/>
    <w:rsid w:val="00531A4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3D5D"/>
    <w:rsid w:val="005B5746"/>
    <w:rsid w:val="005B60A2"/>
    <w:rsid w:val="005C00AF"/>
    <w:rsid w:val="005C7C95"/>
    <w:rsid w:val="005D228C"/>
    <w:rsid w:val="005D3C24"/>
    <w:rsid w:val="005D4528"/>
    <w:rsid w:val="005E088E"/>
    <w:rsid w:val="005E0F00"/>
    <w:rsid w:val="005E374E"/>
    <w:rsid w:val="005F4D9C"/>
    <w:rsid w:val="005F7E5C"/>
    <w:rsid w:val="00604996"/>
    <w:rsid w:val="00605B67"/>
    <w:rsid w:val="006163B1"/>
    <w:rsid w:val="00616874"/>
    <w:rsid w:val="00621EB5"/>
    <w:rsid w:val="0062562C"/>
    <w:rsid w:val="0062589F"/>
    <w:rsid w:val="00626EA8"/>
    <w:rsid w:val="006340DE"/>
    <w:rsid w:val="00640000"/>
    <w:rsid w:val="006415F9"/>
    <w:rsid w:val="00641CEA"/>
    <w:rsid w:val="006444A0"/>
    <w:rsid w:val="0065080E"/>
    <w:rsid w:val="00655229"/>
    <w:rsid w:val="00656B0C"/>
    <w:rsid w:val="0066309A"/>
    <w:rsid w:val="0066627D"/>
    <w:rsid w:val="00666655"/>
    <w:rsid w:val="0067108E"/>
    <w:rsid w:val="006832A2"/>
    <w:rsid w:val="00684A20"/>
    <w:rsid w:val="00690EC4"/>
    <w:rsid w:val="006962CB"/>
    <w:rsid w:val="006A0BB0"/>
    <w:rsid w:val="006A7F42"/>
    <w:rsid w:val="006B3F51"/>
    <w:rsid w:val="006B4697"/>
    <w:rsid w:val="006C57FA"/>
    <w:rsid w:val="006D17EF"/>
    <w:rsid w:val="006E4941"/>
    <w:rsid w:val="006E55E9"/>
    <w:rsid w:val="006E5DE5"/>
    <w:rsid w:val="006E7335"/>
    <w:rsid w:val="006F1843"/>
    <w:rsid w:val="006F1E9F"/>
    <w:rsid w:val="006F6724"/>
    <w:rsid w:val="0070004D"/>
    <w:rsid w:val="007006AE"/>
    <w:rsid w:val="00702423"/>
    <w:rsid w:val="00702449"/>
    <w:rsid w:val="00702F48"/>
    <w:rsid w:val="00705694"/>
    <w:rsid w:val="00710E36"/>
    <w:rsid w:val="007135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227"/>
    <w:rsid w:val="007703B8"/>
    <w:rsid w:val="00771227"/>
    <w:rsid w:val="00771386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6DA"/>
    <w:rsid w:val="007D4066"/>
    <w:rsid w:val="007E3EED"/>
    <w:rsid w:val="007E5C2E"/>
    <w:rsid w:val="007F136D"/>
    <w:rsid w:val="007F60CB"/>
    <w:rsid w:val="00801AAB"/>
    <w:rsid w:val="0080773A"/>
    <w:rsid w:val="0081788D"/>
    <w:rsid w:val="0082197A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55E2"/>
    <w:rsid w:val="008A1AFA"/>
    <w:rsid w:val="008A2CE2"/>
    <w:rsid w:val="008A3460"/>
    <w:rsid w:val="008B539C"/>
    <w:rsid w:val="008B77D5"/>
    <w:rsid w:val="008C155D"/>
    <w:rsid w:val="008C6B63"/>
    <w:rsid w:val="008D41F4"/>
    <w:rsid w:val="008D4634"/>
    <w:rsid w:val="008E4CD7"/>
    <w:rsid w:val="008E58F7"/>
    <w:rsid w:val="008E6EC1"/>
    <w:rsid w:val="008F12A1"/>
    <w:rsid w:val="008F388F"/>
    <w:rsid w:val="00903815"/>
    <w:rsid w:val="00903C0A"/>
    <w:rsid w:val="009062C4"/>
    <w:rsid w:val="0090723B"/>
    <w:rsid w:val="00910193"/>
    <w:rsid w:val="0092312D"/>
    <w:rsid w:val="00933628"/>
    <w:rsid w:val="00934927"/>
    <w:rsid w:val="009465EA"/>
    <w:rsid w:val="009506DC"/>
    <w:rsid w:val="009566C4"/>
    <w:rsid w:val="00956DD9"/>
    <w:rsid w:val="009628AE"/>
    <w:rsid w:val="00962F93"/>
    <w:rsid w:val="00967A04"/>
    <w:rsid w:val="00973509"/>
    <w:rsid w:val="00977BBE"/>
    <w:rsid w:val="00977E7B"/>
    <w:rsid w:val="00986792"/>
    <w:rsid w:val="009871EF"/>
    <w:rsid w:val="00987E32"/>
    <w:rsid w:val="00991292"/>
    <w:rsid w:val="00991AEE"/>
    <w:rsid w:val="0099252E"/>
    <w:rsid w:val="00993CBF"/>
    <w:rsid w:val="00997D63"/>
    <w:rsid w:val="009A149B"/>
    <w:rsid w:val="009A6F58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4A9"/>
    <w:rsid w:val="00A41611"/>
    <w:rsid w:val="00A43A2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B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972"/>
    <w:rsid w:val="00C3318B"/>
    <w:rsid w:val="00C33D20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9C2"/>
    <w:rsid w:val="00C86E10"/>
    <w:rsid w:val="00C906D0"/>
    <w:rsid w:val="00C9160A"/>
    <w:rsid w:val="00C97189"/>
    <w:rsid w:val="00C972C4"/>
    <w:rsid w:val="00CA1FEF"/>
    <w:rsid w:val="00CA25FC"/>
    <w:rsid w:val="00CA6A56"/>
    <w:rsid w:val="00CB2CEE"/>
    <w:rsid w:val="00CB4DE3"/>
    <w:rsid w:val="00CB5E9D"/>
    <w:rsid w:val="00CC2F35"/>
    <w:rsid w:val="00CC40C3"/>
    <w:rsid w:val="00CD42C4"/>
    <w:rsid w:val="00CE1C55"/>
    <w:rsid w:val="00CE43F8"/>
    <w:rsid w:val="00CE7C8B"/>
    <w:rsid w:val="00CF01CC"/>
    <w:rsid w:val="00CF6D5C"/>
    <w:rsid w:val="00CF6DB2"/>
    <w:rsid w:val="00CF701D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44"/>
    <w:rsid w:val="00D72110"/>
    <w:rsid w:val="00D919AF"/>
    <w:rsid w:val="00D937BD"/>
    <w:rsid w:val="00D95AAF"/>
    <w:rsid w:val="00DA2D7C"/>
    <w:rsid w:val="00DB6F0A"/>
    <w:rsid w:val="00DC7D5D"/>
    <w:rsid w:val="00DD7BAA"/>
    <w:rsid w:val="00DE0FFA"/>
    <w:rsid w:val="00DE6A70"/>
    <w:rsid w:val="00DF04BA"/>
    <w:rsid w:val="00DF3DF3"/>
    <w:rsid w:val="00DF5AA8"/>
    <w:rsid w:val="00E11D7D"/>
    <w:rsid w:val="00E1254C"/>
    <w:rsid w:val="00E16895"/>
    <w:rsid w:val="00E24E07"/>
    <w:rsid w:val="00E32566"/>
    <w:rsid w:val="00E32614"/>
    <w:rsid w:val="00E33250"/>
    <w:rsid w:val="00E3526B"/>
    <w:rsid w:val="00E5059C"/>
    <w:rsid w:val="00E54C06"/>
    <w:rsid w:val="00E5664A"/>
    <w:rsid w:val="00E6658E"/>
    <w:rsid w:val="00E7407A"/>
    <w:rsid w:val="00E81A0A"/>
    <w:rsid w:val="00E839DD"/>
    <w:rsid w:val="00E941F0"/>
    <w:rsid w:val="00E964F7"/>
    <w:rsid w:val="00EA4E81"/>
    <w:rsid w:val="00EA6F84"/>
    <w:rsid w:val="00EB7931"/>
    <w:rsid w:val="00ED4F18"/>
    <w:rsid w:val="00ED548C"/>
    <w:rsid w:val="00ED72DE"/>
    <w:rsid w:val="00ED7F3F"/>
    <w:rsid w:val="00EF043C"/>
    <w:rsid w:val="00EF49B3"/>
    <w:rsid w:val="00EF56E1"/>
    <w:rsid w:val="00EF58CB"/>
    <w:rsid w:val="00EF73FD"/>
    <w:rsid w:val="00F00561"/>
    <w:rsid w:val="00F01150"/>
    <w:rsid w:val="00F01E3D"/>
    <w:rsid w:val="00F04DC2"/>
    <w:rsid w:val="00F066D9"/>
    <w:rsid w:val="00F25F52"/>
    <w:rsid w:val="00F45001"/>
    <w:rsid w:val="00F469D5"/>
    <w:rsid w:val="00F47FEE"/>
    <w:rsid w:val="00F515C7"/>
    <w:rsid w:val="00F527B3"/>
    <w:rsid w:val="00F57FC8"/>
    <w:rsid w:val="00F632AF"/>
    <w:rsid w:val="00F6382D"/>
    <w:rsid w:val="00F63F55"/>
    <w:rsid w:val="00F66378"/>
    <w:rsid w:val="00F66F7B"/>
    <w:rsid w:val="00F71C51"/>
    <w:rsid w:val="00F722BA"/>
    <w:rsid w:val="00F77F4B"/>
    <w:rsid w:val="00F9100C"/>
    <w:rsid w:val="00FA0934"/>
    <w:rsid w:val="00FA653D"/>
    <w:rsid w:val="00FB0527"/>
    <w:rsid w:val="00FB23EE"/>
    <w:rsid w:val="00FC34DF"/>
    <w:rsid w:val="00FC676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Default">
    <w:name w:val="Default"/>
    <w:rsid w:val="00E24E07"/>
    <w:pPr>
      <w:widowControl w:val="0"/>
      <w:autoSpaceDE w:val="0"/>
      <w:autoSpaceDN w:val="0"/>
      <w:adjustRightInd w:val="0"/>
    </w:pPr>
    <w:rPr>
      <w:rFonts w:ascii="宋体Y壵...." w:eastAsia="宋体Y壵...." w:hAnsi="华文宋体" w:cs="宋体Y壵...."/>
      <w:color w:val="000000"/>
      <w:sz w:val="24"/>
      <w:szCs w:val="24"/>
    </w:rPr>
  </w:style>
  <w:style w:type="paragraph" w:styleId="ad">
    <w:name w:val="Body Text"/>
    <w:basedOn w:val="a"/>
    <w:link w:val="Char5"/>
    <w:uiPriority w:val="1"/>
    <w:qFormat/>
    <w:rsid w:val="008955E2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character" w:customStyle="1" w:styleId="Char5">
    <w:name w:val="正文文本 Char"/>
    <w:link w:val="ad"/>
    <w:uiPriority w:val="1"/>
    <w:rsid w:val="008955E2"/>
    <w:rPr>
      <w:rFonts w:ascii="宋体" w:hAnsi="宋体" w:cs="宋体"/>
      <w:sz w:val="21"/>
      <w:szCs w:val="21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B46D-EAE4-4A5B-AB2F-23B362BB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2021-08-09T16:25:00Z</dcterms:created>
  <dcterms:modified xsi:type="dcterms:W3CDTF">2021-08-09T16:25:00Z</dcterms:modified>
</cp:coreProperties>
</file>