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D5" w:rsidRDefault="009A1368">
      <w:pPr>
        <w:pStyle w:val="a8"/>
      </w:pPr>
      <w:r>
        <w:rPr>
          <w:rFonts w:hint="eastAsia"/>
        </w:rPr>
        <w:t>华泰柏瑞基金管理有限公司关于旗下基金投资关联方</w:t>
      </w:r>
    </w:p>
    <w:p w:rsidR="00E532D5" w:rsidRDefault="009A1368">
      <w:pPr>
        <w:pStyle w:val="a8"/>
      </w:pPr>
      <w:r>
        <w:rPr>
          <w:rFonts w:hint="eastAsia"/>
        </w:rPr>
        <w:t>承销期内承销证券的公告</w:t>
      </w:r>
    </w:p>
    <w:p w:rsidR="00E532D5" w:rsidRDefault="00E532D5">
      <w:pPr>
        <w:spacing w:line="360" w:lineRule="auto"/>
        <w:ind w:firstLineChars="177" w:firstLine="425"/>
        <w:rPr>
          <w:sz w:val="24"/>
          <w:szCs w:val="24"/>
        </w:rPr>
      </w:pPr>
    </w:p>
    <w:p w:rsidR="00E532D5" w:rsidRDefault="009A1368">
      <w:pPr>
        <w:spacing w:line="360" w:lineRule="auto"/>
        <w:ind w:firstLineChars="177" w:firstLine="425"/>
        <w:rPr>
          <w:sz w:val="24"/>
          <w:szCs w:val="24"/>
        </w:rPr>
      </w:pPr>
      <w:r>
        <w:rPr>
          <w:rFonts w:hint="eastAsia"/>
          <w:sz w:val="24"/>
          <w:szCs w:val="24"/>
        </w:rPr>
        <w:t>根据《公开募集证券投资基金运作管理办法》、《公开募集证券投资基金信息披露管理办法》及相关法律法规、各基金基金合同及招募说明书等规定，在履行规定审批程序并经基金托管人同意后，华泰柏瑞基金管理有限公司（以下简称“本公司”）旗下部分基金参与了</w:t>
      </w:r>
      <w:r w:rsidR="00DF4151" w:rsidRPr="00DF4151">
        <w:rPr>
          <w:rFonts w:hint="eastAsia"/>
          <w:sz w:val="24"/>
          <w:szCs w:val="24"/>
        </w:rPr>
        <w:t>北京海天瑞声科技股份有限公司</w:t>
      </w:r>
      <w:r>
        <w:rPr>
          <w:rFonts w:hint="eastAsia"/>
          <w:sz w:val="24"/>
          <w:szCs w:val="24"/>
        </w:rPr>
        <w:t>（以下简称“</w:t>
      </w:r>
      <w:r w:rsidR="00DF4151" w:rsidRPr="00DF4151">
        <w:rPr>
          <w:rFonts w:hint="eastAsia"/>
          <w:sz w:val="24"/>
          <w:szCs w:val="24"/>
        </w:rPr>
        <w:t>海天瑞声</w:t>
      </w:r>
      <w:r>
        <w:rPr>
          <w:rFonts w:hint="eastAsia"/>
          <w:sz w:val="24"/>
          <w:szCs w:val="24"/>
        </w:rPr>
        <w:t>”）首次公开发行人民币普通股（</w:t>
      </w:r>
      <w:r>
        <w:rPr>
          <w:rFonts w:hint="eastAsia"/>
          <w:sz w:val="24"/>
          <w:szCs w:val="24"/>
        </w:rPr>
        <w:t>A</w:t>
      </w:r>
      <w:r>
        <w:rPr>
          <w:rFonts w:hint="eastAsia"/>
          <w:sz w:val="24"/>
          <w:szCs w:val="24"/>
        </w:rPr>
        <w:t>股）并在</w:t>
      </w:r>
      <w:r w:rsidR="00DF4151">
        <w:rPr>
          <w:rFonts w:hint="eastAsia"/>
          <w:sz w:val="24"/>
          <w:szCs w:val="24"/>
        </w:rPr>
        <w:t>科创板</w:t>
      </w:r>
      <w:r>
        <w:rPr>
          <w:rFonts w:hint="eastAsia"/>
          <w:sz w:val="24"/>
          <w:szCs w:val="24"/>
        </w:rPr>
        <w:t>上市的网下申购。</w:t>
      </w:r>
      <w:r w:rsidR="00DF4151" w:rsidRPr="00DF4151">
        <w:rPr>
          <w:rFonts w:hint="eastAsia"/>
          <w:sz w:val="24"/>
          <w:szCs w:val="24"/>
        </w:rPr>
        <w:t>海天瑞声</w:t>
      </w:r>
      <w:r>
        <w:rPr>
          <w:rFonts w:hint="eastAsia"/>
          <w:sz w:val="24"/>
          <w:szCs w:val="24"/>
        </w:rPr>
        <w:t>本次发行的保荐机构（主承销商）华泰联合证券有限责任公司为本公司关联方。本次发行价格为</w:t>
      </w:r>
      <w:r w:rsidR="00DF4151" w:rsidRPr="00DF4151">
        <w:rPr>
          <w:sz w:val="24"/>
          <w:szCs w:val="24"/>
        </w:rPr>
        <w:t>36.94</w:t>
      </w:r>
      <w:r>
        <w:rPr>
          <w:rFonts w:hint="eastAsia"/>
          <w:sz w:val="24"/>
          <w:szCs w:val="24"/>
        </w:rPr>
        <w:t>元</w:t>
      </w:r>
      <w:r>
        <w:rPr>
          <w:rFonts w:hint="eastAsia"/>
          <w:sz w:val="24"/>
          <w:szCs w:val="24"/>
        </w:rPr>
        <w:t>/</w:t>
      </w:r>
      <w:r>
        <w:rPr>
          <w:rFonts w:hint="eastAsia"/>
          <w:sz w:val="24"/>
          <w:szCs w:val="24"/>
        </w:rPr>
        <w:t>股，由发行人和保荐机构（主承销商）根据初步询价结果，综合考虑发行人基本面、市场情况、同行业上市公司估值水平、募集资金需求及承销风险等因素后协商确定。</w:t>
      </w:r>
    </w:p>
    <w:p w:rsidR="00E532D5" w:rsidRPr="00162C90" w:rsidRDefault="009A1368" w:rsidP="00DF4151">
      <w:pPr>
        <w:spacing w:line="360" w:lineRule="auto"/>
        <w:ind w:firstLineChars="177" w:firstLine="425"/>
        <w:rPr>
          <w:rFonts w:asciiTheme="minorEastAsia" w:hAnsiTheme="minorEastAsia"/>
          <w:sz w:val="24"/>
          <w:szCs w:val="24"/>
        </w:rPr>
      </w:pPr>
      <w:r>
        <w:rPr>
          <w:rFonts w:hint="eastAsia"/>
          <w:sz w:val="24"/>
          <w:szCs w:val="24"/>
        </w:rPr>
        <w:t>根据法律法规、基金合同及</w:t>
      </w:r>
      <w:r w:rsidR="00DF4151" w:rsidRPr="00DF4151">
        <w:rPr>
          <w:rFonts w:hint="eastAsia"/>
          <w:sz w:val="24"/>
          <w:szCs w:val="24"/>
        </w:rPr>
        <w:t>海天瑞声</w:t>
      </w:r>
      <w:r>
        <w:rPr>
          <w:rFonts w:hint="eastAsia"/>
          <w:sz w:val="24"/>
          <w:szCs w:val="24"/>
        </w:rPr>
        <w:t>于</w:t>
      </w:r>
      <w:r>
        <w:rPr>
          <w:rFonts w:hint="eastAsia"/>
          <w:sz w:val="24"/>
          <w:szCs w:val="24"/>
        </w:rPr>
        <w:t>2021</w:t>
      </w:r>
      <w:r>
        <w:rPr>
          <w:rFonts w:hint="eastAsia"/>
          <w:sz w:val="24"/>
          <w:szCs w:val="24"/>
        </w:rPr>
        <w:t>年</w:t>
      </w:r>
      <w:r w:rsidR="00DF4151">
        <w:rPr>
          <w:rFonts w:hint="eastAsia"/>
          <w:sz w:val="24"/>
          <w:szCs w:val="24"/>
        </w:rPr>
        <w:t>8</w:t>
      </w:r>
      <w:r>
        <w:rPr>
          <w:rFonts w:hint="eastAsia"/>
          <w:sz w:val="24"/>
          <w:szCs w:val="24"/>
        </w:rPr>
        <w:t>月</w:t>
      </w:r>
      <w:r w:rsidR="00A14804">
        <w:rPr>
          <w:sz w:val="24"/>
          <w:szCs w:val="24"/>
        </w:rPr>
        <w:t>5</w:t>
      </w:r>
      <w:r>
        <w:rPr>
          <w:rFonts w:hint="eastAsia"/>
          <w:sz w:val="24"/>
          <w:szCs w:val="24"/>
        </w:rPr>
        <w:t>日发布的《</w:t>
      </w:r>
      <w:r w:rsidR="00DF4151" w:rsidRPr="00DF4151">
        <w:rPr>
          <w:rFonts w:asciiTheme="minorEastAsia" w:hAnsiTheme="minorEastAsia" w:hint="eastAsia"/>
          <w:sz w:val="24"/>
          <w:szCs w:val="24"/>
        </w:rPr>
        <w:t>北京海天瑞声科技股份有限公司首次公开发行股票并在科创板上市网下初步配售结果及网上中签结果公告</w:t>
      </w:r>
      <w:r>
        <w:rPr>
          <w:rFonts w:hint="eastAsia"/>
          <w:sz w:val="24"/>
          <w:szCs w:val="24"/>
        </w:rPr>
        <w:t>》，现将本公司旗下基金获配信息公告如下：</w:t>
      </w:r>
    </w:p>
    <w:p w:rsidR="00E532D5" w:rsidRPr="00A14804" w:rsidRDefault="00E532D5">
      <w:pPr>
        <w:spacing w:line="360" w:lineRule="auto"/>
        <w:ind w:firstLineChars="177" w:firstLine="425"/>
        <w:rPr>
          <w:sz w:val="24"/>
          <w:szCs w:val="24"/>
        </w:rPr>
      </w:pPr>
    </w:p>
    <w:tbl>
      <w:tblPr>
        <w:tblStyle w:val="a5"/>
        <w:tblW w:w="0" w:type="auto"/>
        <w:tblInd w:w="108" w:type="dxa"/>
        <w:tblLook w:val="04A0"/>
      </w:tblPr>
      <w:tblGrid>
        <w:gridCol w:w="4617"/>
        <w:gridCol w:w="1547"/>
        <w:gridCol w:w="2024"/>
      </w:tblGrid>
      <w:tr w:rsidR="00E532D5" w:rsidTr="00162C90">
        <w:tc>
          <w:tcPr>
            <w:tcW w:w="4617"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基金名称</w:t>
            </w:r>
          </w:p>
        </w:tc>
        <w:tc>
          <w:tcPr>
            <w:tcW w:w="1547"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获配数量（股）</w:t>
            </w:r>
          </w:p>
        </w:tc>
        <w:tc>
          <w:tcPr>
            <w:tcW w:w="2024"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获配金额（元）</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华泰柏瑞中证企业核心竞争力50交易型开放式指数证券投资基金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华泰柏瑞行业严选混合型证券投资基金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华泰柏瑞质量精选混合型证券投资基金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华泰柏瑞上证科创板50成份交易型开放式指数证券投资基金联接基金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华泰柏瑞品质成长混合型证券投资基金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华泰柏瑞中证稀土产业交易型开放式指数证券投资基金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lastRenderedPageBreak/>
              <w:t>华泰柏瑞中证动漫游戏交易型开放式指数证券投资基金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华泰柏瑞中证智能汽车主题交易型开放式指数证券投资基金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华泰柏瑞中证沪港深互联网交易型开放式指数证券投资基金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华泰柏瑞质量领先混合型证券投资基金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华泰柏瑞量化创享混合型证券投资基金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华泰柏瑞中证光伏产业交易型开放式指数证券投资基金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华泰柏瑞成长智选混合型证券投资基金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华泰柏瑞量化创盈混合型证券投资基金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华泰柏瑞上证科创板50成份交易型开放式指数证券投资基金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华泰柏瑞优势领航混合型证券投资基金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华泰柏瑞景利混合型证券投资基金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华泰柏瑞品质优选混合型证券投资基金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华泰柏瑞景气优选混合型证券投资基金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华泰柏瑞质量成长混合型证券投资基金</w:t>
            </w:r>
          </w:p>
        </w:tc>
        <w:tc>
          <w:tcPr>
            <w:tcW w:w="1547" w:type="dxa"/>
            <w:vAlign w:val="center"/>
          </w:tcPr>
          <w:p w:rsidR="00DF4151" w:rsidRDefault="00DF4151" w:rsidP="00DF4151">
            <w:pPr>
              <w:spacing w:line="360" w:lineRule="auto"/>
              <w:jc w:val="right"/>
              <w:rPr>
                <w:rFonts w:cstheme="minorHAnsi"/>
                <w:szCs w:val="21"/>
              </w:rPr>
            </w:pPr>
            <w:bookmarkStart w:id="0" w:name="_GoBack"/>
            <w:bookmarkEnd w:id="0"/>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华泰柏瑞景气回报一年持有期混合型证券投资基金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华泰柏瑞研究精选混合型证券投资基金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华泰柏瑞中证科技100交易型开放式指数证券投资基金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华泰柏瑞医疗健康混合型证券投资基金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华泰柏瑞MSCI中国A股国际通交易型开放式指数证券投资基金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华泰柏瑞战略新兴产业混合型证券投资基金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华泰柏瑞量化阿尔法灵活配置混合型证券投资</w:t>
            </w:r>
            <w:r w:rsidRPr="000B1BDE">
              <w:rPr>
                <w:rFonts w:ascii="宋体" w:eastAsia="宋体" w:hAnsi="宋体" w:hint="eastAsia"/>
                <w:color w:val="333333"/>
                <w:szCs w:val="21"/>
              </w:rPr>
              <w:lastRenderedPageBreak/>
              <w:t>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lastRenderedPageBreak/>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lastRenderedPageBreak/>
              <w:t>华泰柏瑞生物医药灵活配置混合型证券投资基金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华泰柏瑞鼎利灵活配置混合型证券投资基金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华泰柏瑞量化对冲稳健收益定期开放混合型发起式证券投资基金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上证红利交易型开放式指数证券投资基金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华泰柏瑞精选回报灵活配置混合型证券投资基金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华泰柏瑞沪深300交易型开放式指数证券投资基金联接基金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华泰柏瑞中证500交易型开放式指数证券投资基金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华泰柏瑞沪深300交易型开放式指数证券投资基金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color w:val="333333"/>
                <w:szCs w:val="21"/>
              </w:rPr>
            </w:pPr>
            <w:r w:rsidRPr="000B1BDE">
              <w:rPr>
                <w:rFonts w:ascii="宋体" w:eastAsia="宋体" w:hAnsi="宋体" w:hint="eastAsia"/>
                <w:color w:val="333333"/>
                <w:szCs w:val="21"/>
              </w:rPr>
              <w:t>华泰柏瑞激励动力灵活配置混合型证券投资基金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E12FE8" w:rsidRDefault="00DF4151" w:rsidP="00DF4151">
            <w:pPr>
              <w:spacing w:line="360" w:lineRule="auto"/>
              <w:rPr>
                <w:rFonts w:ascii="宋体" w:eastAsia="宋体" w:hAnsi="宋体" w:cstheme="minorHAnsi"/>
                <w:szCs w:val="21"/>
              </w:rPr>
            </w:pPr>
            <w:r w:rsidRPr="000B1BDE">
              <w:rPr>
                <w:rFonts w:ascii="宋体" w:eastAsia="宋体" w:hAnsi="宋体" w:hint="eastAsia"/>
                <w:color w:val="333333"/>
                <w:szCs w:val="21"/>
              </w:rPr>
              <w:t>华泰柏瑞量化绝对收益策略定期开放混合型发起式证券投资基金</w:t>
            </w:r>
          </w:p>
        </w:tc>
        <w:tc>
          <w:tcPr>
            <w:tcW w:w="1547"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817</w:t>
            </w:r>
          </w:p>
        </w:tc>
        <w:tc>
          <w:tcPr>
            <w:tcW w:w="2024" w:type="dxa"/>
            <w:vAlign w:val="center"/>
          </w:tcPr>
          <w:p w:rsidR="00DF4151" w:rsidRDefault="00DF4151" w:rsidP="00DF4151">
            <w:pPr>
              <w:spacing w:line="360" w:lineRule="auto"/>
              <w:jc w:val="right"/>
              <w:rPr>
                <w:rFonts w:cstheme="minorHAnsi"/>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华泰柏瑞量化智慧灵活配置混合型证券投资基金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华泰柏瑞消费成长灵活配置混合型证券投资基金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华泰柏瑞新利灵活配置混合型证券投资基金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华泰柏瑞量化驱动灵活配置混合型证券投资基金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华泰柏瑞创新动力灵活配置混合型证券投资基金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华泰柏瑞量化优选灵活配置混合型证券投资基金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华泰柏瑞创新升级混合型证券投资基金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华泰柏瑞量化增强混合型证券投资基金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华泰柏瑞量化先行混合型证券投资基金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华泰柏瑞行业领先混合型证券投资基金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华泰柏瑞价值增长混合型证券投资基金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华泰柏瑞积极成长混合型证券投资基金</w:t>
            </w:r>
          </w:p>
        </w:tc>
        <w:tc>
          <w:tcPr>
            <w:tcW w:w="1547"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043EBA"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r w:rsidR="00DF4151" w:rsidTr="00162C90">
        <w:tc>
          <w:tcPr>
            <w:tcW w:w="4617" w:type="dxa"/>
            <w:vAlign w:val="center"/>
          </w:tcPr>
          <w:p w:rsidR="00DF4151" w:rsidRPr="006F74C2" w:rsidRDefault="00DF4151" w:rsidP="00DF4151">
            <w:pPr>
              <w:spacing w:line="360" w:lineRule="auto"/>
              <w:rPr>
                <w:rFonts w:ascii="宋体" w:eastAsia="宋体" w:hAnsi="宋体"/>
                <w:color w:val="333333"/>
                <w:szCs w:val="21"/>
              </w:rPr>
            </w:pPr>
            <w:r w:rsidRPr="000B1BDE">
              <w:rPr>
                <w:rFonts w:ascii="宋体" w:eastAsia="宋体" w:hAnsi="宋体" w:hint="eastAsia"/>
                <w:color w:val="333333"/>
                <w:szCs w:val="21"/>
              </w:rPr>
              <w:t>华泰柏瑞盛世中国混合型证券投资基金</w:t>
            </w:r>
          </w:p>
        </w:tc>
        <w:tc>
          <w:tcPr>
            <w:tcW w:w="1547" w:type="dxa"/>
            <w:vAlign w:val="center"/>
          </w:tcPr>
          <w:p w:rsidR="00DF4151" w:rsidRPr="00DF4151"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817</w:t>
            </w:r>
          </w:p>
        </w:tc>
        <w:tc>
          <w:tcPr>
            <w:tcW w:w="2024" w:type="dxa"/>
            <w:vAlign w:val="center"/>
          </w:tcPr>
          <w:p w:rsidR="00DF4151" w:rsidRPr="006F74C2" w:rsidRDefault="00DF4151" w:rsidP="00DF4151">
            <w:pPr>
              <w:spacing w:line="360" w:lineRule="auto"/>
              <w:jc w:val="right"/>
              <w:rPr>
                <w:rFonts w:ascii="宋体" w:eastAsia="宋体" w:hAnsi="宋体"/>
                <w:color w:val="333333"/>
                <w:szCs w:val="21"/>
              </w:rPr>
            </w:pPr>
            <w:r w:rsidRPr="000B1BDE">
              <w:rPr>
                <w:rFonts w:ascii="宋体" w:eastAsia="宋体" w:hAnsi="宋体" w:hint="eastAsia"/>
                <w:color w:val="333333"/>
                <w:szCs w:val="21"/>
              </w:rPr>
              <w:t>30,179.98</w:t>
            </w:r>
          </w:p>
        </w:tc>
      </w:tr>
    </w:tbl>
    <w:p w:rsidR="00E532D5"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p>
    <w:p w:rsidR="00E532D5" w:rsidRDefault="009A1368">
      <w:pPr>
        <w:spacing w:line="360" w:lineRule="auto"/>
        <w:ind w:firstLineChars="177" w:firstLine="425"/>
        <w:rPr>
          <w:sz w:val="24"/>
          <w:szCs w:val="24"/>
        </w:rPr>
      </w:pPr>
      <w:r>
        <w:rPr>
          <w:rFonts w:hint="eastAsia"/>
          <w:sz w:val="24"/>
          <w:szCs w:val="24"/>
        </w:rPr>
        <w:t>特此公告。</w:t>
      </w:r>
    </w:p>
    <w:p w:rsidR="00E532D5"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p>
    <w:p w:rsidR="00E532D5" w:rsidRDefault="009A1368">
      <w:pPr>
        <w:spacing w:line="360" w:lineRule="auto"/>
        <w:ind w:firstLineChars="177" w:firstLine="425"/>
        <w:jc w:val="right"/>
        <w:rPr>
          <w:sz w:val="24"/>
          <w:szCs w:val="24"/>
        </w:rPr>
      </w:pPr>
      <w:r>
        <w:rPr>
          <w:rFonts w:hint="eastAsia"/>
          <w:sz w:val="24"/>
          <w:szCs w:val="24"/>
        </w:rPr>
        <w:t>华泰柏瑞基金管理有限公司</w:t>
      </w:r>
    </w:p>
    <w:p w:rsidR="00E532D5" w:rsidRDefault="00DF4151">
      <w:pPr>
        <w:spacing w:line="360" w:lineRule="auto"/>
        <w:ind w:firstLineChars="177" w:firstLine="425"/>
        <w:jc w:val="right"/>
        <w:rPr>
          <w:sz w:val="24"/>
          <w:szCs w:val="24"/>
        </w:rPr>
      </w:pPr>
      <w:r>
        <w:rPr>
          <w:rFonts w:hint="eastAsia"/>
          <w:sz w:val="24"/>
          <w:szCs w:val="24"/>
        </w:rPr>
        <w:t>2021</w:t>
      </w:r>
      <w:r>
        <w:rPr>
          <w:rFonts w:hint="eastAsia"/>
          <w:sz w:val="24"/>
          <w:szCs w:val="24"/>
        </w:rPr>
        <w:t>年</w:t>
      </w:r>
      <w:r>
        <w:rPr>
          <w:sz w:val="24"/>
          <w:szCs w:val="24"/>
        </w:rPr>
        <w:t>8</w:t>
      </w:r>
      <w:r w:rsidR="009A1368">
        <w:rPr>
          <w:rFonts w:hint="eastAsia"/>
          <w:sz w:val="24"/>
          <w:szCs w:val="24"/>
        </w:rPr>
        <w:t>月</w:t>
      </w:r>
      <w:r w:rsidR="00CA3748">
        <w:rPr>
          <w:sz w:val="24"/>
          <w:szCs w:val="24"/>
        </w:rPr>
        <w:t>6</w:t>
      </w:r>
      <w:r w:rsidR="009A1368">
        <w:rPr>
          <w:rFonts w:hint="eastAsia"/>
          <w:sz w:val="24"/>
          <w:szCs w:val="24"/>
        </w:rPr>
        <w:t>日</w:t>
      </w:r>
    </w:p>
    <w:sectPr w:rsidR="00E532D5" w:rsidSect="003E2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295" w:rsidRDefault="006E2295">
      <w:r>
        <w:separator/>
      </w:r>
    </w:p>
  </w:endnote>
  <w:endnote w:type="continuationSeparator" w:id="0">
    <w:p w:rsidR="006E2295" w:rsidRDefault="006E2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295" w:rsidRDefault="006E2295">
      <w:r>
        <w:separator/>
      </w:r>
    </w:p>
  </w:footnote>
  <w:footnote w:type="continuationSeparator" w:id="0">
    <w:p w:rsidR="006E2295" w:rsidRDefault="006E2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2D5"/>
    <w:rsid w:val="00162C90"/>
    <w:rsid w:val="001D70FD"/>
    <w:rsid w:val="002C7332"/>
    <w:rsid w:val="003E208C"/>
    <w:rsid w:val="00537CE9"/>
    <w:rsid w:val="00554C44"/>
    <w:rsid w:val="006870B3"/>
    <w:rsid w:val="006B1435"/>
    <w:rsid w:val="006E2295"/>
    <w:rsid w:val="00700CB7"/>
    <w:rsid w:val="007650BD"/>
    <w:rsid w:val="007E5891"/>
    <w:rsid w:val="008C535E"/>
    <w:rsid w:val="009A1368"/>
    <w:rsid w:val="00A14804"/>
    <w:rsid w:val="00B2030D"/>
    <w:rsid w:val="00B86BEF"/>
    <w:rsid w:val="00BC3F42"/>
    <w:rsid w:val="00BF7A30"/>
    <w:rsid w:val="00CA3748"/>
    <w:rsid w:val="00DF4151"/>
    <w:rsid w:val="00E1206D"/>
    <w:rsid w:val="00E12FE8"/>
    <w:rsid w:val="00E532D5"/>
    <w:rsid w:val="00E829C6"/>
    <w:rsid w:val="00F94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208C"/>
    <w:rPr>
      <w:sz w:val="18"/>
      <w:szCs w:val="18"/>
    </w:rPr>
  </w:style>
  <w:style w:type="paragraph" w:styleId="a4">
    <w:name w:val="footer"/>
    <w:basedOn w:val="a"/>
    <w:link w:val="Char0"/>
    <w:uiPriority w:val="99"/>
    <w:unhideWhenUsed/>
    <w:rsid w:val="003E208C"/>
    <w:pPr>
      <w:tabs>
        <w:tab w:val="center" w:pos="4153"/>
        <w:tab w:val="right" w:pos="8306"/>
      </w:tabs>
      <w:snapToGrid w:val="0"/>
      <w:jc w:val="left"/>
    </w:pPr>
    <w:rPr>
      <w:sz w:val="18"/>
      <w:szCs w:val="18"/>
    </w:rPr>
  </w:style>
  <w:style w:type="character" w:customStyle="1" w:styleId="Char0">
    <w:name w:val="页脚 Char"/>
    <w:basedOn w:val="a0"/>
    <w:link w:val="a4"/>
    <w:uiPriority w:val="99"/>
    <w:rsid w:val="003E208C"/>
    <w:rPr>
      <w:sz w:val="18"/>
      <w:szCs w:val="18"/>
    </w:rPr>
  </w:style>
  <w:style w:type="table" w:styleId="a5">
    <w:name w:val="Table Grid"/>
    <w:basedOn w:val="a1"/>
    <w:uiPriority w:val="59"/>
    <w:rsid w:val="003E2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3E208C"/>
    <w:rPr>
      <w:rFonts w:ascii="楷体_GB2312" w:eastAsia="楷体_GB2312" w:hint="eastAsia"/>
      <w:b w:val="0"/>
      <w:bCs w:val="0"/>
      <w:i w:val="0"/>
      <w:iCs w:val="0"/>
      <w:color w:val="000000"/>
      <w:sz w:val="24"/>
      <w:szCs w:val="24"/>
    </w:rPr>
  </w:style>
  <w:style w:type="paragraph" w:styleId="a6">
    <w:name w:val="Balloon Text"/>
    <w:basedOn w:val="a"/>
    <w:link w:val="Char1"/>
    <w:uiPriority w:val="99"/>
    <w:semiHidden/>
    <w:unhideWhenUsed/>
    <w:rsid w:val="003E208C"/>
    <w:rPr>
      <w:sz w:val="18"/>
      <w:szCs w:val="18"/>
    </w:rPr>
  </w:style>
  <w:style w:type="character" w:customStyle="1" w:styleId="Char1">
    <w:name w:val="批注框文本 Char"/>
    <w:basedOn w:val="a0"/>
    <w:link w:val="a6"/>
    <w:uiPriority w:val="99"/>
    <w:semiHidden/>
    <w:rsid w:val="003E208C"/>
    <w:rPr>
      <w:sz w:val="18"/>
      <w:szCs w:val="18"/>
    </w:rPr>
  </w:style>
  <w:style w:type="paragraph" w:styleId="a7">
    <w:name w:val="Revision"/>
    <w:hidden/>
    <w:uiPriority w:val="99"/>
    <w:semiHidden/>
    <w:rsid w:val="003E208C"/>
  </w:style>
  <w:style w:type="paragraph" w:styleId="a8">
    <w:name w:val="Title"/>
    <w:basedOn w:val="a"/>
    <w:next w:val="a"/>
    <w:link w:val="Char2"/>
    <w:uiPriority w:val="10"/>
    <w:qFormat/>
    <w:rsid w:val="003E208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3E208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4368668">
      <w:bodyDiv w:val="1"/>
      <w:marLeft w:val="0"/>
      <w:marRight w:val="0"/>
      <w:marTop w:val="0"/>
      <w:marBottom w:val="0"/>
      <w:divBdr>
        <w:top w:val="none" w:sz="0" w:space="0" w:color="auto"/>
        <w:left w:val="none" w:sz="0" w:space="0" w:color="auto"/>
        <w:bottom w:val="none" w:sz="0" w:space="0" w:color="auto"/>
        <w:right w:val="none" w:sz="0" w:space="0" w:color="auto"/>
      </w:divBdr>
    </w:div>
    <w:div w:id="462624694">
      <w:bodyDiv w:val="1"/>
      <w:marLeft w:val="0"/>
      <w:marRight w:val="0"/>
      <w:marTop w:val="0"/>
      <w:marBottom w:val="0"/>
      <w:divBdr>
        <w:top w:val="none" w:sz="0" w:space="0" w:color="auto"/>
        <w:left w:val="none" w:sz="0" w:space="0" w:color="auto"/>
        <w:bottom w:val="none" w:sz="0" w:space="0" w:color="auto"/>
        <w:right w:val="none" w:sz="0" w:space="0" w:color="auto"/>
      </w:divBdr>
    </w:div>
    <w:div w:id="609243941">
      <w:bodyDiv w:val="1"/>
      <w:marLeft w:val="0"/>
      <w:marRight w:val="0"/>
      <w:marTop w:val="0"/>
      <w:marBottom w:val="0"/>
      <w:divBdr>
        <w:top w:val="none" w:sz="0" w:space="0" w:color="auto"/>
        <w:left w:val="none" w:sz="0" w:space="0" w:color="auto"/>
        <w:bottom w:val="none" w:sz="0" w:space="0" w:color="auto"/>
        <w:right w:val="none" w:sz="0" w:space="0" w:color="auto"/>
      </w:divBdr>
    </w:div>
    <w:div w:id="936134106">
      <w:bodyDiv w:val="1"/>
      <w:marLeft w:val="0"/>
      <w:marRight w:val="0"/>
      <w:marTop w:val="0"/>
      <w:marBottom w:val="0"/>
      <w:divBdr>
        <w:top w:val="none" w:sz="0" w:space="0" w:color="auto"/>
        <w:left w:val="none" w:sz="0" w:space="0" w:color="auto"/>
        <w:bottom w:val="none" w:sz="0" w:space="0" w:color="auto"/>
        <w:right w:val="none" w:sz="0" w:space="0" w:color="auto"/>
      </w:divBdr>
    </w:div>
    <w:div w:id="956910907">
      <w:bodyDiv w:val="1"/>
      <w:marLeft w:val="0"/>
      <w:marRight w:val="0"/>
      <w:marTop w:val="0"/>
      <w:marBottom w:val="0"/>
      <w:divBdr>
        <w:top w:val="none" w:sz="0" w:space="0" w:color="auto"/>
        <w:left w:val="none" w:sz="0" w:space="0" w:color="auto"/>
        <w:bottom w:val="none" w:sz="0" w:space="0" w:color="auto"/>
        <w:right w:val="none" w:sz="0" w:space="0" w:color="auto"/>
      </w:divBdr>
    </w:div>
    <w:div w:id="1284072495">
      <w:bodyDiv w:val="1"/>
      <w:marLeft w:val="0"/>
      <w:marRight w:val="0"/>
      <w:marTop w:val="0"/>
      <w:marBottom w:val="0"/>
      <w:divBdr>
        <w:top w:val="none" w:sz="0" w:space="0" w:color="auto"/>
        <w:left w:val="none" w:sz="0" w:space="0" w:color="auto"/>
        <w:bottom w:val="none" w:sz="0" w:space="0" w:color="auto"/>
        <w:right w:val="none" w:sz="0" w:space="0" w:color="auto"/>
      </w:divBdr>
    </w:div>
    <w:div w:id="1579249970">
      <w:bodyDiv w:val="1"/>
      <w:marLeft w:val="0"/>
      <w:marRight w:val="0"/>
      <w:marTop w:val="0"/>
      <w:marBottom w:val="0"/>
      <w:divBdr>
        <w:top w:val="none" w:sz="0" w:space="0" w:color="auto"/>
        <w:left w:val="none" w:sz="0" w:space="0" w:color="auto"/>
        <w:bottom w:val="none" w:sz="0" w:space="0" w:color="auto"/>
        <w:right w:val="none" w:sz="0" w:space="0" w:color="auto"/>
      </w:divBdr>
    </w:div>
    <w:div w:id="1585797875">
      <w:bodyDiv w:val="1"/>
      <w:marLeft w:val="0"/>
      <w:marRight w:val="0"/>
      <w:marTop w:val="0"/>
      <w:marBottom w:val="0"/>
      <w:divBdr>
        <w:top w:val="none" w:sz="0" w:space="0" w:color="auto"/>
        <w:left w:val="none" w:sz="0" w:space="0" w:color="auto"/>
        <w:bottom w:val="none" w:sz="0" w:space="0" w:color="auto"/>
        <w:right w:val="none" w:sz="0" w:space="0" w:color="auto"/>
      </w:divBdr>
    </w:div>
    <w:div w:id="16764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74D9-5850-4B85-BBE3-B96F759E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4</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张晙菂(Zhang Junde)</dc:creator>
  <cp:lastModifiedBy>ZHONGM</cp:lastModifiedBy>
  <cp:revision>2</cp:revision>
  <cp:lastPrinted>2020-12-30T08:56:00Z</cp:lastPrinted>
  <dcterms:created xsi:type="dcterms:W3CDTF">2021-08-05T16:18:00Z</dcterms:created>
  <dcterms:modified xsi:type="dcterms:W3CDTF">2021-08-05T16:18:00Z</dcterms:modified>
</cp:coreProperties>
</file>