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A7" w:rsidRPr="002449A7" w:rsidRDefault="003F1985" w:rsidP="00AD252C">
      <w:pPr>
        <w:autoSpaceDE w:val="0"/>
        <w:autoSpaceDN w:val="0"/>
        <w:adjustRightInd w:val="0"/>
        <w:jc w:val="center"/>
        <w:rPr>
          <w:rFonts w:asciiTheme="minorEastAsia" w:hAnsiTheme="minorEastAsia" w:cs="SimSun,Bold"/>
          <w:b/>
          <w:bCs/>
          <w:kern w:val="0"/>
          <w:sz w:val="28"/>
          <w:szCs w:val="28"/>
        </w:rPr>
      </w:pPr>
      <w:r w:rsidRPr="00D10916">
        <w:rPr>
          <w:rFonts w:asciiTheme="minorEastAsia" w:hAnsiTheme="minorEastAsia" w:cs="SimSun,Bold" w:hint="eastAsia"/>
          <w:b/>
          <w:bCs/>
          <w:kern w:val="0"/>
          <w:sz w:val="28"/>
          <w:szCs w:val="28"/>
        </w:rPr>
        <w:t>永赢基金管理有限公司关于旗下</w:t>
      </w:r>
      <w:r w:rsidR="00AD252C">
        <w:rPr>
          <w:rFonts w:asciiTheme="minorEastAsia" w:hAnsiTheme="minorEastAsia" w:cs="SimSun,Bold" w:hint="eastAsia"/>
          <w:b/>
          <w:bCs/>
          <w:kern w:val="0"/>
          <w:sz w:val="28"/>
          <w:szCs w:val="28"/>
        </w:rPr>
        <w:t>部分</w:t>
      </w:r>
      <w:r w:rsidRPr="00D10916">
        <w:rPr>
          <w:rFonts w:asciiTheme="minorEastAsia" w:hAnsiTheme="minorEastAsia" w:cs="SimSun,Bold" w:hint="eastAsia"/>
          <w:b/>
          <w:bCs/>
          <w:kern w:val="0"/>
          <w:sz w:val="28"/>
          <w:szCs w:val="28"/>
        </w:rPr>
        <w:t>基金根据</w:t>
      </w:r>
    </w:p>
    <w:p w:rsidR="003F1985" w:rsidRPr="00D10916" w:rsidRDefault="002449A7" w:rsidP="003F1985">
      <w:pPr>
        <w:autoSpaceDE w:val="0"/>
        <w:autoSpaceDN w:val="0"/>
        <w:adjustRightInd w:val="0"/>
        <w:jc w:val="center"/>
        <w:rPr>
          <w:rFonts w:asciiTheme="minorEastAsia" w:hAnsiTheme="minorEastAsia" w:cs="SimSun,Bold"/>
          <w:b/>
          <w:bCs/>
          <w:kern w:val="0"/>
          <w:sz w:val="28"/>
          <w:szCs w:val="28"/>
        </w:rPr>
      </w:pPr>
      <w:r w:rsidRPr="002449A7">
        <w:rPr>
          <w:rFonts w:asciiTheme="minorEastAsia" w:hAnsiTheme="minorEastAsia" w:cs="SimSun,Bold" w:hint="eastAsia"/>
          <w:b/>
          <w:bCs/>
          <w:kern w:val="0"/>
          <w:sz w:val="28"/>
          <w:szCs w:val="28"/>
        </w:rPr>
        <w:t>《公开募集证券投资基金侧袋机制指引（试行）》</w:t>
      </w:r>
      <w:r w:rsidR="003F1985" w:rsidRPr="00D10916">
        <w:rPr>
          <w:rFonts w:asciiTheme="minorEastAsia" w:hAnsiTheme="minorEastAsia" w:cs="SimSun,Bold" w:hint="eastAsia"/>
          <w:b/>
          <w:bCs/>
          <w:kern w:val="0"/>
          <w:sz w:val="28"/>
          <w:szCs w:val="28"/>
        </w:rPr>
        <w:t>修改基金合同</w:t>
      </w:r>
      <w:r>
        <w:rPr>
          <w:rFonts w:asciiTheme="minorEastAsia" w:hAnsiTheme="minorEastAsia" w:cs="SimSun,Bold" w:hint="eastAsia"/>
          <w:b/>
          <w:bCs/>
          <w:kern w:val="0"/>
          <w:sz w:val="28"/>
          <w:szCs w:val="28"/>
        </w:rPr>
        <w:t>等法律文件</w:t>
      </w:r>
      <w:r w:rsidR="003F1985" w:rsidRPr="00D10916">
        <w:rPr>
          <w:rFonts w:asciiTheme="minorEastAsia" w:hAnsiTheme="minorEastAsia" w:cs="SimSun,Bold" w:hint="eastAsia"/>
          <w:b/>
          <w:bCs/>
          <w:kern w:val="0"/>
          <w:sz w:val="28"/>
          <w:szCs w:val="28"/>
        </w:rPr>
        <w:t>的公告</w:t>
      </w:r>
    </w:p>
    <w:p w:rsidR="00DC6760" w:rsidRPr="00D10916" w:rsidRDefault="00DC6760" w:rsidP="00DC6760">
      <w:pPr>
        <w:autoSpaceDE w:val="0"/>
        <w:autoSpaceDN w:val="0"/>
        <w:adjustRightInd w:val="0"/>
        <w:jc w:val="left"/>
        <w:rPr>
          <w:rFonts w:asciiTheme="minorEastAsia" w:hAnsiTheme="minorEastAsia" w:cs="宋体"/>
          <w:kern w:val="0"/>
          <w:sz w:val="24"/>
          <w:szCs w:val="24"/>
        </w:rPr>
      </w:pPr>
    </w:p>
    <w:p w:rsidR="003F1985" w:rsidRPr="00D10916" w:rsidRDefault="00ED129D" w:rsidP="002449A7">
      <w:pPr>
        <w:autoSpaceDE w:val="0"/>
        <w:autoSpaceDN w:val="0"/>
        <w:adjustRightInd w:val="0"/>
        <w:spacing w:line="360" w:lineRule="auto"/>
        <w:ind w:firstLineChars="200" w:firstLine="480"/>
        <w:rPr>
          <w:rFonts w:asciiTheme="minorEastAsia" w:hAnsiTheme="minorEastAsia" w:cs="宋体"/>
          <w:kern w:val="0"/>
          <w:sz w:val="24"/>
          <w:szCs w:val="24"/>
        </w:rPr>
      </w:pPr>
      <w:r w:rsidRPr="00D10916">
        <w:rPr>
          <w:rFonts w:asciiTheme="minorEastAsia" w:hAnsiTheme="minorEastAsia" w:cs="宋体"/>
          <w:kern w:val="0"/>
          <w:sz w:val="24"/>
          <w:szCs w:val="24"/>
        </w:rPr>
        <w:t>根据</w:t>
      </w:r>
      <w:r w:rsidR="00A4628B">
        <w:rPr>
          <w:rFonts w:asciiTheme="minorEastAsia" w:hAnsiTheme="minorEastAsia" w:cs="宋体"/>
          <w:kern w:val="0"/>
          <w:sz w:val="24"/>
          <w:szCs w:val="24"/>
        </w:rPr>
        <w:t>《中华人民共和国证券投资基金法》、</w:t>
      </w:r>
      <w:r w:rsidR="002449A7" w:rsidRPr="002449A7">
        <w:rPr>
          <w:rFonts w:asciiTheme="minorEastAsia" w:hAnsiTheme="minorEastAsia" w:cs="宋体" w:hint="eastAsia"/>
          <w:kern w:val="0"/>
          <w:sz w:val="24"/>
          <w:szCs w:val="24"/>
        </w:rPr>
        <w:t>《公开募集证券投资基金信息披露管理办法》、《公开募集证券投资基金运作管理办法》和《公开募集证券投资基金侧袋机制指引（试行）》等法律法规的规定和各基金基金合同等法律文件的约定</w:t>
      </w:r>
      <w:r w:rsidR="00DC6760" w:rsidRPr="00D10916">
        <w:rPr>
          <w:rFonts w:asciiTheme="minorEastAsia" w:hAnsiTheme="minorEastAsia" w:cs="宋体"/>
          <w:kern w:val="0"/>
          <w:sz w:val="24"/>
          <w:szCs w:val="24"/>
        </w:rPr>
        <w:t>，经与各基金的基金托管人协商一致，并报</w:t>
      </w:r>
      <w:r w:rsidR="005777C8">
        <w:rPr>
          <w:rFonts w:asciiTheme="minorEastAsia" w:hAnsiTheme="minorEastAsia" w:cs="宋体" w:hint="eastAsia"/>
          <w:kern w:val="0"/>
          <w:sz w:val="24"/>
          <w:szCs w:val="24"/>
        </w:rPr>
        <w:t>中国证监</w:t>
      </w:r>
      <w:r w:rsidR="00DC6760" w:rsidRPr="00D10916">
        <w:rPr>
          <w:rFonts w:asciiTheme="minorEastAsia" w:hAnsiTheme="minorEastAsia" w:cs="宋体" w:hint="eastAsia"/>
          <w:kern w:val="0"/>
          <w:sz w:val="24"/>
          <w:szCs w:val="24"/>
        </w:rPr>
        <w:t>会备案，永赢基金管理有限公司（以下简称“基金管理人”）决定对旗下</w:t>
      </w:r>
      <w:r w:rsidR="002449A7">
        <w:rPr>
          <w:rFonts w:asciiTheme="minorEastAsia" w:hAnsiTheme="minorEastAsia" w:cs="宋体" w:hint="eastAsia"/>
          <w:kern w:val="0"/>
          <w:sz w:val="24"/>
          <w:szCs w:val="24"/>
        </w:rPr>
        <w:t>部分</w:t>
      </w:r>
      <w:r w:rsidR="00DC6760" w:rsidRPr="00D10916">
        <w:rPr>
          <w:rFonts w:asciiTheme="minorEastAsia" w:hAnsiTheme="minorEastAsia" w:cs="宋体" w:hint="eastAsia"/>
          <w:kern w:val="0"/>
          <w:sz w:val="24"/>
          <w:szCs w:val="24"/>
        </w:rPr>
        <w:t>基金的基金合同</w:t>
      </w:r>
      <w:r w:rsidR="002449A7">
        <w:rPr>
          <w:rFonts w:asciiTheme="minorEastAsia" w:hAnsiTheme="minorEastAsia" w:cs="宋体" w:hint="eastAsia"/>
          <w:kern w:val="0"/>
          <w:sz w:val="24"/>
          <w:szCs w:val="24"/>
        </w:rPr>
        <w:t>等法律文件</w:t>
      </w:r>
      <w:r w:rsidR="00DC6760" w:rsidRPr="00D10916">
        <w:rPr>
          <w:rFonts w:asciiTheme="minorEastAsia" w:hAnsiTheme="minorEastAsia" w:cs="宋体" w:hint="eastAsia"/>
          <w:kern w:val="0"/>
          <w:sz w:val="24"/>
          <w:szCs w:val="24"/>
        </w:rPr>
        <w:t>进行修改</w:t>
      </w:r>
      <w:r w:rsidR="00B07E92">
        <w:rPr>
          <w:rFonts w:asciiTheme="minorEastAsia" w:hAnsiTheme="minorEastAsia" w:cs="宋体" w:hint="eastAsia"/>
          <w:kern w:val="0"/>
          <w:sz w:val="24"/>
          <w:szCs w:val="24"/>
        </w:rPr>
        <w:t>，主要涉及增加侧袋</w:t>
      </w:r>
      <w:r w:rsidR="00B07E92" w:rsidRPr="006833D1">
        <w:rPr>
          <w:rFonts w:asciiTheme="minorEastAsia" w:hAnsiTheme="minorEastAsia" w:cs="宋体" w:hint="eastAsia"/>
          <w:kern w:val="0"/>
          <w:sz w:val="24"/>
          <w:szCs w:val="24"/>
        </w:rPr>
        <w:t>机制相关条款</w:t>
      </w:r>
      <w:r w:rsidR="00DC6760" w:rsidRPr="006833D1">
        <w:rPr>
          <w:rFonts w:asciiTheme="minorEastAsia" w:hAnsiTheme="minorEastAsia" w:cs="宋体" w:hint="eastAsia"/>
          <w:kern w:val="0"/>
          <w:sz w:val="24"/>
          <w:szCs w:val="24"/>
        </w:rPr>
        <w:t>。本</w:t>
      </w:r>
      <w:r w:rsidR="00DC6760" w:rsidRPr="00D10916">
        <w:rPr>
          <w:rFonts w:asciiTheme="minorEastAsia" w:hAnsiTheme="minorEastAsia" w:cs="宋体" w:hint="eastAsia"/>
          <w:kern w:val="0"/>
          <w:sz w:val="24"/>
          <w:szCs w:val="24"/>
        </w:rPr>
        <w:t>次修改将自</w:t>
      </w:r>
      <w:r w:rsidR="004D7E16" w:rsidRPr="00D10916">
        <w:rPr>
          <w:rFonts w:asciiTheme="minorEastAsia" w:hAnsiTheme="minorEastAsia" w:cs="宋体"/>
          <w:kern w:val="0"/>
          <w:sz w:val="24"/>
          <w:szCs w:val="24"/>
        </w:rPr>
        <w:t>2021</w:t>
      </w:r>
      <w:r w:rsidR="00DC6760" w:rsidRPr="00D10916">
        <w:rPr>
          <w:rFonts w:asciiTheme="minorEastAsia" w:hAnsiTheme="minorEastAsia" w:cs="宋体" w:hint="eastAsia"/>
          <w:kern w:val="0"/>
          <w:sz w:val="24"/>
          <w:szCs w:val="24"/>
        </w:rPr>
        <w:t>年</w:t>
      </w:r>
      <w:r w:rsidR="00BB1C4D">
        <w:rPr>
          <w:rFonts w:asciiTheme="minorEastAsia" w:hAnsiTheme="minorEastAsia" w:cs="宋体"/>
          <w:kern w:val="0"/>
          <w:sz w:val="24"/>
          <w:szCs w:val="24"/>
        </w:rPr>
        <w:t>07</w:t>
      </w:r>
      <w:r w:rsidR="00DC6760" w:rsidRPr="00D10916">
        <w:rPr>
          <w:rFonts w:asciiTheme="minorEastAsia" w:hAnsiTheme="minorEastAsia" w:cs="宋体" w:hint="eastAsia"/>
          <w:kern w:val="0"/>
          <w:sz w:val="24"/>
          <w:szCs w:val="24"/>
        </w:rPr>
        <w:t>月</w:t>
      </w:r>
      <w:r w:rsidR="00BB1C4D">
        <w:rPr>
          <w:rFonts w:asciiTheme="minorEastAsia" w:hAnsiTheme="minorEastAsia" w:cs="宋体"/>
          <w:kern w:val="0"/>
          <w:sz w:val="24"/>
          <w:szCs w:val="24"/>
        </w:rPr>
        <w:t>31</w:t>
      </w:r>
      <w:r w:rsidR="00DC6760" w:rsidRPr="00D10916">
        <w:rPr>
          <w:rFonts w:asciiTheme="minorEastAsia" w:hAnsiTheme="minorEastAsia" w:cs="宋体" w:hint="eastAsia"/>
          <w:kern w:val="0"/>
          <w:sz w:val="24"/>
          <w:szCs w:val="24"/>
        </w:rPr>
        <w:t>日</w:t>
      </w:r>
      <w:r w:rsidR="00B07E92">
        <w:rPr>
          <w:rFonts w:asciiTheme="minorEastAsia" w:hAnsiTheme="minorEastAsia" w:cs="宋体" w:hint="eastAsia"/>
          <w:kern w:val="0"/>
          <w:sz w:val="24"/>
          <w:szCs w:val="24"/>
        </w:rPr>
        <w:t>起</w:t>
      </w:r>
      <w:r w:rsidR="00DC6760" w:rsidRPr="00D10916">
        <w:rPr>
          <w:rFonts w:asciiTheme="minorEastAsia" w:hAnsiTheme="minorEastAsia" w:cs="宋体" w:hint="eastAsia"/>
          <w:kern w:val="0"/>
          <w:sz w:val="24"/>
          <w:szCs w:val="24"/>
        </w:rPr>
        <w:t>正式生效。现将相关事项公告如下：</w:t>
      </w:r>
      <w:r w:rsidR="00DC6760" w:rsidRPr="00D10916">
        <w:rPr>
          <w:rFonts w:asciiTheme="minorEastAsia" w:hAnsiTheme="minorEastAsia" w:cs="宋体"/>
          <w:kern w:val="0"/>
          <w:sz w:val="24"/>
          <w:szCs w:val="24"/>
        </w:rPr>
        <w:t xml:space="preserve"> </w:t>
      </w:r>
    </w:p>
    <w:p w:rsidR="00DC6760" w:rsidRPr="00821C1C" w:rsidRDefault="00DC6760" w:rsidP="00821C1C">
      <w:pPr>
        <w:pStyle w:val="a8"/>
        <w:numPr>
          <w:ilvl w:val="0"/>
          <w:numId w:val="1"/>
        </w:numPr>
        <w:autoSpaceDE w:val="0"/>
        <w:autoSpaceDN w:val="0"/>
        <w:adjustRightInd w:val="0"/>
        <w:spacing w:line="360" w:lineRule="auto"/>
        <w:ind w:firstLineChars="0"/>
        <w:rPr>
          <w:rFonts w:asciiTheme="minorEastAsia" w:hAnsiTheme="minorEastAsia" w:cs="宋体"/>
          <w:b/>
          <w:kern w:val="0"/>
          <w:sz w:val="24"/>
          <w:szCs w:val="24"/>
        </w:rPr>
      </w:pPr>
      <w:r w:rsidRPr="00821C1C">
        <w:rPr>
          <w:rFonts w:asciiTheme="minorEastAsia" w:hAnsiTheme="minorEastAsia" w:cs="宋体" w:hint="eastAsia"/>
          <w:b/>
          <w:kern w:val="0"/>
          <w:sz w:val="24"/>
          <w:szCs w:val="24"/>
        </w:rPr>
        <w:t>本次修订的基金范围</w:t>
      </w:r>
    </w:p>
    <w:p w:rsidR="002449A7" w:rsidRDefault="002449A7" w:rsidP="00821C1C">
      <w:pPr>
        <w:autoSpaceDE w:val="0"/>
        <w:autoSpaceDN w:val="0"/>
        <w:adjustRightInd w:val="0"/>
        <w:spacing w:line="360" w:lineRule="auto"/>
        <w:ind w:left="482"/>
        <w:rPr>
          <w:rFonts w:asciiTheme="minorEastAsia" w:hAnsiTheme="minorEastAsia" w:cs="宋体"/>
          <w:kern w:val="0"/>
          <w:sz w:val="24"/>
          <w:szCs w:val="24"/>
        </w:rPr>
      </w:pPr>
      <w:r>
        <w:rPr>
          <w:rFonts w:asciiTheme="minorEastAsia" w:hAnsiTheme="minorEastAsia" w:cs="宋体" w:hint="eastAsia"/>
          <w:kern w:val="0"/>
          <w:sz w:val="24"/>
          <w:szCs w:val="24"/>
        </w:rPr>
        <w:t>本次</w:t>
      </w:r>
      <w:r w:rsidRPr="00821C1C">
        <w:rPr>
          <w:rFonts w:asciiTheme="minorEastAsia" w:hAnsiTheme="minorEastAsia" w:cs="宋体" w:hint="eastAsia"/>
          <w:kern w:val="0"/>
          <w:sz w:val="24"/>
          <w:szCs w:val="24"/>
        </w:rPr>
        <w:t>修订涉及基金管理人旗下</w:t>
      </w:r>
      <w:r w:rsidR="00BB1C4D">
        <w:rPr>
          <w:rFonts w:asciiTheme="minorEastAsia" w:hAnsiTheme="minorEastAsia" w:cs="宋体"/>
          <w:kern w:val="0"/>
          <w:sz w:val="24"/>
          <w:szCs w:val="24"/>
        </w:rPr>
        <w:t>33</w:t>
      </w:r>
      <w:r w:rsidRPr="00821C1C">
        <w:rPr>
          <w:rFonts w:asciiTheme="minorEastAsia" w:hAnsiTheme="minorEastAsia" w:cs="宋体" w:hint="eastAsia"/>
          <w:kern w:val="0"/>
          <w:sz w:val="24"/>
          <w:szCs w:val="24"/>
        </w:rPr>
        <w:t>只公募基金，详细名单见下表：</w:t>
      </w:r>
    </w:p>
    <w:tbl>
      <w:tblPr>
        <w:tblStyle w:val="a3"/>
        <w:tblW w:w="8296" w:type="dxa"/>
        <w:tblLook w:val="04A0"/>
      </w:tblPr>
      <w:tblGrid>
        <w:gridCol w:w="1129"/>
        <w:gridCol w:w="3544"/>
        <w:gridCol w:w="3623"/>
      </w:tblGrid>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b/>
                <w:bCs/>
                <w:color w:val="000000"/>
                <w:kern w:val="0"/>
                <w:sz w:val="24"/>
                <w:szCs w:val="24"/>
              </w:rPr>
            </w:pPr>
            <w:r w:rsidRPr="00BB1C4D">
              <w:rPr>
                <w:rFonts w:ascii="宋体" w:eastAsia="宋体" w:hAnsi="宋体" w:cs="宋体" w:hint="eastAsia"/>
                <w:b/>
                <w:bCs/>
                <w:color w:val="000000"/>
                <w:kern w:val="0"/>
                <w:sz w:val="24"/>
                <w:szCs w:val="24"/>
              </w:rPr>
              <w:t>序号</w:t>
            </w:r>
          </w:p>
        </w:tc>
        <w:tc>
          <w:tcPr>
            <w:tcW w:w="3544" w:type="dxa"/>
            <w:hideMark/>
          </w:tcPr>
          <w:p w:rsidR="00BB1C4D" w:rsidRPr="00BB1C4D" w:rsidRDefault="00BB1C4D" w:rsidP="00BB1C4D">
            <w:pPr>
              <w:widowControl/>
              <w:rPr>
                <w:rFonts w:ascii="宋体" w:eastAsia="宋体" w:hAnsi="宋体" w:cs="宋体"/>
                <w:b/>
                <w:bCs/>
                <w:color w:val="000000"/>
                <w:kern w:val="0"/>
                <w:sz w:val="24"/>
                <w:szCs w:val="24"/>
              </w:rPr>
            </w:pPr>
            <w:r w:rsidRPr="00BB1C4D">
              <w:rPr>
                <w:rFonts w:ascii="宋体" w:eastAsia="宋体" w:hAnsi="宋体" w:cs="宋体" w:hint="eastAsia"/>
                <w:b/>
                <w:bCs/>
                <w:color w:val="000000"/>
                <w:kern w:val="0"/>
                <w:sz w:val="24"/>
                <w:szCs w:val="24"/>
              </w:rPr>
              <w:t>基金名称</w:t>
            </w:r>
          </w:p>
        </w:tc>
        <w:tc>
          <w:tcPr>
            <w:tcW w:w="3623" w:type="dxa"/>
            <w:hideMark/>
          </w:tcPr>
          <w:p w:rsidR="00BB1C4D" w:rsidRPr="00BB1C4D" w:rsidRDefault="00BB1C4D" w:rsidP="00BB1C4D">
            <w:pPr>
              <w:widowControl/>
              <w:rPr>
                <w:rFonts w:ascii="宋体" w:eastAsia="宋体" w:hAnsi="宋体" w:cs="宋体"/>
                <w:b/>
                <w:bCs/>
                <w:color w:val="000000"/>
                <w:kern w:val="0"/>
                <w:sz w:val="24"/>
                <w:szCs w:val="24"/>
              </w:rPr>
            </w:pPr>
            <w:r w:rsidRPr="00BB1C4D">
              <w:rPr>
                <w:rFonts w:ascii="宋体" w:eastAsia="宋体" w:hAnsi="宋体" w:cs="宋体" w:hint="eastAsia"/>
                <w:b/>
                <w:bCs/>
                <w:color w:val="000000"/>
                <w:kern w:val="0"/>
                <w:sz w:val="24"/>
                <w:szCs w:val="24"/>
              </w:rPr>
              <w:t>基金托管人</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永赢稳益债券型证券投资基金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兴业银行股份有限公司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永赢丰益债券型证券投资基金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兴业银行股份有限公司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3</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永赢添益债券型证券投资基金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兴业银行股份有限公司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4</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永赢瑞益债券型证券投资基金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兴业银行股份有限公司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5</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永赢丰利债券型证券投资基金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兴业银行股份有限公司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6</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永赢恒益债券型证券投资基金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中国光大银行股份有限公司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7</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永赢泰益债券型证券投资基金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交通银行股份有限公司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8</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永赢聚益债券型证券投资基金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中国光大银行股份有限公司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9</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永赢荣益债券型证券投资基金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上海银行股份有限公司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10</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永赢盛益债券型证券投资基金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浙商银行股份有限公司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11</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永赢嘉益债券型证券投资基金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中国农业银行股份有限公司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12</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永赢祥益债券型证券投资基金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徽商银行股份有限公司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13</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永赢裕益债券型证券投资基金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中国工商银行股份有限公司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14</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永赢诚益债券型证券投资基金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浙商银行股份有限公司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15</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永赢昌益债券型证券投资基金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中国光大银行股份有限公司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16</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永赢宏益债券型证券投资基金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中国银行股份有限公司</w:t>
            </w:r>
          </w:p>
        </w:tc>
      </w:tr>
      <w:tr w:rsidR="00BB1C4D" w:rsidRPr="00BB1C4D" w:rsidTr="00BB1C4D">
        <w:trPr>
          <w:trHeight w:val="636"/>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17</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永赢迅利中高等级短债债券型证券投资基金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中国光大银行股份有限公司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18</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永赢颐利债券型证券投资基金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浙商银行股份有限公司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19</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永赢泰利债券型证券投资基金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交通银行股份有限公司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20</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永赢卓利债券型证券投资基金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徽商银行股份有限公司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lastRenderedPageBreak/>
              <w:t>21</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永赢悦利债券型证券投资基金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徽商银行股份有限公司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22</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永赢凯利债券型证券投资基金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浙商银行股份有限公司</w:t>
            </w:r>
          </w:p>
        </w:tc>
      </w:tr>
      <w:tr w:rsidR="00BB1C4D" w:rsidRPr="00BB1C4D" w:rsidTr="00BB1C4D">
        <w:trPr>
          <w:trHeight w:val="636"/>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23</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永赢智益纯债三个月定期开放债券型发起式证券投资基金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中国光大银行股份有限公司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24</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永赢同利债券型证券投资基金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交通银行股份有限公司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25</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永赢昌利债券型证券投资基金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中国光大银行股份有限公司</w:t>
            </w:r>
          </w:p>
        </w:tc>
      </w:tr>
      <w:tr w:rsidR="00BB1C4D" w:rsidRPr="00BB1C4D" w:rsidTr="00BB1C4D">
        <w:trPr>
          <w:trHeight w:val="636"/>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26</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永赢开泰中高等级中短债债券型证券投资基金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中国农业银行股份有限公司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27</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永赢元利债券型证券投资基金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交通银行股份有限公司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28</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永赢易弘债券型证券投资基金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中国光大银行股份有限公司</w:t>
            </w:r>
          </w:p>
        </w:tc>
      </w:tr>
      <w:tr w:rsidR="00BB1C4D" w:rsidRPr="00BB1C4D" w:rsidTr="00BB1C4D">
        <w:trPr>
          <w:trHeight w:val="636"/>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29</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永赢中债-1-5年国开行债券指数证券投资基金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浙商银行股份有限公司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30</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永赢邦利债券型证券投资基金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中国银行股份有限公司</w:t>
            </w:r>
          </w:p>
        </w:tc>
      </w:tr>
      <w:tr w:rsidR="00BB1C4D" w:rsidRPr="00BB1C4D" w:rsidTr="00BB1C4D">
        <w:trPr>
          <w:trHeight w:val="636"/>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31</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永赢欣益纯债一年定期开放债券型发起式证券投资基金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兴业银行股份有限公司</w:t>
            </w:r>
          </w:p>
        </w:tc>
      </w:tr>
      <w:tr w:rsidR="00BB1C4D" w:rsidRPr="00BB1C4D" w:rsidTr="00BB1C4D">
        <w:trPr>
          <w:trHeight w:val="636"/>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32</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永赢泽利一年定期开放债券型证券投资基金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徽商银行股份有限公司</w:t>
            </w:r>
          </w:p>
        </w:tc>
      </w:tr>
      <w:tr w:rsidR="00BB1C4D" w:rsidRPr="00BB1C4D" w:rsidTr="00BB1C4D">
        <w:trPr>
          <w:trHeight w:val="324"/>
        </w:trPr>
        <w:tc>
          <w:tcPr>
            <w:tcW w:w="1129"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33</w:t>
            </w:r>
          </w:p>
        </w:tc>
        <w:tc>
          <w:tcPr>
            <w:tcW w:w="3544"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永赢鼎利债券型证券投资基金</w:t>
            </w:r>
          </w:p>
        </w:tc>
        <w:tc>
          <w:tcPr>
            <w:tcW w:w="3623" w:type="dxa"/>
            <w:hideMark/>
          </w:tcPr>
          <w:p w:rsidR="00BB1C4D" w:rsidRPr="00BB1C4D" w:rsidRDefault="00BB1C4D" w:rsidP="00BB1C4D">
            <w:pPr>
              <w:widowControl/>
              <w:rPr>
                <w:rFonts w:ascii="宋体" w:eastAsia="宋体" w:hAnsi="宋体" w:cs="宋体"/>
                <w:color w:val="000000"/>
                <w:kern w:val="0"/>
                <w:sz w:val="24"/>
                <w:szCs w:val="24"/>
              </w:rPr>
            </w:pPr>
            <w:r w:rsidRPr="00BB1C4D">
              <w:rPr>
                <w:rFonts w:ascii="宋体" w:eastAsia="宋体" w:hAnsi="宋体" w:cs="宋体" w:hint="eastAsia"/>
                <w:color w:val="000000"/>
                <w:kern w:val="0"/>
                <w:sz w:val="24"/>
                <w:szCs w:val="24"/>
              </w:rPr>
              <w:t>中国光大银行股份有限公司</w:t>
            </w:r>
          </w:p>
        </w:tc>
      </w:tr>
    </w:tbl>
    <w:p w:rsidR="004D7E16" w:rsidRDefault="004D7E16" w:rsidP="004D7E16">
      <w:pPr>
        <w:autoSpaceDE w:val="0"/>
        <w:autoSpaceDN w:val="0"/>
        <w:adjustRightInd w:val="0"/>
        <w:spacing w:line="360" w:lineRule="auto"/>
        <w:ind w:firstLineChars="200" w:firstLine="482"/>
        <w:jc w:val="left"/>
        <w:rPr>
          <w:rFonts w:asciiTheme="minorEastAsia" w:hAnsiTheme="minorEastAsia" w:cs="宋体"/>
          <w:b/>
          <w:kern w:val="0"/>
          <w:sz w:val="24"/>
          <w:szCs w:val="24"/>
        </w:rPr>
      </w:pPr>
      <w:r w:rsidRPr="00D10916">
        <w:rPr>
          <w:rFonts w:asciiTheme="minorEastAsia" w:hAnsiTheme="minorEastAsia" w:cs="宋体"/>
          <w:b/>
          <w:kern w:val="0"/>
          <w:sz w:val="24"/>
          <w:szCs w:val="24"/>
        </w:rPr>
        <w:t>二、基金合同修改的内容</w:t>
      </w:r>
    </w:p>
    <w:p w:rsidR="0026519F" w:rsidRPr="00821C1C" w:rsidRDefault="0026519F" w:rsidP="00B07E92">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以“</w:t>
      </w:r>
      <w:r w:rsidRPr="00821C1C">
        <w:rPr>
          <w:rFonts w:asciiTheme="minorEastAsia" w:hAnsiTheme="minorEastAsia" w:cs="宋体" w:hint="eastAsia"/>
          <w:b/>
          <w:kern w:val="0"/>
          <w:sz w:val="24"/>
          <w:szCs w:val="24"/>
        </w:rPr>
        <w:t>永赢</w:t>
      </w:r>
      <w:r w:rsidR="00BB1C4D">
        <w:rPr>
          <w:rFonts w:asciiTheme="minorEastAsia" w:hAnsiTheme="minorEastAsia" w:cs="宋体" w:hint="eastAsia"/>
          <w:b/>
          <w:kern w:val="0"/>
          <w:sz w:val="24"/>
          <w:szCs w:val="24"/>
        </w:rPr>
        <w:t>丰</w:t>
      </w:r>
      <w:r w:rsidRPr="00821C1C">
        <w:rPr>
          <w:rFonts w:asciiTheme="minorEastAsia" w:hAnsiTheme="minorEastAsia" w:cs="宋体" w:hint="eastAsia"/>
          <w:b/>
          <w:kern w:val="0"/>
          <w:sz w:val="24"/>
          <w:szCs w:val="24"/>
        </w:rPr>
        <w:t>益债券型证券投资基金</w:t>
      </w:r>
      <w:r>
        <w:rPr>
          <w:rFonts w:asciiTheme="minorEastAsia" w:hAnsiTheme="minorEastAsia" w:cs="宋体" w:hint="eastAsia"/>
          <w:kern w:val="0"/>
          <w:sz w:val="24"/>
          <w:szCs w:val="24"/>
        </w:rPr>
        <w:t>”为例：</w:t>
      </w:r>
    </w:p>
    <w:p w:rsidR="005777C8" w:rsidRPr="00ED1BB1" w:rsidRDefault="005777C8" w:rsidP="00ED1BB1">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ED1BB1">
        <w:rPr>
          <w:rFonts w:asciiTheme="minorEastAsia" w:hAnsiTheme="minorEastAsia" w:cs="宋体" w:hint="eastAsia"/>
          <w:kern w:val="0"/>
          <w:sz w:val="24"/>
          <w:szCs w:val="24"/>
        </w:rPr>
        <w:t>在“</w:t>
      </w:r>
      <w:r w:rsidRPr="00ED1BB1">
        <w:rPr>
          <w:rFonts w:asciiTheme="minorEastAsia" w:hAnsiTheme="minorEastAsia" w:cs="宋体"/>
          <w:b/>
          <w:kern w:val="0"/>
          <w:sz w:val="24"/>
          <w:szCs w:val="24"/>
        </w:rPr>
        <w:t>前言</w:t>
      </w:r>
      <w:r w:rsidRPr="00ED1BB1">
        <w:rPr>
          <w:rFonts w:asciiTheme="minorEastAsia" w:hAnsiTheme="minorEastAsia" w:cs="宋体" w:hint="eastAsia"/>
          <w:kern w:val="0"/>
          <w:sz w:val="24"/>
          <w:szCs w:val="24"/>
        </w:rPr>
        <w:t>”章节新增</w:t>
      </w:r>
      <w:r w:rsidR="00ED1BB1" w:rsidRPr="00ED1BB1">
        <w:rPr>
          <w:rFonts w:asciiTheme="minorEastAsia" w:hAnsiTheme="minorEastAsia" w:cs="宋体" w:hint="eastAsia"/>
          <w:kern w:val="0"/>
          <w:sz w:val="24"/>
          <w:szCs w:val="24"/>
        </w:rPr>
        <w:t>提示如下：</w:t>
      </w:r>
    </w:p>
    <w:p w:rsidR="00ED1BB1" w:rsidRPr="00ED1BB1" w:rsidRDefault="00ED1BB1" w:rsidP="00ED1BB1">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w:t>
      </w:r>
      <w:r w:rsidRPr="00ED1BB1">
        <w:rPr>
          <w:rFonts w:asciiTheme="minorEastAsia" w:hAnsiTheme="minorEastAsia" w:cs="宋体" w:hint="eastAsia"/>
          <w:kern w:val="0"/>
          <w:sz w:val="24"/>
          <w:szCs w:val="24"/>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r>
        <w:rPr>
          <w:rFonts w:asciiTheme="minorEastAsia" w:hAnsiTheme="minorEastAsia" w:cs="宋体"/>
          <w:kern w:val="0"/>
          <w:sz w:val="24"/>
          <w:szCs w:val="24"/>
        </w:rPr>
        <w:t>”</w:t>
      </w:r>
    </w:p>
    <w:p w:rsidR="003F1985" w:rsidRDefault="005777C8"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sidR="00B025DF">
        <w:rPr>
          <w:rFonts w:asciiTheme="minorEastAsia" w:hAnsiTheme="minorEastAsia" w:cs="宋体" w:hint="eastAsia"/>
          <w:kern w:val="0"/>
          <w:sz w:val="24"/>
          <w:szCs w:val="24"/>
        </w:rPr>
        <w:t>在</w:t>
      </w:r>
      <w:r w:rsidR="003F1985" w:rsidRPr="00D10916">
        <w:rPr>
          <w:rFonts w:asciiTheme="minorEastAsia" w:hAnsiTheme="minorEastAsia" w:cs="宋体" w:hint="eastAsia"/>
          <w:kern w:val="0"/>
          <w:sz w:val="24"/>
          <w:szCs w:val="24"/>
        </w:rPr>
        <w:t>“</w:t>
      </w:r>
      <w:r w:rsidR="0026519F" w:rsidRPr="00821C1C">
        <w:rPr>
          <w:rFonts w:asciiTheme="minorEastAsia" w:hAnsiTheme="minorEastAsia" w:cs="宋体"/>
          <w:b/>
          <w:kern w:val="0"/>
          <w:sz w:val="24"/>
          <w:szCs w:val="24"/>
        </w:rPr>
        <w:t>释义</w:t>
      </w:r>
      <w:r w:rsidR="003F1985" w:rsidRPr="00D10916">
        <w:rPr>
          <w:rFonts w:asciiTheme="minorEastAsia" w:hAnsiTheme="minorEastAsia" w:cs="宋体" w:hint="eastAsia"/>
          <w:kern w:val="0"/>
          <w:sz w:val="24"/>
          <w:szCs w:val="24"/>
        </w:rPr>
        <w:t>”章节</w:t>
      </w:r>
      <w:r w:rsidR="0026519F">
        <w:rPr>
          <w:rFonts w:asciiTheme="minorEastAsia" w:hAnsiTheme="minorEastAsia" w:cs="宋体" w:hint="eastAsia"/>
          <w:kern w:val="0"/>
          <w:sz w:val="24"/>
          <w:szCs w:val="24"/>
        </w:rPr>
        <w:t>新增“</w:t>
      </w:r>
      <w:r w:rsidR="0026519F" w:rsidRPr="00821C1C">
        <w:rPr>
          <w:rFonts w:asciiTheme="minorEastAsia" w:hAnsiTheme="minorEastAsia" w:cs="宋体" w:hint="eastAsia"/>
          <w:b/>
          <w:kern w:val="0"/>
          <w:sz w:val="24"/>
          <w:szCs w:val="24"/>
        </w:rPr>
        <w:t>侧袋机制</w:t>
      </w:r>
      <w:r w:rsidR="0026519F">
        <w:rPr>
          <w:rFonts w:asciiTheme="minorEastAsia" w:hAnsiTheme="minorEastAsia" w:cs="宋体" w:hint="eastAsia"/>
          <w:kern w:val="0"/>
          <w:sz w:val="24"/>
          <w:szCs w:val="24"/>
        </w:rPr>
        <w:t>”、“</w:t>
      </w:r>
      <w:r w:rsidR="0026519F" w:rsidRPr="00821C1C">
        <w:rPr>
          <w:rFonts w:asciiTheme="minorEastAsia" w:hAnsiTheme="minorEastAsia" w:cs="宋体" w:hint="eastAsia"/>
          <w:b/>
          <w:kern w:val="0"/>
          <w:sz w:val="24"/>
          <w:szCs w:val="24"/>
        </w:rPr>
        <w:t>特定资产</w:t>
      </w:r>
      <w:r w:rsidR="0026519F">
        <w:rPr>
          <w:rFonts w:asciiTheme="minorEastAsia" w:hAnsiTheme="minorEastAsia" w:cs="宋体" w:hint="eastAsia"/>
          <w:kern w:val="0"/>
          <w:sz w:val="24"/>
          <w:szCs w:val="24"/>
        </w:rPr>
        <w:t>”的释义如下：</w:t>
      </w:r>
    </w:p>
    <w:p w:rsidR="0026519F" w:rsidRPr="0026519F"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“侧袋机制：指将基金投资组合中的特定资产从原有账户分离至</w:t>
      </w:r>
      <w:r w:rsidR="0026519F" w:rsidRPr="0026519F">
        <w:rPr>
          <w:rFonts w:asciiTheme="minorEastAsia" w:hAnsiTheme="minorEastAsia" w:cs="宋体" w:hint="eastAsia"/>
          <w:kern w:val="0"/>
          <w:sz w:val="24"/>
          <w:szCs w:val="24"/>
        </w:rPr>
        <w:t>专门账户进行处置清算，目的在于有效隔离并化解风险，确保投资者得到公平对待，属于流动性风险管理工具。</w:t>
      </w:r>
      <w:r w:rsidR="00B025DF">
        <w:rPr>
          <w:rFonts w:asciiTheme="minorEastAsia" w:hAnsiTheme="minorEastAsia" w:cs="宋体" w:hint="eastAsia"/>
          <w:kern w:val="0"/>
          <w:sz w:val="24"/>
          <w:szCs w:val="24"/>
        </w:rPr>
        <w:t>侧袋机制实施期间，原有账户称为主袋账户，专门账户称为侧袋账户</w:t>
      </w:r>
    </w:p>
    <w:p w:rsidR="0026519F" w:rsidRPr="00D10916" w:rsidRDefault="0026519F"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26519F">
        <w:rPr>
          <w:rFonts w:asciiTheme="minorEastAsia" w:hAnsiTheme="minorEastAsia" w:cs="宋体" w:hint="eastAsia"/>
          <w:kern w:val="0"/>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025DF" w:rsidRPr="00B025DF"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TimesNewRomanPSMT"/>
          <w:kern w:val="0"/>
          <w:sz w:val="24"/>
          <w:szCs w:val="24"/>
        </w:rPr>
        <w:lastRenderedPageBreak/>
        <w:t>3</w:t>
      </w:r>
      <w:r w:rsidR="003F1985" w:rsidRPr="00D10916">
        <w:rPr>
          <w:rFonts w:asciiTheme="minorEastAsia" w:hAnsiTheme="minorEastAsia" w:cs="宋体" w:hint="eastAsia"/>
          <w:kern w:val="0"/>
          <w:sz w:val="24"/>
          <w:szCs w:val="24"/>
        </w:rPr>
        <w:t>、</w:t>
      </w:r>
      <w:r w:rsidR="00B025DF">
        <w:rPr>
          <w:rFonts w:asciiTheme="minorEastAsia" w:hAnsiTheme="minorEastAsia" w:cs="宋体" w:hint="eastAsia"/>
          <w:kern w:val="0"/>
          <w:sz w:val="24"/>
          <w:szCs w:val="24"/>
        </w:rPr>
        <w:t>在</w:t>
      </w:r>
      <w:r w:rsidR="003F1985" w:rsidRPr="00D10916">
        <w:rPr>
          <w:rFonts w:asciiTheme="minorEastAsia" w:hAnsiTheme="minorEastAsia" w:cs="宋体" w:hint="eastAsia"/>
          <w:kern w:val="0"/>
          <w:sz w:val="24"/>
          <w:szCs w:val="24"/>
        </w:rPr>
        <w:t>“</w:t>
      </w:r>
      <w:r w:rsidR="00B025DF" w:rsidRPr="00821C1C">
        <w:rPr>
          <w:rFonts w:asciiTheme="minorEastAsia" w:hAnsiTheme="minorEastAsia" w:cs="宋体" w:hint="eastAsia"/>
          <w:b/>
          <w:kern w:val="0"/>
          <w:sz w:val="24"/>
          <w:szCs w:val="24"/>
        </w:rPr>
        <w:t>基金份额的申购与赎回</w:t>
      </w:r>
      <w:r w:rsidR="003F1985" w:rsidRPr="00D10916">
        <w:rPr>
          <w:rFonts w:asciiTheme="minorEastAsia" w:hAnsiTheme="minorEastAsia" w:cs="宋体" w:hint="eastAsia"/>
          <w:kern w:val="0"/>
          <w:sz w:val="24"/>
          <w:szCs w:val="24"/>
        </w:rPr>
        <w:t>”章节</w:t>
      </w:r>
      <w:r w:rsidR="00B025DF">
        <w:rPr>
          <w:rFonts w:asciiTheme="minorEastAsia" w:hAnsiTheme="minorEastAsia" w:cs="宋体" w:hint="eastAsia"/>
          <w:kern w:val="0"/>
          <w:sz w:val="24"/>
          <w:szCs w:val="24"/>
        </w:rPr>
        <w:t>新增</w:t>
      </w:r>
      <w:r w:rsidR="00B025DF" w:rsidRPr="00821C1C">
        <w:rPr>
          <w:rFonts w:asciiTheme="minorEastAsia" w:hAnsiTheme="minorEastAsia" w:cs="宋体" w:hint="eastAsia"/>
          <w:b/>
          <w:kern w:val="0"/>
          <w:sz w:val="24"/>
          <w:szCs w:val="24"/>
        </w:rPr>
        <w:t>实施侧袋机制期间</w:t>
      </w:r>
      <w:r>
        <w:rPr>
          <w:rFonts w:asciiTheme="minorEastAsia" w:hAnsiTheme="minorEastAsia" w:cs="宋体" w:hint="eastAsia"/>
          <w:b/>
          <w:kern w:val="0"/>
          <w:sz w:val="24"/>
          <w:szCs w:val="24"/>
        </w:rPr>
        <w:t>本</w:t>
      </w:r>
      <w:r w:rsidR="00B025DF" w:rsidRPr="00821C1C">
        <w:rPr>
          <w:rFonts w:asciiTheme="minorEastAsia" w:hAnsiTheme="minorEastAsia" w:cs="宋体" w:hint="eastAsia"/>
          <w:b/>
          <w:kern w:val="0"/>
          <w:sz w:val="24"/>
          <w:szCs w:val="24"/>
        </w:rPr>
        <w:t>基金的申购与赎回</w:t>
      </w:r>
      <w:r w:rsidR="00B025DF" w:rsidRPr="00B025DF">
        <w:rPr>
          <w:rFonts w:asciiTheme="minorEastAsia" w:hAnsiTheme="minorEastAsia" w:cs="宋体" w:hint="eastAsia"/>
          <w:kern w:val="0"/>
          <w:sz w:val="24"/>
          <w:szCs w:val="24"/>
        </w:rPr>
        <w:t>相关内容如下：</w:t>
      </w:r>
    </w:p>
    <w:p w:rsidR="003F1985" w:rsidRPr="00D10916" w:rsidRDefault="00B025DF"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B025DF">
        <w:rPr>
          <w:rFonts w:asciiTheme="minorEastAsia" w:hAnsiTheme="minorEastAsia" w:cs="宋体" w:hint="eastAsia"/>
          <w:kern w:val="0"/>
          <w:sz w:val="24"/>
          <w:szCs w:val="24"/>
        </w:rPr>
        <w:t>“本基金实施侧袋机制的，本基金的申购和赎回安排详见招募说明书或相关公告。”</w:t>
      </w:r>
    </w:p>
    <w:p w:rsidR="00ED1BB1"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kern w:val="0"/>
          <w:sz w:val="24"/>
          <w:szCs w:val="24"/>
        </w:rPr>
        <w:t>对“</w:t>
      </w:r>
      <w:r w:rsidRPr="00ED1BB1">
        <w:rPr>
          <w:rFonts w:asciiTheme="minorEastAsia" w:hAnsiTheme="minorEastAsia" w:cs="宋体" w:hint="eastAsia"/>
          <w:b/>
          <w:kern w:val="0"/>
          <w:sz w:val="24"/>
          <w:szCs w:val="24"/>
        </w:rPr>
        <w:t>基金合同当事人及权利义务</w:t>
      </w:r>
      <w:r>
        <w:rPr>
          <w:rFonts w:asciiTheme="minorEastAsia" w:hAnsiTheme="minorEastAsia" w:cs="宋体"/>
          <w:kern w:val="0"/>
          <w:sz w:val="24"/>
          <w:szCs w:val="24"/>
        </w:rPr>
        <w:t>”章节的修订：</w:t>
      </w:r>
    </w:p>
    <w:p w:rsidR="00ED1BB1"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EE5D38">
        <w:rPr>
          <w:rFonts w:asciiTheme="minorEastAsia" w:hAnsiTheme="minorEastAsia" w:cs="宋体" w:hint="eastAsia"/>
          <w:kern w:val="0"/>
          <w:sz w:val="24"/>
          <w:szCs w:val="24"/>
        </w:rPr>
        <w:t>将</w:t>
      </w:r>
      <w:r>
        <w:rPr>
          <w:rFonts w:asciiTheme="minorEastAsia" w:hAnsiTheme="minorEastAsia" w:cs="宋体"/>
          <w:kern w:val="0"/>
          <w:sz w:val="24"/>
          <w:szCs w:val="24"/>
        </w:rPr>
        <w:t>“</w:t>
      </w:r>
      <w:r w:rsidRPr="00ED1BB1">
        <w:rPr>
          <w:rFonts w:asciiTheme="minorEastAsia" w:hAnsiTheme="minorEastAsia" w:cs="宋体"/>
          <w:b/>
          <w:kern w:val="0"/>
          <w:sz w:val="24"/>
          <w:szCs w:val="24"/>
        </w:rPr>
        <w:t>基金份额持有人</w:t>
      </w:r>
      <w:r>
        <w:rPr>
          <w:rFonts w:asciiTheme="minorEastAsia" w:hAnsiTheme="minorEastAsia" w:cs="宋体"/>
          <w:kern w:val="0"/>
          <w:sz w:val="24"/>
          <w:szCs w:val="24"/>
        </w:rPr>
        <w:t>”</w:t>
      </w:r>
      <w:r w:rsidRPr="00EE5D38">
        <w:rPr>
          <w:rFonts w:asciiTheme="minorEastAsia" w:hAnsiTheme="minorEastAsia" w:cs="宋体" w:hint="eastAsia"/>
          <w:kern w:val="0"/>
          <w:sz w:val="24"/>
          <w:szCs w:val="24"/>
        </w:rPr>
        <w:t>中“</w:t>
      </w:r>
      <w:r w:rsidR="00194141">
        <w:rPr>
          <w:rFonts w:asciiTheme="minorEastAsia" w:hAnsiTheme="minorEastAsia" w:cs="宋体" w:hint="eastAsia"/>
          <w:kern w:val="0"/>
          <w:sz w:val="24"/>
          <w:szCs w:val="24"/>
        </w:rPr>
        <w:t>每份基金份额具有同等的合法权益。</w:t>
      </w:r>
      <w:r w:rsidRPr="00EE5D38">
        <w:rPr>
          <w:rFonts w:asciiTheme="minorEastAsia" w:hAnsiTheme="minorEastAsia" w:cs="宋体" w:hint="eastAsia"/>
          <w:kern w:val="0"/>
          <w:sz w:val="24"/>
          <w:szCs w:val="24"/>
        </w:rPr>
        <w:t>”修订为“</w:t>
      </w:r>
      <w:r w:rsidRPr="00ED1BB1">
        <w:rPr>
          <w:rFonts w:asciiTheme="minorEastAsia" w:hAnsiTheme="minorEastAsia" w:cs="宋体" w:hint="eastAsia"/>
          <w:b/>
          <w:kern w:val="0"/>
          <w:sz w:val="24"/>
          <w:szCs w:val="24"/>
        </w:rPr>
        <w:t>除法律法规另有规定或基金合同另有约定外，</w:t>
      </w:r>
      <w:r w:rsidRPr="00ED1BB1">
        <w:rPr>
          <w:rFonts w:asciiTheme="minorEastAsia" w:hAnsiTheme="minorEastAsia" w:cs="宋体" w:hint="eastAsia"/>
          <w:kern w:val="0"/>
          <w:sz w:val="24"/>
          <w:szCs w:val="24"/>
        </w:rPr>
        <w:t>每份基金份额具有同等的合法权益。</w:t>
      </w:r>
      <w:r>
        <w:rPr>
          <w:rFonts w:asciiTheme="minorEastAsia" w:hAnsiTheme="minorEastAsia" w:cs="宋体" w:hint="eastAsia"/>
          <w:kern w:val="0"/>
          <w:sz w:val="24"/>
          <w:szCs w:val="24"/>
        </w:rPr>
        <w:t>”</w:t>
      </w:r>
    </w:p>
    <w:p w:rsidR="00ED1BB1"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5</w:t>
      </w:r>
      <w:r w:rsidR="0018721D" w:rsidRPr="00D10916">
        <w:rPr>
          <w:rFonts w:asciiTheme="minorEastAsia" w:hAnsiTheme="minorEastAsia" w:cs="宋体"/>
          <w:kern w:val="0"/>
          <w:sz w:val="24"/>
          <w:szCs w:val="24"/>
        </w:rPr>
        <w:t>、</w:t>
      </w:r>
      <w:r>
        <w:rPr>
          <w:rFonts w:asciiTheme="minorEastAsia" w:hAnsiTheme="minorEastAsia" w:cs="宋体" w:hint="eastAsia"/>
          <w:kern w:val="0"/>
          <w:sz w:val="24"/>
          <w:szCs w:val="24"/>
        </w:rPr>
        <w:t>对</w:t>
      </w:r>
      <w:r w:rsidR="00846006" w:rsidRPr="00846006">
        <w:rPr>
          <w:rFonts w:asciiTheme="minorEastAsia" w:hAnsiTheme="minorEastAsia" w:cs="宋体" w:hint="eastAsia"/>
          <w:kern w:val="0"/>
          <w:sz w:val="24"/>
          <w:szCs w:val="24"/>
        </w:rPr>
        <w:t>“</w:t>
      </w:r>
      <w:r w:rsidR="00846006" w:rsidRPr="00821C1C">
        <w:rPr>
          <w:rFonts w:asciiTheme="minorEastAsia" w:hAnsiTheme="minorEastAsia" w:cs="宋体" w:hint="eastAsia"/>
          <w:b/>
          <w:kern w:val="0"/>
          <w:sz w:val="24"/>
          <w:szCs w:val="24"/>
        </w:rPr>
        <w:t>基金份额持有人大会</w:t>
      </w:r>
      <w:r w:rsidR="00846006" w:rsidRPr="00846006">
        <w:rPr>
          <w:rFonts w:asciiTheme="minorEastAsia" w:hAnsiTheme="minorEastAsia" w:cs="宋体" w:hint="eastAsia"/>
          <w:kern w:val="0"/>
          <w:sz w:val="24"/>
          <w:szCs w:val="24"/>
        </w:rPr>
        <w:t>”章节</w:t>
      </w:r>
      <w:r>
        <w:rPr>
          <w:rFonts w:asciiTheme="minorEastAsia" w:hAnsiTheme="minorEastAsia" w:cs="宋体" w:hint="eastAsia"/>
          <w:kern w:val="0"/>
          <w:sz w:val="24"/>
          <w:szCs w:val="24"/>
        </w:rPr>
        <w:t>的修订：</w:t>
      </w:r>
    </w:p>
    <w:p w:rsidR="00ED1BB1"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w:t>
      </w:r>
      <w:r>
        <w:rPr>
          <w:rFonts w:asciiTheme="minorEastAsia" w:hAnsiTheme="minorEastAsia" w:cs="宋体" w:hint="eastAsia"/>
          <w:kern w:val="0"/>
          <w:sz w:val="24"/>
          <w:szCs w:val="24"/>
        </w:rPr>
        <w:t>1</w:t>
      </w:r>
      <w:r>
        <w:rPr>
          <w:rFonts w:asciiTheme="minorEastAsia" w:hAnsiTheme="minorEastAsia" w:cs="宋体"/>
          <w:kern w:val="0"/>
          <w:sz w:val="24"/>
          <w:szCs w:val="24"/>
        </w:rPr>
        <w:t>）</w:t>
      </w:r>
      <w:r w:rsidRPr="00EE5D38">
        <w:rPr>
          <w:rFonts w:asciiTheme="minorEastAsia" w:hAnsiTheme="minorEastAsia" w:cs="宋体" w:hint="eastAsia"/>
          <w:kern w:val="0"/>
          <w:sz w:val="24"/>
          <w:szCs w:val="24"/>
        </w:rPr>
        <w:t>将“</w:t>
      </w:r>
      <w:r w:rsidRPr="00ED1BB1">
        <w:rPr>
          <w:rFonts w:asciiTheme="minorEastAsia" w:hAnsiTheme="minorEastAsia" w:cs="宋体" w:hint="eastAsia"/>
          <w:kern w:val="0"/>
          <w:sz w:val="24"/>
          <w:szCs w:val="24"/>
        </w:rPr>
        <w:t>基金份额持有人大会由基金份额持有人组成，基金份额持有人的合法授权代表有权代表基金份额持有人出席会议并表决。基金份额持有人持有的每一基金份额拥有平等的投票权。</w:t>
      </w:r>
      <w:r w:rsidRPr="00EE5D38">
        <w:rPr>
          <w:rFonts w:asciiTheme="minorEastAsia" w:hAnsiTheme="minorEastAsia" w:cs="宋体" w:hint="eastAsia"/>
          <w:kern w:val="0"/>
          <w:sz w:val="24"/>
          <w:szCs w:val="24"/>
        </w:rPr>
        <w:t>”修订</w:t>
      </w:r>
      <w:r w:rsidRPr="00ED1BB1">
        <w:rPr>
          <w:rFonts w:asciiTheme="minorEastAsia" w:hAnsiTheme="minorEastAsia" w:cs="宋体" w:hint="eastAsia"/>
          <w:kern w:val="0"/>
          <w:sz w:val="24"/>
          <w:szCs w:val="24"/>
        </w:rPr>
        <w:t>为“基金份额持有人大会由基金份额持有人组成，基金份额持有人的合法授权代表有权代表基金份额持有人出席会议并表决。</w:t>
      </w:r>
      <w:r w:rsidRPr="00ED1BB1">
        <w:rPr>
          <w:rFonts w:asciiTheme="minorEastAsia" w:hAnsiTheme="minorEastAsia" w:cs="宋体" w:hint="eastAsia"/>
          <w:b/>
          <w:kern w:val="0"/>
          <w:sz w:val="24"/>
          <w:szCs w:val="24"/>
        </w:rPr>
        <w:t>除法律法规另有规定或基金合同另有约定外，</w:t>
      </w:r>
      <w:r w:rsidRPr="00ED1BB1">
        <w:rPr>
          <w:rFonts w:asciiTheme="minorEastAsia" w:hAnsiTheme="minorEastAsia" w:cs="宋体" w:hint="eastAsia"/>
          <w:kern w:val="0"/>
          <w:sz w:val="24"/>
          <w:szCs w:val="24"/>
        </w:rPr>
        <w:t>基金份额持有人持有的每一基金份额拥有平等的投票权。”</w:t>
      </w:r>
    </w:p>
    <w:p w:rsidR="00846006" w:rsidRPr="00846006" w:rsidRDefault="00ED1BB1"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w:t>
      </w:r>
      <w:r w:rsidR="00846006" w:rsidRPr="00846006">
        <w:rPr>
          <w:rFonts w:asciiTheme="minorEastAsia" w:hAnsiTheme="minorEastAsia" w:cs="宋体" w:hint="eastAsia"/>
          <w:kern w:val="0"/>
          <w:sz w:val="24"/>
          <w:szCs w:val="24"/>
        </w:rPr>
        <w:t>增加</w:t>
      </w:r>
      <w:r w:rsidR="00846006" w:rsidRPr="00821C1C">
        <w:rPr>
          <w:rFonts w:asciiTheme="minorEastAsia" w:hAnsiTheme="minorEastAsia" w:cs="宋体" w:hint="eastAsia"/>
          <w:b/>
          <w:kern w:val="0"/>
          <w:sz w:val="24"/>
          <w:szCs w:val="24"/>
        </w:rPr>
        <w:t>实施侧袋机制期间基金份额持有人大会的特殊约定</w:t>
      </w:r>
      <w:r w:rsidR="00846006" w:rsidRPr="00846006">
        <w:rPr>
          <w:rFonts w:asciiTheme="minorEastAsia" w:hAnsiTheme="minorEastAsia" w:cs="宋体" w:hint="eastAsia"/>
          <w:kern w:val="0"/>
          <w:sz w:val="24"/>
          <w:szCs w:val="24"/>
        </w:rPr>
        <w:t>如下：</w:t>
      </w:r>
      <w:r w:rsidR="00846006" w:rsidRPr="00846006">
        <w:rPr>
          <w:rFonts w:asciiTheme="minorEastAsia" w:hAnsiTheme="minorEastAsia" w:cs="宋体"/>
          <w:kern w:val="0"/>
          <w:sz w:val="24"/>
          <w:szCs w:val="24"/>
        </w:rPr>
        <w:cr/>
      </w:r>
      <w:r w:rsidR="00ED69E5">
        <w:rPr>
          <w:rFonts w:asciiTheme="minorEastAsia" w:hAnsiTheme="minorEastAsia" w:cs="宋体"/>
          <w:kern w:val="0"/>
          <w:sz w:val="24"/>
          <w:szCs w:val="24"/>
        </w:rPr>
        <w:t xml:space="preserve"> </w:t>
      </w:r>
      <w:r w:rsidR="00846006">
        <w:rPr>
          <w:rFonts w:asciiTheme="minorEastAsia" w:hAnsiTheme="minorEastAsia" w:cs="宋体"/>
          <w:kern w:val="0"/>
          <w:sz w:val="24"/>
          <w:szCs w:val="24"/>
        </w:rPr>
        <w:t xml:space="preserve">  </w:t>
      </w:r>
      <w:r w:rsidR="00846006">
        <w:rPr>
          <w:rFonts w:asciiTheme="minorEastAsia" w:hAnsiTheme="minorEastAsia" w:cs="宋体" w:hint="eastAsia"/>
          <w:kern w:val="0"/>
          <w:sz w:val="24"/>
          <w:szCs w:val="24"/>
        </w:rPr>
        <w:t>“</w:t>
      </w:r>
      <w:r w:rsidR="00846006" w:rsidRPr="00846006">
        <w:rPr>
          <w:rFonts w:asciiTheme="minorEastAsia" w:hAnsiTheme="minorEastAsia" w:cs="宋体" w:hint="eastAsia"/>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1、基金份额持有人行使提议权、召集权、提名权所需单独或合计代表相关基金份额10%以上（含10%）；</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2、现场开会的到会者在权益登记日代表的基金份额不少于本基金在权益登记日相关基金份额的二分之一（含二分之一）；</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3、通讯开会的直接出具表决意见或授权他人代表出具表决意见的基金份额持有人所持有的基金份额不小于在权益登记日相关基金份额的二分之一（含二分之一）；</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5、现场开会由出席大会的基金份额持有人和代理人所持表决权的50%以上（含50%）选举产生一名基金份额持有人作为该次基金份额持有人大会的主持人；</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6、一般决议须经参加大会的基金份额持有人或其代理人所持表决权的二分之一以上（含二分之一）通过；</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7、特别决议应当经参加大会的基金份额持有人或其代理人所持表决权的三分之二以上（含三分之二）通过。</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18721D" w:rsidRPr="00D1091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侧袋机制实施期间，关于基金份额持有人大会的相关规定以本节特殊约定内容为准，本节没有规定的适用上文相关约定。</w:t>
      </w:r>
      <w:r>
        <w:rPr>
          <w:rFonts w:asciiTheme="minorEastAsia" w:hAnsiTheme="minorEastAsia" w:cs="宋体" w:hint="eastAsia"/>
          <w:kern w:val="0"/>
          <w:sz w:val="24"/>
          <w:szCs w:val="24"/>
        </w:rPr>
        <w:t>”</w:t>
      </w:r>
    </w:p>
    <w:p w:rsidR="00846006" w:rsidRPr="00846006" w:rsidRDefault="002139DF"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TimesNewRomanPSMT"/>
          <w:kern w:val="0"/>
          <w:sz w:val="24"/>
          <w:szCs w:val="24"/>
        </w:rPr>
        <w:t>6</w:t>
      </w:r>
      <w:r w:rsidR="003F1985" w:rsidRPr="00D10916">
        <w:rPr>
          <w:rFonts w:asciiTheme="minorEastAsia" w:hAnsiTheme="minorEastAsia" w:cs="宋体" w:hint="eastAsia"/>
          <w:kern w:val="0"/>
          <w:sz w:val="24"/>
          <w:szCs w:val="24"/>
        </w:rPr>
        <w:t>、</w:t>
      </w:r>
      <w:r w:rsidR="00846006" w:rsidRPr="00846006">
        <w:rPr>
          <w:rFonts w:asciiTheme="minorEastAsia" w:hAnsiTheme="minorEastAsia" w:cs="宋体" w:hint="eastAsia"/>
          <w:kern w:val="0"/>
          <w:sz w:val="24"/>
          <w:szCs w:val="24"/>
        </w:rPr>
        <w:t>在“</w:t>
      </w:r>
      <w:r w:rsidR="00846006" w:rsidRPr="00821C1C">
        <w:rPr>
          <w:rFonts w:asciiTheme="minorEastAsia" w:hAnsiTheme="minorEastAsia" w:cs="宋体" w:hint="eastAsia"/>
          <w:b/>
          <w:kern w:val="0"/>
          <w:sz w:val="24"/>
          <w:szCs w:val="24"/>
        </w:rPr>
        <w:t>基金的投资</w:t>
      </w:r>
      <w:r w:rsidR="00846006" w:rsidRPr="00846006">
        <w:rPr>
          <w:rFonts w:asciiTheme="minorEastAsia" w:hAnsiTheme="minorEastAsia" w:cs="宋体" w:hint="eastAsia"/>
          <w:kern w:val="0"/>
          <w:sz w:val="24"/>
          <w:szCs w:val="24"/>
        </w:rPr>
        <w:t>”章节增加</w:t>
      </w:r>
      <w:r w:rsidR="00846006" w:rsidRPr="00821C1C">
        <w:rPr>
          <w:rFonts w:asciiTheme="minorEastAsia" w:hAnsiTheme="minorEastAsia" w:cs="宋体" w:hint="eastAsia"/>
          <w:b/>
          <w:kern w:val="0"/>
          <w:sz w:val="24"/>
          <w:szCs w:val="24"/>
        </w:rPr>
        <w:t>侧袋机制的实施和投资运作安排</w:t>
      </w:r>
      <w:r w:rsidR="00846006" w:rsidRPr="00846006">
        <w:rPr>
          <w:rFonts w:asciiTheme="minorEastAsia" w:hAnsiTheme="minorEastAsia" w:cs="宋体" w:hint="eastAsia"/>
          <w:kern w:val="0"/>
          <w:sz w:val="24"/>
          <w:szCs w:val="24"/>
        </w:rPr>
        <w:t>相关内容如下：</w:t>
      </w:r>
      <w:r w:rsidR="00846006" w:rsidRPr="00846006">
        <w:rPr>
          <w:rFonts w:asciiTheme="minorEastAsia" w:hAnsiTheme="minorEastAsia" w:cs="宋体"/>
          <w:kern w:val="0"/>
          <w:sz w:val="24"/>
          <w:szCs w:val="24"/>
        </w:rPr>
        <w:cr/>
      </w:r>
      <w:r w:rsidR="00846006">
        <w:rPr>
          <w:rFonts w:asciiTheme="minorEastAsia" w:hAnsiTheme="minorEastAsia" w:cs="宋体"/>
          <w:kern w:val="0"/>
          <w:sz w:val="24"/>
          <w:szCs w:val="24"/>
        </w:rPr>
        <w:t xml:space="preserve">  </w:t>
      </w:r>
      <w:r w:rsidR="00ED69E5">
        <w:rPr>
          <w:rFonts w:asciiTheme="minorEastAsia" w:hAnsiTheme="minorEastAsia" w:cs="宋体"/>
          <w:kern w:val="0"/>
          <w:sz w:val="24"/>
          <w:szCs w:val="24"/>
        </w:rPr>
        <w:t xml:space="preserve"> </w:t>
      </w:r>
      <w:r w:rsidR="00846006">
        <w:rPr>
          <w:rFonts w:asciiTheme="minorEastAsia" w:hAnsiTheme="minorEastAsia" w:cs="宋体" w:hint="eastAsia"/>
          <w:kern w:val="0"/>
          <w:sz w:val="24"/>
          <w:szCs w:val="24"/>
        </w:rPr>
        <w:t>“</w:t>
      </w:r>
      <w:r w:rsidR="00846006" w:rsidRPr="00846006">
        <w:rPr>
          <w:rFonts w:asciiTheme="minorEastAsia" w:hAnsiTheme="minorEastAsia" w:cs="宋体" w:hint="eastAsia"/>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846006" w:rsidRP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侧袋机制实施期间，本部分约定的投资组合比例、投资策略、组合限制、业绩比较基准、风险收益特征等约定仅适用于主袋账户。</w:t>
      </w:r>
    </w:p>
    <w:p w:rsidR="00846006" w:rsidRDefault="0084600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846006">
        <w:rPr>
          <w:rFonts w:asciiTheme="minorEastAsia" w:hAnsiTheme="minorEastAsia" w:cs="宋体" w:hint="eastAsia"/>
          <w:kern w:val="0"/>
          <w:sz w:val="24"/>
          <w:szCs w:val="24"/>
        </w:rPr>
        <w:t>侧袋账户的实施条件、实施程序、运作安排、投资安排、特定资产的处置变现和支付等对投资者权益有重大影响的事项详见招募说明书的规定。</w:t>
      </w:r>
      <w:r>
        <w:rPr>
          <w:rFonts w:asciiTheme="minorEastAsia" w:hAnsiTheme="minorEastAsia" w:cs="宋体" w:hint="eastAsia"/>
          <w:kern w:val="0"/>
          <w:sz w:val="24"/>
          <w:szCs w:val="24"/>
        </w:rPr>
        <w:t>”</w:t>
      </w:r>
    </w:p>
    <w:p w:rsidR="003F1985" w:rsidRPr="00D10916" w:rsidRDefault="002139DF"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TimesNewRomanPSMT"/>
          <w:kern w:val="0"/>
          <w:sz w:val="24"/>
          <w:szCs w:val="24"/>
        </w:rPr>
        <w:t>7</w:t>
      </w:r>
      <w:r w:rsidR="003F1985" w:rsidRPr="00D10916">
        <w:rPr>
          <w:rFonts w:asciiTheme="minorEastAsia" w:hAnsiTheme="minorEastAsia" w:cs="宋体" w:hint="eastAsia"/>
          <w:kern w:val="0"/>
          <w:sz w:val="24"/>
          <w:szCs w:val="24"/>
        </w:rPr>
        <w:t>、</w:t>
      </w:r>
      <w:r w:rsidR="008C2AFD" w:rsidRPr="008C2AFD">
        <w:rPr>
          <w:rFonts w:asciiTheme="minorEastAsia" w:hAnsiTheme="minorEastAsia" w:cs="宋体" w:hint="eastAsia"/>
          <w:kern w:val="0"/>
          <w:sz w:val="24"/>
          <w:szCs w:val="24"/>
        </w:rPr>
        <w:t>对“</w:t>
      </w:r>
      <w:r w:rsidR="008C2AFD" w:rsidRPr="00821C1C">
        <w:rPr>
          <w:rFonts w:asciiTheme="minorEastAsia" w:hAnsiTheme="minorEastAsia" w:cs="宋体" w:hint="eastAsia"/>
          <w:b/>
          <w:kern w:val="0"/>
          <w:sz w:val="24"/>
          <w:szCs w:val="24"/>
        </w:rPr>
        <w:t>基金资产估值</w:t>
      </w:r>
      <w:r w:rsidR="008C2AFD" w:rsidRPr="008C2AFD">
        <w:rPr>
          <w:rFonts w:asciiTheme="minorEastAsia" w:hAnsiTheme="minorEastAsia" w:cs="宋体" w:hint="eastAsia"/>
          <w:kern w:val="0"/>
          <w:sz w:val="24"/>
          <w:szCs w:val="24"/>
        </w:rPr>
        <w:t>”章节的修订</w:t>
      </w:r>
      <w:r w:rsidR="00ED1BB1">
        <w:rPr>
          <w:rFonts w:asciiTheme="minorEastAsia" w:hAnsiTheme="minorEastAsia" w:cs="宋体" w:hint="eastAsia"/>
          <w:kern w:val="0"/>
          <w:sz w:val="24"/>
          <w:szCs w:val="24"/>
        </w:rPr>
        <w:t>：</w:t>
      </w:r>
    </w:p>
    <w:p w:rsidR="003F1985" w:rsidRPr="00D10916" w:rsidRDefault="004121BE"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D10916">
        <w:rPr>
          <w:rFonts w:asciiTheme="minorEastAsia" w:hAnsiTheme="minorEastAsia" w:cs="宋体" w:hint="eastAsia"/>
          <w:kern w:val="0"/>
          <w:sz w:val="24"/>
          <w:szCs w:val="24"/>
        </w:rPr>
        <w:t>（1）</w:t>
      </w:r>
      <w:r w:rsidR="00EE5D38" w:rsidRPr="00EE5D38">
        <w:rPr>
          <w:rFonts w:asciiTheme="minorEastAsia" w:hAnsiTheme="minorEastAsia" w:cs="宋体" w:hint="eastAsia"/>
          <w:kern w:val="0"/>
          <w:sz w:val="24"/>
          <w:szCs w:val="24"/>
        </w:rPr>
        <w:t>将“</w:t>
      </w:r>
      <w:r w:rsidR="00EE5D38" w:rsidRPr="00821C1C">
        <w:rPr>
          <w:rFonts w:asciiTheme="minorEastAsia" w:hAnsiTheme="minorEastAsia" w:cs="宋体" w:hint="eastAsia"/>
          <w:b/>
          <w:kern w:val="0"/>
          <w:sz w:val="24"/>
          <w:szCs w:val="24"/>
        </w:rPr>
        <w:t>暂停估值的情形</w:t>
      </w:r>
      <w:r w:rsidR="00EE5D38" w:rsidRPr="00EE5D38">
        <w:rPr>
          <w:rFonts w:asciiTheme="minorEastAsia" w:hAnsiTheme="minorEastAsia" w:cs="宋体" w:hint="eastAsia"/>
          <w:kern w:val="0"/>
          <w:sz w:val="24"/>
          <w:szCs w:val="24"/>
        </w:rPr>
        <w:t>”中“当前一估值日基金资产净值 50%以上的资产出现无可参考的活跃市场价格且采用估值技术仍导致公允价值存在重大不确定性时，经与基金托管人协商确认后，基金管理人应当暂停</w:t>
      </w:r>
      <w:r w:rsidR="005B73EF">
        <w:rPr>
          <w:rFonts w:asciiTheme="minorEastAsia" w:hAnsiTheme="minorEastAsia" w:cs="宋体" w:hint="eastAsia"/>
          <w:kern w:val="0"/>
          <w:sz w:val="24"/>
          <w:szCs w:val="24"/>
        </w:rPr>
        <w:t>基金</w:t>
      </w:r>
      <w:r w:rsidR="00EE5D38" w:rsidRPr="00EE5D38">
        <w:rPr>
          <w:rFonts w:asciiTheme="minorEastAsia" w:hAnsiTheme="minorEastAsia" w:cs="宋体" w:hint="eastAsia"/>
          <w:kern w:val="0"/>
          <w:sz w:val="24"/>
          <w:szCs w:val="24"/>
        </w:rPr>
        <w:t>估值；”修订为“</w:t>
      </w:r>
      <w:r w:rsidR="00EE5D38" w:rsidRPr="00821C1C">
        <w:rPr>
          <w:rFonts w:asciiTheme="minorEastAsia" w:hAnsiTheme="minorEastAsia" w:cs="宋体" w:hint="eastAsia"/>
          <w:b/>
          <w:kern w:val="0"/>
          <w:sz w:val="24"/>
          <w:szCs w:val="24"/>
        </w:rPr>
        <w:t>当特定资产占前一估值日基金资产净值</w:t>
      </w:r>
      <w:r w:rsidR="00EE5D38" w:rsidRPr="00821C1C">
        <w:rPr>
          <w:rFonts w:asciiTheme="minorEastAsia" w:hAnsiTheme="minorEastAsia" w:cs="宋体"/>
          <w:b/>
          <w:kern w:val="0"/>
          <w:sz w:val="24"/>
          <w:szCs w:val="24"/>
        </w:rPr>
        <w:t xml:space="preserve"> 50%以上的，经与基金托管人协商确认后，基金管理人应当暂停</w:t>
      </w:r>
      <w:r w:rsidR="00ED1BB1">
        <w:rPr>
          <w:rFonts w:asciiTheme="minorEastAsia" w:hAnsiTheme="minorEastAsia" w:cs="宋体"/>
          <w:b/>
          <w:kern w:val="0"/>
          <w:sz w:val="24"/>
          <w:szCs w:val="24"/>
        </w:rPr>
        <w:t>基金</w:t>
      </w:r>
      <w:r w:rsidR="00EE5D38" w:rsidRPr="00821C1C">
        <w:rPr>
          <w:rFonts w:asciiTheme="minorEastAsia" w:hAnsiTheme="minorEastAsia" w:cs="宋体"/>
          <w:b/>
          <w:kern w:val="0"/>
          <w:sz w:val="24"/>
          <w:szCs w:val="24"/>
        </w:rPr>
        <w:t>估值；</w:t>
      </w:r>
      <w:r w:rsidR="00EE5D38" w:rsidRPr="00EE5D38">
        <w:rPr>
          <w:rFonts w:asciiTheme="minorEastAsia" w:hAnsiTheme="minorEastAsia" w:cs="宋体" w:hint="eastAsia"/>
          <w:kern w:val="0"/>
          <w:sz w:val="24"/>
          <w:szCs w:val="24"/>
        </w:rPr>
        <w:t>”</w:t>
      </w:r>
    </w:p>
    <w:p w:rsidR="00EE5D38" w:rsidRDefault="004121BE"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D10916">
        <w:rPr>
          <w:rFonts w:asciiTheme="minorEastAsia" w:hAnsiTheme="minorEastAsia" w:cs="宋体"/>
          <w:kern w:val="0"/>
          <w:sz w:val="24"/>
          <w:szCs w:val="24"/>
        </w:rPr>
        <w:t>（</w:t>
      </w:r>
      <w:r w:rsidRPr="00D10916">
        <w:rPr>
          <w:rFonts w:asciiTheme="minorEastAsia" w:hAnsiTheme="minorEastAsia" w:cs="宋体" w:hint="eastAsia"/>
          <w:kern w:val="0"/>
          <w:sz w:val="24"/>
          <w:szCs w:val="24"/>
        </w:rPr>
        <w:t>2）</w:t>
      </w:r>
      <w:r w:rsidR="00EE5D38" w:rsidRPr="00EE5D38">
        <w:rPr>
          <w:rFonts w:asciiTheme="minorEastAsia" w:hAnsiTheme="minorEastAsia" w:cs="宋体" w:hint="eastAsia"/>
          <w:kern w:val="0"/>
          <w:sz w:val="24"/>
          <w:szCs w:val="24"/>
        </w:rPr>
        <w:t>增加</w:t>
      </w:r>
      <w:r w:rsidR="00EE5D38" w:rsidRPr="00821C1C">
        <w:rPr>
          <w:rFonts w:asciiTheme="minorEastAsia" w:hAnsiTheme="minorEastAsia" w:cs="宋体" w:hint="eastAsia"/>
          <w:b/>
          <w:kern w:val="0"/>
          <w:sz w:val="24"/>
          <w:szCs w:val="24"/>
        </w:rPr>
        <w:t>实施侧袋机制期间的基金资产估值</w:t>
      </w:r>
      <w:r w:rsidR="00EE5D38" w:rsidRPr="00EE5D38">
        <w:rPr>
          <w:rFonts w:asciiTheme="minorEastAsia" w:hAnsiTheme="minorEastAsia" w:cs="宋体" w:hint="eastAsia"/>
          <w:kern w:val="0"/>
          <w:sz w:val="24"/>
          <w:szCs w:val="24"/>
        </w:rPr>
        <w:t>相关内容如下：</w:t>
      </w:r>
    </w:p>
    <w:p w:rsidR="004121BE" w:rsidRPr="00D10916" w:rsidRDefault="00EE5D38"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sidRPr="00EE5D38">
        <w:rPr>
          <w:rFonts w:asciiTheme="minorEastAsia" w:hAnsiTheme="minorEastAsia" w:cs="宋体" w:hint="eastAsia"/>
          <w:kern w:val="0"/>
          <w:sz w:val="24"/>
          <w:szCs w:val="24"/>
        </w:rPr>
        <w:t>本基金实施侧袋机制的，应根据本部分的约定对主袋账户资产进行估值并披露主袋账户的基金份额净值和基金份额累计净值，暂停披露侧袋账户的基金净值信息。</w:t>
      </w:r>
      <w:r>
        <w:rPr>
          <w:rFonts w:asciiTheme="minorEastAsia" w:hAnsiTheme="minorEastAsia" w:cs="宋体" w:hint="eastAsia"/>
          <w:kern w:val="0"/>
          <w:sz w:val="24"/>
          <w:szCs w:val="24"/>
        </w:rPr>
        <w:t>”</w:t>
      </w:r>
    </w:p>
    <w:p w:rsidR="00104E16" w:rsidRPr="00104E16" w:rsidRDefault="002139DF"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8</w:t>
      </w:r>
      <w:r w:rsidR="00104E16">
        <w:rPr>
          <w:rFonts w:asciiTheme="minorEastAsia" w:hAnsiTheme="minorEastAsia" w:cs="宋体" w:hint="eastAsia"/>
          <w:kern w:val="0"/>
          <w:sz w:val="24"/>
          <w:szCs w:val="24"/>
        </w:rPr>
        <w:t>、</w:t>
      </w:r>
      <w:r w:rsidR="00104E16" w:rsidRPr="00104E16">
        <w:rPr>
          <w:rFonts w:asciiTheme="minorEastAsia" w:hAnsiTheme="minorEastAsia" w:cs="宋体" w:hint="eastAsia"/>
          <w:kern w:val="0"/>
          <w:sz w:val="24"/>
          <w:szCs w:val="24"/>
        </w:rPr>
        <w:t>在“</w:t>
      </w:r>
      <w:r w:rsidR="00104E16" w:rsidRPr="00821C1C">
        <w:rPr>
          <w:rFonts w:asciiTheme="minorEastAsia" w:hAnsiTheme="minorEastAsia" w:cs="宋体" w:hint="eastAsia"/>
          <w:b/>
          <w:kern w:val="0"/>
          <w:sz w:val="24"/>
          <w:szCs w:val="24"/>
        </w:rPr>
        <w:t>基金费用与税收</w:t>
      </w:r>
      <w:r w:rsidR="00104E16" w:rsidRPr="00104E16">
        <w:rPr>
          <w:rFonts w:asciiTheme="minorEastAsia" w:hAnsiTheme="minorEastAsia" w:cs="宋体" w:hint="eastAsia"/>
          <w:kern w:val="0"/>
          <w:sz w:val="24"/>
          <w:szCs w:val="24"/>
        </w:rPr>
        <w:t>”章节增加</w:t>
      </w:r>
      <w:r w:rsidR="00104E16" w:rsidRPr="00821C1C">
        <w:rPr>
          <w:rFonts w:asciiTheme="minorEastAsia" w:hAnsiTheme="minorEastAsia" w:cs="宋体" w:hint="eastAsia"/>
          <w:b/>
          <w:kern w:val="0"/>
          <w:sz w:val="24"/>
          <w:szCs w:val="24"/>
        </w:rPr>
        <w:t>实施侧袋机制期间</w:t>
      </w:r>
      <w:r>
        <w:rPr>
          <w:rFonts w:asciiTheme="minorEastAsia" w:hAnsiTheme="minorEastAsia" w:cs="宋体" w:hint="eastAsia"/>
          <w:b/>
          <w:kern w:val="0"/>
          <w:sz w:val="24"/>
          <w:szCs w:val="24"/>
        </w:rPr>
        <w:t>的</w:t>
      </w:r>
      <w:r w:rsidR="00104E16" w:rsidRPr="00821C1C">
        <w:rPr>
          <w:rFonts w:asciiTheme="minorEastAsia" w:hAnsiTheme="minorEastAsia" w:cs="宋体" w:hint="eastAsia"/>
          <w:b/>
          <w:kern w:val="0"/>
          <w:sz w:val="24"/>
          <w:szCs w:val="24"/>
        </w:rPr>
        <w:t>基金费用</w:t>
      </w:r>
      <w:r w:rsidR="00104E16" w:rsidRPr="00104E16">
        <w:rPr>
          <w:rFonts w:asciiTheme="minorEastAsia" w:hAnsiTheme="minorEastAsia" w:cs="宋体" w:hint="eastAsia"/>
          <w:kern w:val="0"/>
          <w:sz w:val="24"/>
          <w:szCs w:val="24"/>
        </w:rPr>
        <w:t>相关内容如下：</w:t>
      </w:r>
    </w:p>
    <w:p w:rsidR="00104E16" w:rsidRDefault="00104E1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104E16">
        <w:rPr>
          <w:rFonts w:asciiTheme="minorEastAsia" w:hAnsiTheme="minorEastAsia" w:cs="宋体" w:hint="eastAsia"/>
          <w:kern w:val="0"/>
          <w:sz w:val="24"/>
          <w:szCs w:val="24"/>
        </w:rPr>
        <w:t>“本基金实施侧袋机制的，与侧袋账户有关的费用可以从侧袋账户中列支，但应待侧袋账户资产变现后方可列支，有关费用可酌情收取或减免，但不得收取管理费，其他费用详见招募说明书的规定或相关公告。”</w:t>
      </w:r>
    </w:p>
    <w:p w:rsidR="00104E16" w:rsidRPr="00104E16" w:rsidRDefault="002139DF"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kern w:val="0"/>
          <w:sz w:val="24"/>
          <w:szCs w:val="24"/>
        </w:rPr>
        <w:t>9</w:t>
      </w:r>
      <w:r w:rsidR="00104E16">
        <w:rPr>
          <w:rFonts w:asciiTheme="minorEastAsia" w:hAnsiTheme="minorEastAsia" w:cs="宋体" w:hint="eastAsia"/>
          <w:kern w:val="0"/>
          <w:sz w:val="24"/>
          <w:szCs w:val="24"/>
        </w:rPr>
        <w:t>、</w:t>
      </w:r>
      <w:r w:rsidR="00104E16" w:rsidRPr="00104E16">
        <w:rPr>
          <w:rFonts w:asciiTheme="minorEastAsia" w:hAnsiTheme="minorEastAsia" w:cs="宋体" w:hint="eastAsia"/>
          <w:kern w:val="0"/>
          <w:sz w:val="24"/>
          <w:szCs w:val="24"/>
        </w:rPr>
        <w:t>在“</w:t>
      </w:r>
      <w:r w:rsidR="00104E16" w:rsidRPr="00821C1C">
        <w:rPr>
          <w:rFonts w:asciiTheme="minorEastAsia" w:hAnsiTheme="minorEastAsia" w:cs="宋体" w:hint="eastAsia"/>
          <w:b/>
          <w:kern w:val="0"/>
          <w:sz w:val="24"/>
          <w:szCs w:val="24"/>
        </w:rPr>
        <w:t>基金的收益与分配</w:t>
      </w:r>
      <w:r w:rsidR="00104E16" w:rsidRPr="00104E16">
        <w:rPr>
          <w:rFonts w:asciiTheme="minorEastAsia" w:hAnsiTheme="minorEastAsia" w:cs="宋体" w:hint="eastAsia"/>
          <w:kern w:val="0"/>
          <w:sz w:val="24"/>
          <w:szCs w:val="24"/>
        </w:rPr>
        <w:t>”章节增加</w:t>
      </w:r>
      <w:r w:rsidR="00104E16" w:rsidRPr="00821C1C">
        <w:rPr>
          <w:rFonts w:asciiTheme="minorEastAsia" w:hAnsiTheme="minorEastAsia" w:cs="宋体" w:hint="eastAsia"/>
          <w:b/>
          <w:kern w:val="0"/>
          <w:sz w:val="24"/>
          <w:szCs w:val="24"/>
        </w:rPr>
        <w:t>实施侧袋机制期间</w:t>
      </w:r>
      <w:r>
        <w:rPr>
          <w:rFonts w:asciiTheme="minorEastAsia" w:hAnsiTheme="minorEastAsia" w:cs="宋体" w:hint="eastAsia"/>
          <w:b/>
          <w:kern w:val="0"/>
          <w:sz w:val="24"/>
          <w:szCs w:val="24"/>
        </w:rPr>
        <w:t>的</w:t>
      </w:r>
      <w:r w:rsidR="00104E16" w:rsidRPr="00821C1C">
        <w:rPr>
          <w:rFonts w:asciiTheme="minorEastAsia" w:hAnsiTheme="minorEastAsia" w:cs="宋体" w:hint="eastAsia"/>
          <w:b/>
          <w:kern w:val="0"/>
          <w:sz w:val="24"/>
          <w:szCs w:val="24"/>
        </w:rPr>
        <w:t>收益分配</w:t>
      </w:r>
      <w:r w:rsidR="00104E16" w:rsidRPr="00104E16">
        <w:rPr>
          <w:rFonts w:asciiTheme="minorEastAsia" w:hAnsiTheme="minorEastAsia" w:cs="宋体" w:hint="eastAsia"/>
          <w:kern w:val="0"/>
          <w:sz w:val="24"/>
          <w:szCs w:val="24"/>
        </w:rPr>
        <w:t>相关内容如下：</w:t>
      </w:r>
    </w:p>
    <w:p w:rsidR="00FE4E3C" w:rsidRDefault="00104E16" w:rsidP="00B07E92">
      <w:pPr>
        <w:autoSpaceDE w:val="0"/>
        <w:autoSpaceDN w:val="0"/>
        <w:adjustRightInd w:val="0"/>
        <w:spacing w:line="360" w:lineRule="auto"/>
        <w:ind w:firstLineChars="200" w:firstLine="480"/>
        <w:rPr>
          <w:rFonts w:asciiTheme="minorEastAsia" w:hAnsiTheme="minorEastAsia" w:cs="宋体"/>
          <w:kern w:val="0"/>
          <w:sz w:val="24"/>
          <w:szCs w:val="24"/>
        </w:rPr>
      </w:pPr>
      <w:r w:rsidRPr="00104E16">
        <w:rPr>
          <w:rFonts w:asciiTheme="minorEastAsia" w:hAnsiTheme="minorEastAsia" w:cs="宋体" w:hint="eastAsia"/>
          <w:kern w:val="0"/>
          <w:sz w:val="24"/>
          <w:szCs w:val="24"/>
        </w:rPr>
        <w:t>“本基金实施侧袋机制的，侧袋账户不进行收益分配，详见招募说明书的规定。”</w:t>
      </w:r>
      <w:r w:rsidRPr="00104E16">
        <w:rPr>
          <w:rFonts w:asciiTheme="minorEastAsia" w:hAnsiTheme="minorEastAsia" w:cs="宋体"/>
          <w:kern w:val="0"/>
          <w:sz w:val="24"/>
          <w:szCs w:val="24"/>
        </w:rPr>
        <w:cr/>
      </w:r>
      <w:r w:rsidR="00FE4E3C">
        <w:rPr>
          <w:rFonts w:asciiTheme="minorEastAsia" w:hAnsiTheme="minorEastAsia" w:cs="宋体"/>
          <w:kern w:val="0"/>
          <w:sz w:val="24"/>
          <w:szCs w:val="24"/>
        </w:rPr>
        <w:t xml:space="preserve"> </w:t>
      </w:r>
      <w:r w:rsidR="00B07E92">
        <w:rPr>
          <w:rFonts w:asciiTheme="minorEastAsia" w:hAnsiTheme="minorEastAsia" w:cs="宋体"/>
          <w:kern w:val="0"/>
          <w:sz w:val="24"/>
          <w:szCs w:val="24"/>
        </w:rPr>
        <w:t xml:space="preserve">   </w:t>
      </w:r>
      <w:r w:rsidR="002139DF">
        <w:rPr>
          <w:rFonts w:asciiTheme="minorEastAsia" w:hAnsiTheme="minorEastAsia" w:cs="宋体"/>
          <w:kern w:val="0"/>
          <w:sz w:val="24"/>
          <w:szCs w:val="24"/>
        </w:rPr>
        <w:t>10</w:t>
      </w:r>
      <w:r w:rsidR="00FE4E3C">
        <w:rPr>
          <w:rFonts w:asciiTheme="minorEastAsia" w:hAnsiTheme="minorEastAsia" w:cs="宋体" w:hint="eastAsia"/>
          <w:kern w:val="0"/>
          <w:sz w:val="24"/>
          <w:szCs w:val="24"/>
        </w:rPr>
        <w:t>、</w:t>
      </w:r>
      <w:r w:rsidR="00FE4E3C" w:rsidRPr="00FE4E3C">
        <w:rPr>
          <w:rFonts w:asciiTheme="minorEastAsia" w:hAnsiTheme="minorEastAsia" w:cs="宋体" w:hint="eastAsia"/>
          <w:kern w:val="0"/>
          <w:sz w:val="24"/>
          <w:szCs w:val="24"/>
        </w:rPr>
        <w:t>在“</w:t>
      </w:r>
      <w:r w:rsidR="00FE4E3C" w:rsidRPr="00821C1C">
        <w:rPr>
          <w:rFonts w:asciiTheme="minorEastAsia" w:hAnsiTheme="minorEastAsia" w:cs="宋体" w:hint="eastAsia"/>
          <w:b/>
          <w:kern w:val="0"/>
          <w:sz w:val="24"/>
          <w:szCs w:val="24"/>
        </w:rPr>
        <w:t>基金的信息披露</w:t>
      </w:r>
      <w:r w:rsidR="00FE4E3C" w:rsidRPr="00FE4E3C">
        <w:rPr>
          <w:rFonts w:asciiTheme="minorEastAsia" w:hAnsiTheme="minorEastAsia" w:cs="宋体" w:hint="eastAsia"/>
          <w:kern w:val="0"/>
          <w:sz w:val="24"/>
          <w:szCs w:val="24"/>
        </w:rPr>
        <w:t>”章节增加</w:t>
      </w:r>
      <w:r w:rsidR="00FE4E3C" w:rsidRPr="00821C1C">
        <w:rPr>
          <w:rFonts w:asciiTheme="minorEastAsia" w:hAnsiTheme="minorEastAsia" w:cs="宋体" w:hint="eastAsia"/>
          <w:b/>
          <w:kern w:val="0"/>
          <w:sz w:val="24"/>
          <w:szCs w:val="24"/>
        </w:rPr>
        <w:t>实施侧袋机制期间的信息披露</w:t>
      </w:r>
      <w:r w:rsidR="00FE4E3C" w:rsidRPr="00FE4E3C">
        <w:rPr>
          <w:rFonts w:asciiTheme="minorEastAsia" w:hAnsiTheme="minorEastAsia" w:cs="宋体" w:hint="eastAsia"/>
          <w:kern w:val="0"/>
          <w:sz w:val="24"/>
          <w:szCs w:val="24"/>
        </w:rPr>
        <w:t>相关内容如下：</w:t>
      </w:r>
    </w:p>
    <w:p w:rsidR="00FE4E3C" w:rsidRPr="00D10916" w:rsidRDefault="00FE4E3C" w:rsidP="00B07E92">
      <w:pPr>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sidRPr="00FE4E3C">
        <w:rPr>
          <w:rFonts w:asciiTheme="minorEastAsia" w:hAnsiTheme="minorEastAsia" w:cs="宋体" w:hint="eastAsia"/>
          <w:kern w:val="0"/>
          <w:sz w:val="24"/>
          <w:szCs w:val="24"/>
        </w:rPr>
        <w:t>本基金实施侧袋机制的，相关信息披露义务人应当根据法律法规、基金合同和招募说明书的规定进行信息披露，详见招募说明书的规定。</w:t>
      </w:r>
      <w:r>
        <w:rPr>
          <w:rFonts w:asciiTheme="minorEastAsia" w:hAnsiTheme="minorEastAsia" w:cs="宋体" w:hint="eastAsia"/>
          <w:kern w:val="0"/>
          <w:sz w:val="24"/>
          <w:szCs w:val="24"/>
        </w:rPr>
        <w:t>”</w:t>
      </w:r>
    </w:p>
    <w:p w:rsidR="003F1985" w:rsidRDefault="004121BE" w:rsidP="00B07E92">
      <w:pPr>
        <w:autoSpaceDE w:val="0"/>
        <w:autoSpaceDN w:val="0"/>
        <w:adjustRightInd w:val="0"/>
        <w:spacing w:line="360" w:lineRule="auto"/>
        <w:ind w:firstLineChars="200" w:firstLine="482"/>
        <w:rPr>
          <w:rFonts w:asciiTheme="minorEastAsia" w:hAnsiTheme="minorEastAsia" w:cs="SimSun,Bold"/>
          <w:b/>
          <w:bCs/>
          <w:kern w:val="0"/>
          <w:sz w:val="24"/>
          <w:szCs w:val="24"/>
        </w:rPr>
      </w:pPr>
      <w:r w:rsidRPr="00D10916">
        <w:rPr>
          <w:rFonts w:asciiTheme="minorEastAsia" w:hAnsiTheme="minorEastAsia" w:cs="SimSun,Bold" w:hint="eastAsia"/>
          <w:b/>
          <w:bCs/>
          <w:kern w:val="0"/>
          <w:sz w:val="24"/>
          <w:szCs w:val="24"/>
        </w:rPr>
        <w:t>三</w:t>
      </w:r>
      <w:r w:rsidR="003F1985" w:rsidRPr="00D10916">
        <w:rPr>
          <w:rFonts w:asciiTheme="minorEastAsia" w:hAnsiTheme="minorEastAsia" w:cs="SimSun,Bold" w:hint="eastAsia"/>
          <w:b/>
          <w:bCs/>
          <w:kern w:val="0"/>
          <w:sz w:val="24"/>
          <w:szCs w:val="24"/>
        </w:rPr>
        <w:t>、</w:t>
      </w:r>
      <w:r w:rsidR="00FE4E3C" w:rsidRPr="00FE4E3C">
        <w:rPr>
          <w:rFonts w:asciiTheme="minorEastAsia" w:hAnsiTheme="minorEastAsia" w:cs="SimSun,Bold" w:hint="eastAsia"/>
          <w:b/>
          <w:bCs/>
          <w:kern w:val="0"/>
          <w:sz w:val="24"/>
          <w:szCs w:val="24"/>
        </w:rPr>
        <w:t>本次招募说明书修订的主要内容</w:t>
      </w:r>
    </w:p>
    <w:p w:rsidR="00FE4E3C" w:rsidRPr="00821C1C" w:rsidRDefault="00FE4E3C"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821C1C">
        <w:rPr>
          <w:rFonts w:asciiTheme="minorEastAsia" w:hAnsiTheme="minorEastAsia" w:cs="SimSun,Bold" w:hint="eastAsia"/>
          <w:bCs/>
          <w:kern w:val="0"/>
          <w:sz w:val="24"/>
          <w:szCs w:val="24"/>
        </w:rPr>
        <w:t>以“</w:t>
      </w:r>
      <w:r w:rsidRPr="0092459C">
        <w:rPr>
          <w:rFonts w:asciiTheme="minorEastAsia" w:hAnsiTheme="minorEastAsia" w:cs="宋体" w:hint="eastAsia"/>
          <w:b/>
          <w:kern w:val="0"/>
          <w:sz w:val="24"/>
          <w:szCs w:val="24"/>
        </w:rPr>
        <w:t>永赢</w:t>
      </w:r>
      <w:r w:rsidR="00BB1C4D">
        <w:rPr>
          <w:rFonts w:asciiTheme="minorEastAsia" w:hAnsiTheme="minorEastAsia" w:cs="宋体" w:hint="eastAsia"/>
          <w:b/>
          <w:kern w:val="0"/>
          <w:sz w:val="24"/>
          <w:szCs w:val="24"/>
        </w:rPr>
        <w:t>丰</w:t>
      </w:r>
      <w:r w:rsidRPr="0092459C">
        <w:rPr>
          <w:rFonts w:asciiTheme="minorEastAsia" w:hAnsiTheme="minorEastAsia" w:cs="宋体" w:hint="eastAsia"/>
          <w:b/>
          <w:kern w:val="0"/>
          <w:sz w:val="24"/>
          <w:szCs w:val="24"/>
        </w:rPr>
        <w:t>益债券型证券投资基金</w:t>
      </w:r>
      <w:r w:rsidRPr="00821C1C">
        <w:rPr>
          <w:rFonts w:asciiTheme="minorEastAsia" w:hAnsiTheme="minorEastAsia" w:cs="SimSun,Bold" w:hint="eastAsia"/>
          <w:bCs/>
          <w:kern w:val="0"/>
          <w:sz w:val="24"/>
          <w:szCs w:val="24"/>
        </w:rPr>
        <w:t>”为例：</w:t>
      </w:r>
    </w:p>
    <w:p w:rsidR="00FE4E3C" w:rsidRPr="00821C1C" w:rsidRDefault="00FE4E3C"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821C1C">
        <w:rPr>
          <w:rFonts w:asciiTheme="minorEastAsia" w:hAnsiTheme="minorEastAsia" w:cs="SimSun,Bold" w:hint="eastAsia"/>
          <w:bCs/>
          <w:kern w:val="0"/>
          <w:sz w:val="24"/>
          <w:szCs w:val="24"/>
        </w:rPr>
        <w:t>除与基金合同对应的修订内容外，本基金管理人还补充修订了如下内容：</w:t>
      </w:r>
    </w:p>
    <w:p w:rsidR="003E7F5C" w:rsidRPr="00821C1C" w:rsidRDefault="00B07E92" w:rsidP="00ED69E5">
      <w:pPr>
        <w:pStyle w:val="a8"/>
        <w:autoSpaceDE w:val="0"/>
        <w:autoSpaceDN w:val="0"/>
        <w:adjustRightInd w:val="0"/>
        <w:spacing w:line="360" w:lineRule="auto"/>
        <w:ind w:left="200" w:firstLineChars="100" w:firstLine="241"/>
        <w:rPr>
          <w:rFonts w:asciiTheme="minorEastAsia" w:hAnsiTheme="minorEastAsia" w:cs="SimSun,Bold"/>
          <w:b/>
          <w:bCs/>
          <w:kern w:val="0"/>
          <w:sz w:val="24"/>
          <w:szCs w:val="24"/>
        </w:rPr>
      </w:pPr>
      <w:r>
        <w:rPr>
          <w:rFonts w:asciiTheme="minorEastAsia" w:hAnsiTheme="minorEastAsia" w:cs="SimSun,Bold"/>
          <w:b/>
          <w:bCs/>
          <w:kern w:val="0"/>
          <w:sz w:val="24"/>
          <w:szCs w:val="24"/>
        </w:rPr>
        <w:t>1</w:t>
      </w:r>
      <w:r w:rsidRPr="00D10916">
        <w:rPr>
          <w:rFonts w:asciiTheme="minorEastAsia" w:hAnsiTheme="minorEastAsia" w:cs="SimSun,Bold" w:hint="eastAsia"/>
          <w:b/>
          <w:bCs/>
          <w:kern w:val="0"/>
          <w:sz w:val="24"/>
          <w:szCs w:val="24"/>
        </w:rPr>
        <w:t>、</w:t>
      </w:r>
      <w:r w:rsidR="00FE4E3C" w:rsidRPr="00821C1C">
        <w:rPr>
          <w:rFonts w:asciiTheme="minorEastAsia" w:hAnsiTheme="minorEastAsia" w:cs="SimSun,Bold" w:hint="eastAsia"/>
          <w:b/>
          <w:bCs/>
          <w:kern w:val="0"/>
          <w:sz w:val="24"/>
          <w:szCs w:val="24"/>
        </w:rPr>
        <w:t>新增“侧袋机制”章节</w:t>
      </w:r>
      <w:r w:rsidR="002139DF">
        <w:rPr>
          <w:rFonts w:asciiTheme="minorEastAsia" w:hAnsiTheme="minorEastAsia" w:cs="SimSun,Bold" w:hint="eastAsia"/>
          <w:b/>
          <w:bCs/>
          <w:kern w:val="0"/>
          <w:sz w:val="24"/>
          <w:szCs w:val="24"/>
        </w:rPr>
        <w:t>：</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821C1C">
        <w:rPr>
          <w:rFonts w:asciiTheme="minorEastAsia" w:hAnsiTheme="minorEastAsia" w:cs="SimSun,Bold" w:hint="eastAsia"/>
          <w:bCs/>
          <w:kern w:val="0"/>
          <w:sz w:val="24"/>
          <w:szCs w:val="24"/>
        </w:rPr>
        <w:t>“</w:t>
      </w:r>
      <w:r w:rsidRPr="00F13052">
        <w:rPr>
          <w:rFonts w:asciiTheme="minorEastAsia" w:hAnsiTheme="minorEastAsia" w:cs="SimSun,Bold" w:hint="eastAsia"/>
          <w:bCs/>
          <w:kern w:val="0"/>
          <w:sz w:val="24"/>
          <w:szCs w:val="24"/>
        </w:rPr>
        <w:t>第十七部分  侧袋机制</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一、侧袋机制的实施条件、实施程序</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启用侧袋机制当日，基金管理人和基金服务机构应以基金份额持有人的原有账户份额为基础，确认相应侧袋账户持有人名册和份额。</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二、侧袋机制实施期间的基金运作安排</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（一）基金份额的申购与赎回</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1、侧袋账户</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 xml:space="preserve">侧袋机制实施期间，基金管理人不办理侧袋账户的申购、赎回和转换。基金份额持有人申请申购、赎回或转换侧袋账户基金份额的，该申购、赎回或转换申请将被拒绝。 </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2、主袋账户</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基金管理人将依法保障主袋账户份额持有人享有基金合同约定的赎回权利，并根据主袋账户运作情况合理确定申购事项，具体事项届时将由基金管理人在相关公告中规定。</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对于启用侧袋机制当日收到的赎回申请，基金管理人仅办理主袋账户的赎回申请并支付赎回款项。在启用侧袋机制当日收到的申购申请，视为投资者对侧袋机制启用后的主袋账户提交的申购申请。基金管理人应依法向投资者进行充分披露。</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（二）基金的投资</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侧袋机制实施期间，本基金的各项投资运作指标和基金业绩指标应当以主袋账户资产为基准。</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基金管理人原则上应当在侧袋机制启用后20个交易日内完成对主袋账户投资组合的调整，但因资产流动性受限等中国证监会规定的情形除外。</w:t>
      </w:r>
    </w:p>
    <w:p w:rsidR="00F13052" w:rsidRPr="00F13052" w:rsidRDefault="00F13052" w:rsidP="00B07E92">
      <w:pPr>
        <w:autoSpaceDE w:val="0"/>
        <w:autoSpaceDN w:val="0"/>
        <w:adjustRightInd w:val="0"/>
        <w:spacing w:line="360" w:lineRule="auto"/>
        <w:ind w:firstLine="20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基金管理人不得在侧袋账户中进行除特定资产处置变现以外的其他投资操作。</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（三）基金的费用</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侧袋机制实施期间，侧袋账户资产不收取管理费。</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基金管理人可以将与处置侧袋账户资产相关的费用从侧袋账户资产中列支，但应待特定资产变现后方可列支。因启用侧袋机制产生的咨询、审计费用等由基金管理人承担。</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（四）基金的收益分配</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侧袋机制实施期间，在主袋账户份额满足基金合同收益分配条件的情形下，基金管理人可对主袋账户份额进行收益分配。侧袋账户不进行收益分配。</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（五）基金的信息披露</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1、基金净值信息</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侧袋机制实施期间，基金管理人应当暂停披露侧袋账户的基金份额净值和基金份额累计净值。</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2、定期报告</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基金定期报告中的基金会计报表仅需针对主袋账户进行编制。侧袋账户相关信息在定期报告中单独进行披露，包括但不限于：报告期内的特定资产处置进展情况；特定资产可变现净值或净值区间，该净值或净值区间并不代表特定资产最终的变现价格，不作为基金管理人对特定资产最终变现价格的承诺。</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3、临时报告</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基金管理人在启用侧袋机制、处置特定资产、终止侧袋机制以及发生其他可能对投资者利益产生重大影响的事项后应及时发布临时公告。</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启用侧袋机制的临时公告内容应当包括启用原因及程序、特定资产流动性和估值情况、对投资者申购赎回的影响、风险提示等重要信息。</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处置特定资产的临时公告内容应当包括特定资产处置价格和时间、向侧袋账户份额持有人支付的款项、相关费用发生情况等重要信息。</w:t>
      </w:r>
    </w:p>
    <w:p w:rsidR="00F13052" w:rsidRPr="00F13052" w:rsidRDefault="00F13052" w:rsidP="00B07E92">
      <w:pPr>
        <w:autoSpaceDE w:val="0"/>
        <w:autoSpaceDN w:val="0"/>
        <w:adjustRightInd w:val="0"/>
        <w:spacing w:line="360" w:lineRule="auto"/>
        <w:ind w:firstLine="20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侧袋机制实施期间，若侧袋账户资产无法一次性完成处置变现，基金管理人将在每次处置变现后按规定及时发布临时公告。</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（六）特定资产处置清算</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将按照基金份额持有人利益最大化原则制定变现方案，将侧袋账户资产处置变现。无论侧袋账户资产是否全部完成变现，基金管理人都应及时向侧袋账户对应的基金份额持有人支付已变现部分对应的款项。</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（七）侧袋的审计</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基金管理人应当在启用侧袋机制和终止侧袋机制后，及时聘请符合《中华人民共和国证券法》规定的会计师事务所进行审计并披露专项审计意见，具体如下：</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基金管理人应当在启用侧袋机制时，就特定资产认定的相关事宜取得符合《中华人民共和国证券法》规定的会计师事务所的专业意见。</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会计师事务所对基金年度报告进行审计时，应对报告期间基金侧袋机制运行相关的会计核算和年报披露，执行适当程序并发表审计意见。</w:t>
      </w:r>
    </w:p>
    <w:p w:rsidR="00F13052" w:rsidRPr="00F13052" w:rsidRDefault="00F13052"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sidRPr="00F13052">
        <w:rPr>
          <w:rFonts w:asciiTheme="minorEastAsia" w:hAnsiTheme="minorEastAsia" w:cs="SimSun,Bold" w:hint="eastAsia"/>
          <w:bCs/>
          <w:kern w:val="0"/>
          <w:sz w:val="24"/>
          <w:szCs w:val="24"/>
        </w:rPr>
        <w:t>当侧袋账户资产全部完成变现后，基金管理人应参照基金清算报告的相关要求，聘请符合《中华人民共和国证券法》规定的会计师事务所对侧袋账户进行审计并披露专项审计意见。</w:t>
      </w:r>
    </w:p>
    <w:p w:rsidR="00FE4E3C" w:rsidRDefault="00ED69E5"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Pr>
          <w:rFonts w:asciiTheme="minorEastAsia" w:hAnsiTheme="minorEastAsia" w:cs="SimSun,Bold" w:hint="eastAsia"/>
          <w:bCs/>
          <w:kern w:val="0"/>
          <w:sz w:val="24"/>
          <w:szCs w:val="24"/>
        </w:rPr>
        <w:t>三</w:t>
      </w:r>
      <w:r w:rsidR="00F13052" w:rsidRPr="00F13052">
        <w:rPr>
          <w:rFonts w:asciiTheme="minorEastAsia" w:hAnsiTheme="minorEastAsia" w:cs="SimSun,Bold" w:hint="eastAsia"/>
          <w:bCs/>
          <w:kern w:val="0"/>
          <w:sz w:val="24"/>
          <w:szCs w:val="24"/>
        </w:rPr>
        <w:t xml:space="preserve">、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 </w:t>
      </w:r>
      <w:r w:rsidR="00F13052" w:rsidRPr="00821C1C">
        <w:rPr>
          <w:rFonts w:asciiTheme="minorEastAsia" w:hAnsiTheme="minorEastAsia" w:cs="SimSun,Bold" w:hint="eastAsia"/>
          <w:bCs/>
          <w:kern w:val="0"/>
          <w:sz w:val="24"/>
          <w:szCs w:val="24"/>
        </w:rPr>
        <w:t>”</w:t>
      </w:r>
    </w:p>
    <w:p w:rsidR="00F13052" w:rsidRDefault="00F13052" w:rsidP="00B07E92">
      <w:pPr>
        <w:autoSpaceDE w:val="0"/>
        <w:autoSpaceDN w:val="0"/>
        <w:adjustRightInd w:val="0"/>
        <w:spacing w:line="360" w:lineRule="auto"/>
        <w:ind w:firstLineChars="200" w:firstLine="482"/>
        <w:rPr>
          <w:rFonts w:asciiTheme="minorEastAsia" w:hAnsiTheme="minorEastAsia" w:cs="SimSun,Bold"/>
          <w:bCs/>
          <w:kern w:val="0"/>
          <w:sz w:val="24"/>
          <w:szCs w:val="24"/>
        </w:rPr>
      </w:pPr>
      <w:r w:rsidRPr="00821C1C">
        <w:rPr>
          <w:rFonts w:asciiTheme="minorEastAsia" w:hAnsiTheme="minorEastAsia" w:cs="SimSun,Bold"/>
          <w:b/>
          <w:bCs/>
          <w:kern w:val="0"/>
          <w:sz w:val="24"/>
          <w:szCs w:val="24"/>
        </w:rPr>
        <w:t>2、</w:t>
      </w:r>
      <w:r w:rsidRPr="00F13052">
        <w:rPr>
          <w:rFonts w:asciiTheme="minorEastAsia" w:hAnsiTheme="minorEastAsia" w:cs="SimSun,Bold" w:hint="eastAsia"/>
          <w:bCs/>
          <w:kern w:val="0"/>
          <w:sz w:val="24"/>
          <w:szCs w:val="24"/>
        </w:rPr>
        <w:t>在“</w:t>
      </w:r>
      <w:r w:rsidRPr="00821C1C">
        <w:rPr>
          <w:rFonts w:asciiTheme="minorEastAsia" w:hAnsiTheme="minorEastAsia" w:cs="SimSun,Bold" w:hint="eastAsia"/>
          <w:b/>
          <w:bCs/>
          <w:kern w:val="0"/>
          <w:sz w:val="24"/>
          <w:szCs w:val="24"/>
        </w:rPr>
        <w:t>风险</w:t>
      </w:r>
      <w:r w:rsidR="0092234E">
        <w:rPr>
          <w:rFonts w:asciiTheme="minorEastAsia" w:hAnsiTheme="minorEastAsia" w:cs="SimSun,Bold" w:hint="eastAsia"/>
          <w:b/>
          <w:bCs/>
          <w:kern w:val="0"/>
          <w:sz w:val="24"/>
          <w:szCs w:val="24"/>
        </w:rPr>
        <w:t>提示</w:t>
      </w:r>
      <w:r w:rsidRPr="00F13052">
        <w:rPr>
          <w:rFonts w:asciiTheme="minorEastAsia" w:hAnsiTheme="minorEastAsia" w:cs="SimSun,Bold" w:hint="eastAsia"/>
          <w:bCs/>
          <w:kern w:val="0"/>
          <w:sz w:val="24"/>
          <w:szCs w:val="24"/>
        </w:rPr>
        <w:t>”</w:t>
      </w:r>
      <w:r w:rsidR="003B0960">
        <w:rPr>
          <w:rFonts w:asciiTheme="minorEastAsia" w:hAnsiTheme="minorEastAsia" w:cs="SimSun,Bold" w:hint="eastAsia"/>
          <w:bCs/>
          <w:kern w:val="0"/>
          <w:sz w:val="24"/>
          <w:szCs w:val="24"/>
        </w:rPr>
        <w:t>的“</w:t>
      </w:r>
      <w:r w:rsidR="003B0960" w:rsidRPr="00821C1C">
        <w:rPr>
          <w:rFonts w:hint="eastAsia"/>
          <w:b/>
          <w:bCs/>
          <w:sz w:val="24"/>
        </w:rPr>
        <w:t>流动性风险</w:t>
      </w:r>
      <w:r w:rsidR="003B0960">
        <w:rPr>
          <w:rFonts w:asciiTheme="minorEastAsia" w:hAnsiTheme="minorEastAsia" w:cs="SimSun,Bold" w:hint="eastAsia"/>
          <w:bCs/>
          <w:kern w:val="0"/>
          <w:sz w:val="24"/>
          <w:szCs w:val="24"/>
        </w:rPr>
        <w:t>”</w:t>
      </w:r>
      <w:r w:rsidRPr="00F13052">
        <w:rPr>
          <w:rFonts w:asciiTheme="minorEastAsia" w:hAnsiTheme="minorEastAsia" w:cs="SimSun,Bold" w:hint="eastAsia"/>
          <w:bCs/>
          <w:kern w:val="0"/>
          <w:sz w:val="24"/>
          <w:szCs w:val="24"/>
        </w:rPr>
        <w:t>中新增</w:t>
      </w:r>
      <w:r w:rsidRPr="00821C1C">
        <w:rPr>
          <w:rFonts w:asciiTheme="minorEastAsia" w:hAnsiTheme="minorEastAsia" w:cs="SimSun,Bold" w:hint="eastAsia"/>
          <w:b/>
          <w:bCs/>
          <w:kern w:val="0"/>
          <w:sz w:val="24"/>
          <w:szCs w:val="24"/>
        </w:rPr>
        <w:t>实施侧袋机制有关风险提示</w:t>
      </w:r>
      <w:r w:rsidRPr="00F13052">
        <w:rPr>
          <w:rFonts w:asciiTheme="minorEastAsia" w:hAnsiTheme="minorEastAsia" w:cs="SimSun,Bold" w:hint="eastAsia"/>
          <w:bCs/>
          <w:kern w:val="0"/>
          <w:sz w:val="24"/>
          <w:szCs w:val="24"/>
        </w:rPr>
        <w:t>如下：</w:t>
      </w:r>
    </w:p>
    <w:p w:rsidR="003B0960" w:rsidRPr="00821C1C" w:rsidRDefault="003B0960" w:rsidP="00B07E92">
      <w:pPr>
        <w:autoSpaceDE w:val="0"/>
        <w:autoSpaceDN w:val="0"/>
        <w:adjustRightInd w:val="0"/>
        <w:spacing w:line="360" w:lineRule="auto"/>
        <w:ind w:firstLineChars="200" w:firstLine="480"/>
        <w:rPr>
          <w:rFonts w:asciiTheme="minorEastAsia" w:hAnsiTheme="minorEastAsia" w:cs="SimSun,Bold"/>
          <w:bCs/>
          <w:kern w:val="0"/>
          <w:sz w:val="24"/>
          <w:szCs w:val="24"/>
        </w:rPr>
      </w:pPr>
      <w:r>
        <w:rPr>
          <w:rFonts w:asciiTheme="minorEastAsia" w:hAnsiTheme="minorEastAsia" w:cs="SimSun,Bold" w:hint="eastAsia"/>
          <w:bCs/>
          <w:kern w:val="0"/>
          <w:sz w:val="24"/>
          <w:szCs w:val="24"/>
        </w:rPr>
        <w:t>“</w:t>
      </w:r>
      <w:r w:rsidRPr="003B0960">
        <w:rPr>
          <w:rFonts w:asciiTheme="minorEastAsia" w:hAnsiTheme="minorEastAsia" w:cs="SimSun,Bold" w:hint="eastAsia"/>
          <w:bCs/>
          <w:kern w:val="0"/>
          <w:sz w:val="24"/>
          <w:szCs w:val="24"/>
        </w:rPr>
        <w:t>当本基金启用侧袋机制时，实施侧袋机制期间，侧袋账户份额将停止披露基金份额净值，并不得办理申购、赎回和转换。因特定资产的变现时间具有不确定性，最终变现价格也具有不确定性并且有可能大幅低于启用侧袋机制时的特定资产的估值，基金份额持有人可能因此面临损失。</w:t>
      </w:r>
      <w:r>
        <w:rPr>
          <w:rFonts w:asciiTheme="minorEastAsia" w:hAnsiTheme="minorEastAsia" w:cs="SimSun,Bold" w:hint="eastAsia"/>
          <w:bCs/>
          <w:kern w:val="0"/>
          <w:sz w:val="24"/>
          <w:szCs w:val="24"/>
        </w:rPr>
        <w:t>”</w:t>
      </w:r>
    </w:p>
    <w:p w:rsidR="003F1985" w:rsidRDefault="004121BE" w:rsidP="004121BE">
      <w:pPr>
        <w:autoSpaceDE w:val="0"/>
        <w:autoSpaceDN w:val="0"/>
        <w:adjustRightInd w:val="0"/>
        <w:spacing w:line="360" w:lineRule="auto"/>
        <w:ind w:firstLineChars="200" w:firstLine="482"/>
        <w:rPr>
          <w:rFonts w:asciiTheme="minorEastAsia" w:hAnsiTheme="minorEastAsia" w:cs="SimSun,Bold"/>
          <w:b/>
          <w:bCs/>
          <w:kern w:val="0"/>
          <w:sz w:val="24"/>
          <w:szCs w:val="24"/>
        </w:rPr>
      </w:pPr>
      <w:r w:rsidRPr="00375145">
        <w:rPr>
          <w:rFonts w:asciiTheme="minorEastAsia" w:hAnsiTheme="minorEastAsia" w:cs="SimSun,Bold" w:hint="eastAsia"/>
          <w:b/>
          <w:bCs/>
          <w:kern w:val="0"/>
          <w:sz w:val="24"/>
          <w:szCs w:val="24"/>
        </w:rPr>
        <w:t>四</w:t>
      </w:r>
      <w:r w:rsidR="003F1985" w:rsidRPr="00375145">
        <w:rPr>
          <w:rFonts w:asciiTheme="minorEastAsia" w:hAnsiTheme="minorEastAsia" w:cs="SimSun,Bold" w:hint="eastAsia"/>
          <w:b/>
          <w:bCs/>
          <w:kern w:val="0"/>
          <w:sz w:val="24"/>
          <w:szCs w:val="24"/>
        </w:rPr>
        <w:t>、</w:t>
      </w:r>
      <w:r w:rsidR="003B0960" w:rsidRPr="003B0960">
        <w:rPr>
          <w:rFonts w:asciiTheme="minorEastAsia" w:hAnsiTheme="minorEastAsia" w:cs="SimSun,Bold" w:hint="eastAsia"/>
          <w:b/>
          <w:bCs/>
          <w:kern w:val="0"/>
          <w:sz w:val="24"/>
          <w:szCs w:val="24"/>
        </w:rPr>
        <w:t>因上述修订导致的序号变化顺序调整</w:t>
      </w:r>
      <w:bookmarkStart w:id="0" w:name="_GoBack"/>
      <w:bookmarkEnd w:id="0"/>
      <w:r w:rsidR="003B0960" w:rsidRPr="003B0960">
        <w:rPr>
          <w:rFonts w:asciiTheme="minorEastAsia" w:hAnsiTheme="minorEastAsia" w:cs="SimSun,Bold" w:hint="eastAsia"/>
          <w:b/>
          <w:bCs/>
          <w:kern w:val="0"/>
          <w:sz w:val="24"/>
          <w:szCs w:val="24"/>
        </w:rPr>
        <w:t>。</w:t>
      </w:r>
    </w:p>
    <w:p w:rsidR="003B0960" w:rsidRDefault="003B0960" w:rsidP="003B0960">
      <w:pPr>
        <w:autoSpaceDE w:val="0"/>
        <w:autoSpaceDN w:val="0"/>
        <w:adjustRightInd w:val="0"/>
        <w:spacing w:line="360" w:lineRule="auto"/>
        <w:ind w:firstLineChars="200" w:firstLine="482"/>
        <w:rPr>
          <w:rFonts w:asciiTheme="minorEastAsia" w:hAnsiTheme="minorEastAsia" w:cs="SimSun,Bold"/>
          <w:b/>
          <w:bCs/>
          <w:kern w:val="0"/>
          <w:sz w:val="24"/>
          <w:szCs w:val="24"/>
        </w:rPr>
      </w:pPr>
      <w:r>
        <w:rPr>
          <w:rFonts w:asciiTheme="minorEastAsia" w:hAnsiTheme="minorEastAsia" w:cs="SimSun,Bold"/>
          <w:b/>
          <w:bCs/>
          <w:kern w:val="0"/>
          <w:sz w:val="24"/>
          <w:szCs w:val="24"/>
        </w:rPr>
        <w:t>五</w:t>
      </w:r>
      <w:r>
        <w:rPr>
          <w:rFonts w:asciiTheme="minorEastAsia" w:hAnsiTheme="minorEastAsia" w:cs="SimSun,Bold" w:hint="eastAsia"/>
          <w:b/>
          <w:bCs/>
          <w:kern w:val="0"/>
          <w:sz w:val="24"/>
          <w:szCs w:val="24"/>
        </w:rPr>
        <w:t>、</w:t>
      </w:r>
      <w:r w:rsidRPr="003B0960">
        <w:rPr>
          <w:rFonts w:asciiTheme="minorEastAsia" w:hAnsiTheme="minorEastAsia" w:cs="SimSun,Bold" w:hint="eastAsia"/>
          <w:b/>
          <w:bCs/>
          <w:kern w:val="0"/>
          <w:sz w:val="24"/>
          <w:szCs w:val="24"/>
        </w:rPr>
        <w:t>托管协议涉及上述内容的部分将一并调整，各基金法律文件中“基金合同的内容摘要”和“托管协议的内容摘要”部分亦将相应调整。修订后的各基金基金合同、托管协议将与本公告同日登载于本公司网站及中国证监会规定披露网站。基金管理人将届时更新各基金的招募说明书相关内容，更新后的招募说明书将依照《</w:t>
      </w:r>
      <w:r w:rsidR="00571BE7" w:rsidRPr="00FB7D15">
        <w:rPr>
          <w:rFonts w:asciiTheme="minorEastAsia" w:hAnsiTheme="minorEastAsia" w:cs="SimSun,Bold" w:hint="eastAsia"/>
          <w:b/>
          <w:bCs/>
          <w:kern w:val="0"/>
          <w:sz w:val="24"/>
          <w:szCs w:val="24"/>
        </w:rPr>
        <w:t>公开募集证券投资基金信息披露管理办法</w:t>
      </w:r>
      <w:r w:rsidRPr="003B0960">
        <w:rPr>
          <w:rFonts w:asciiTheme="minorEastAsia" w:hAnsiTheme="minorEastAsia" w:cs="SimSun,Bold" w:hint="eastAsia"/>
          <w:b/>
          <w:bCs/>
          <w:kern w:val="0"/>
          <w:sz w:val="24"/>
          <w:szCs w:val="24"/>
        </w:rPr>
        <w:t>》的有关规定在规定媒介上公告。</w:t>
      </w:r>
    </w:p>
    <w:p w:rsidR="003B0960" w:rsidRDefault="003B0960" w:rsidP="003B0960">
      <w:pPr>
        <w:autoSpaceDE w:val="0"/>
        <w:autoSpaceDN w:val="0"/>
        <w:adjustRightInd w:val="0"/>
        <w:spacing w:line="360" w:lineRule="auto"/>
        <w:ind w:firstLineChars="200" w:firstLine="482"/>
        <w:rPr>
          <w:rFonts w:asciiTheme="minorEastAsia" w:hAnsiTheme="minorEastAsia" w:cs="SimSun,Bold"/>
          <w:b/>
          <w:bCs/>
          <w:kern w:val="0"/>
          <w:sz w:val="24"/>
          <w:szCs w:val="24"/>
        </w:rPr>
      </w:pPr>
      <w:r>
        <w:rPr>
          <w:rFonts w:asciiTheme="minorEastAsia" w:hAnsiTheme="minorEastAsia" w:cs="SimSun,Bold"/>
          <w:b/>
          <w:bCs/>
          <w:kern w:val="0"/>
          <w:sz w:val="24"/>
          <w:szCs w:val="24"/>
        </w:rPr>
        <w:t>六</w:t>
      </w:r>
      <w:r>
        <w:rPr>
          <w:rFonts w:asciiTheme="minorEastAsia" w:hAnsiTheme="minorEastAsia" w:cs="SimSun,Bold" w:hint="eastAsia"/>
          <w:b/>
          <w:bCs/>
          <w:kern w:val="0"/>
          <w:sz w:val="24"/>
          <w:szCs w:val="24"/>
        </w:rPr>
        <w:t>、</w:t>
      </w:r>
      <w:r>
        <w:rPr>
          <w:rFonts w:asciiTheme="minorEastAsia" w:hAnsiTheme="minorEastAsia" w:cs="SimSun,Bold"/>
          <w:b/>
          <w:bCs/>
          <w:kern w:val="0"/>
          <w:sz w:val="24"/>
          <w:szCs w:val="24"/>
        </w:rPr>
        <w:t>其他事项</w:t>
      </w:r>
    </w:p>
    <w:p w:rsidR="003B0960" w:rsidRPr="00821C1C" w:rsidRDefault="003B0960" w:rsidP="005777C8">
      <w:pPr>
        <w:autoSpaceDE w:val="0"/>
        <w:autoSpaceDN w:val="0"/>
        <w:adjustRightInd w:val="0"/>
        <w:spacing w:line="360" w:lineRule="auto"/>
        <w:ind w:firstLineChars="200" w:firstLine="482"/>
        <w:rPr>
          <w:rFonts w:asciiTheme="minorEastAsia" w:hAnsiTheme="minorEastAsia" w:cs="SimSun,Bold"/>
          <w:bCs/>
          <w:kern w:val="0"/>
          <w:sz w:val="24"/>
          <w:szCs w:val="24"/>
        </w:rPr>
      </w:pPr>
      <w:r w:rsidRPr="003B0960">
        <w:rPr>
          <w:rFonts w:asciiTheme="minorEastAsia" w:hAnsiTheme="minorEastAsia" w:cs="SimSun,Bold" w:hint="eastAsia"/>
          <w:b/>
          <w:bCs/>
          <w:kern w:val="0"/>
          <w:sz w:val="24"/>
          <w:szCs w:val="24"/>
        </w:rPr>
        <w:t>1、上述修改内容以“</w:t>
      </w:r>
      <w:r w:rsidR="00F83ECE">
        <w:rPr>
          <w:rFonts w:asciiTheme="minorEastAsia" w:hAnsiTheme="minorEastAsia" w:cs="宋体" w:hint="eastAsia"/>
          <w:b/>
          <w:kern w:val="0"/>
          <w:sz w:val="24"/>
          <w:szCs w:val="24"/>
        </w:rPr>
        <w:t>永赢</w:t>
      </w:r>
      <w:r w:rsidR="00BB1C4D">
        <w:rPr>
          <w:rFonts w:asciiTheme="minorEastAsia" w:hAnsiTheme="minorEastAsia" w:cs="宋体" w:hint="eastAsia"/>
          <w:b/>
          <w:kern w:val="0"/>
          <w:sz w:val="24"/>
          <w:szCs w:val="24"/>
        </w:rPr>
        <w:t>丰</w:t>
      </w:r>
      <w:r w:rsidR="00F83ECE">
        <w:rPr>
          <w:rFonts w:asciiTheme="minorEastAsia" w:hAnsiTheme="minorEastAsia" w:cs="宋体" w:hint="eastAsia"/>
          <w:b/>
          <w:kern w:val="0"/>
          <w:sz w:val="24"/>
          <w:szCs w:val="24"/>
        </w:rPr>
        <w:t>益债券型证券投资基金</w:t>
      </w:r>
      <w:r w:rsidRPr="003B0960">
        <w:rPr>
          <w:rFonts w:asciiTheme="minorEastAsia" w:hAnsiTheme="minorEastAsia" w:cs="SimSun,Bold" w:hint="eastAsia"/>
          <w:b/>
          <w:bCs/>
          <w:kern w:val="0"/>
          <w:sz w:val="24"/>
          <w:szCs w:val="24"/>
        </w:rPr>
        <w:t>”为例，不同基金的描述可能存在差异，具体详见各基金更新的法律文件。</w:t>
      </w:r>
      <w:r w:rsidR="005777C8" w:rsidRPr="005777C8">
        <w:rPr>
          <w:rFonts w:asciiTheme="minorEastAsia" w:hAnsiTheme="minorEastAsia" w:cs="SimSun,Bold" w:hint="eastAsia"/>
          <w:bCs/>
          <w:kern w:val="0"/>
          <w:sz w:val="24"/>
          <w:szCs w:val="24"/>
        </w:rPr>
        <w:t>上述基金因增加侧袋机制相关条款作出的修改系根据法律法规而作出，其他修改对基金份额持有人利益无实质性不利影响，并已履行了规定的</w:t>
      </w:r>
      <w:r w:rsidR="005777C8">
        <w:rPr>
          <w:rFonts w:asciiTheme="minorEastAsia" w:hAnsiTheme="minorEastAsia" w:cs="SimSun,Bold" w:hint="eastAsia"/>
          <w:bCs/>
          <w:kern w:val="0"/>
          <w:sz w:val="24"/>
          <w:szCs w:val="24"/>
        </w:rPr>
        <w:t>程序，符合相关法律法规的规定和上述基金基金合同的约定，</w:t>
      </w:r>
      <w:r w:rsidRPr="00821C1C">
        <w:rPr>
          <w:rFonts w:asciiTheme="minorEastAsia" w:hAnsiTheme="minorEastAsia" w:cs="SimSun,Bold" w:hint="eastAsia"/>
          <w:bCs/>
          <w:kern w:val="0"/>
          <w:sz w:val="24"/>
          <w:szCs w:val="24"/>
        </w:rPr>
        <w:t>修订自</w:t>
      </w:r>
      <w:r w:rsidR="00ED69E5">
        <w:rPr>
          <w:rFonts w:asciiTheme="minorEastAsia" w:hAnsiTheme="minorEastAsia" w:cs="SimSun,Bold"/>
          <w:bCs/>
          <w:kern w:val="0"/>
          <w:sz w:val="24"/>
          <w:szCs w:val="24"/>
        </w:rPr>
        <w:t>2021</w:t>
      </w:r>
      <w:r w:rsidRPr="00821C1C">
        <w:rPr>
          <w:rFonts w:asciiTheme="minorEastAsia" w:hAnsiTheme="minorEastAsia" w:cs="SimSun,Bold"/>
          <w:bCs/>
          <w:kern w:val="0"/>
          <w:sz w:val="24"/>
          <w:szCs w:val="24"/>
        </w:rPr>
        <w:t>年</w:t>
      </w:r>
      <w:r w:rsidR="00BB1C4D">
        <w:rPr>
          <w:rFonts w:asciiTheme="minorEastAsia" w:hAnsiTheme="minorEastAsia" w:cs="SimSun,Bold"/>
          <w:bCs/>
          <w:kern w:val="0"/>
          <w:sz w:val="24"/>
          <w:szCs w:val="24"/>
        </w:rPr>
        <w:t>07</w:t>
      </w:r>
      <w:r w:rsidRPr="00821C1C">
        <w:rPr>
          <w:rFonts w:asciiTheme="minorEastAsia" w:hAnsiTheme="minorEastAsia" w:cs="SimSun,Bold"/>
          <w:bCs/>
          <w:kern w:val="0"/>
          <w:sz w:val="24"/>
          <w:szCs w:val="24"/>
        </w:rPr>
        <w:t>月</w:t>
      </w:r>
      <w:r w:rsidR="00BB1C4D">
        <w:rPr>
          <w:rFonts w:asciiTheme="minorEastAsia" w:hAnsiTheme="minorEastAsia" w:cs="SimSun,Bold"/>
          <w:bCs/>
          <w:kern w:val="0"/>
          <w:sz w:val="24"/>
          <w:szCs w:val="24"/>
        </w:rPr>
        <w:t>31</w:t>
      </w:r>
      <w:r w:rsidRPr="00821C1C">
        <w:rPr>
          <w:rFonts w:asciiTheme="minorEastAsia" w:hAnsiTheme="minorEastAsia" w:cs="SimSun,Bold"/>
          <w:bCs/>
          <w:kern w:val="0"/>
          <w:sz w:val="24"/>
          <w:szCs w:val="24"/>
        </w:rPr>
        <w:t>日起生效。</w:t>
      </w:r>
    </w:p>
    <w:p w:rsidR="003F1985" w:rsidRPr="00D10916" w:rsidRDefault="003B0960" w:rsidP="004121BE">
      <w:pPr>
        <w:autoSpaceDE w:val="0"/>
        <w:autoSpaceDN w:val="0"/>
        <w:adjustRightInd w:val="0"/>
        <w:spacing w:line="360" w:lineRule="auto"/>
        <w:ind w:firstLineChars="200" w:firstLine="480"/>
        <w:rPr>
          <w:rFonts w:asciiTheme="minorEastAsia" w:hAnsiTheme="minorEastAsia" w:cs="宋体"/>
          <w:kern w:val="0"/>
          <w:sz w:val="24"/>
          <w:szCs w:val="24"/>
        </w:rPr>
      </w:pPr>
      <w:r w:rsidRPr="00821C1C">
        <w:rPr>
          <w:rFonts w:asciiTheme="minorEastAsia" w:hAnsiTheme="minorEastAsia" w:cs="SimSun,Bold"/>
          <w:bCs/>
          <w:kern w:val="0"/>
          <w:sz w:val="24"/>
          <w:szCs w:val="24"/>
        </w:rPr>
        <w:t>2、本公告仅对本次法律文件修改的事项予以说明，最终解释权归本公司</w:t>
      </w:r>
      <w:r>
        <w:rPr>
          <w:rFonts w:asciiTheme="minorEastAsia" w:hAnsiTheme="minorEastAsia" w:cs="SimSun,Bold" w:hint="eastAsia"/>
          <w:bCs/>
          <w:kern w:val="0"/>
          <w:sz w:val="24"/>
          <w:szCs w:val="24"/>
        </w:rPr>
        <w:t>。</w:t>
      </w:r>
      <w:r w:rsidR="003F1985" w:rsidRPr="00D10916">
        <w:rPr>
          <w:rFonts w:asciiTheme="minorEastAsia" w:hAnsiTheme="minorEastAsia" w:cs="宋体" w:hint="eastAsia"/>
          <w:kern w:val="0"/>
          <w:sz w:val="24"/>
          <w:szCs w:val="24"/>
        </w:rPr>
        <w:t>投资者可通过以下途径咨询有关详情</w:t>
      </w:r>
      <w:r w:rsidR="00ED69E5" w:rsidRPr="00F13052">
        <w:rPr>
          <w:rFonts w:asciiTheme="minorEastAsia" w:hAnsiTheme="minorEastAsia" w:cs="SimSun,Bold" w:hint="eastAsia"/>
          <w:bCs/>
          <w:kern w:val="0"/>
          <w:sz w:val="24"/>
          <w:szCs w:val="24"/>
        </w:rPr>
        <w:t>：</w:t>
      </w:r>
    </w:p>
    <w:p w:rsidR="003F1985" w:rsidRPr="00D10916" w:rsidRDefault="003F1985" w:rsidP="004121BE">
      <w:pPr>
        <w:autoSpaceDE w:val="0"/>
        <w:autoSpaceDN w:val="0"/>
        <w:adjustRightInd w:val="0"/>
        <w:spacing w:line="360" w:lineRule="auto"/>
        <w:ind w:firstLineChars="200" w:firstLine="480"/>
        <w:rPr>
          <w:rFonts w:asciiTheme="minorEastAsia" w:hAnsiTheme="minorEastAsia" w:cs="TimesNewRomanPSMT"/>
          <w:kern w:val="0"/>
          <w:sz w:val="24"/>
          <w:szCs w:val="24"/>
        </w:rPr>
      </w:pPr>
      <w:r w:rsidRPr="00D10916">
        <w:rPr>
          <w:rFonts w:asciiTheme="minorEastAsia" w:hAnsiTheme="minorEastAsia" w:cs="宋体" w:hint="eastAsia"/>
          <w:kern w:val="0"/>
          <w:sz w:val="24"/>
          <w:szCs w:val="24"/>
        </w:rPr>
        <w:t>客户服务电话：</w:t>
      </w:r>
      <w:r w:rsidR="00A74BFD" w:rsidRPr="00D10916">
        <w:rPr>
          <w:rFonts w:asciiTheme="minorEastAsia" w:hAnsiTheme="minorEastAsia" w:cs="TimesNewRomanPSMT"/>
          <w:kern w:val="0"/>
          <w:sz w:val="24"/>
          <w:szCs w:val="24"/>
        </w:rPr>
        <w:t>400-805-8888</w:t>
      </w:r>
    </w:p>
    <w:p w:rsidR="003F1985" w:rsidRPr="00D10916" w:rsidRDefault="003F1985" w:rsidP="004121BE">
      <w:pPr>
        <w:autoSpaceDE w:val="0"/>
        <w:autoSpaceDN w:val="0"/>
        <w:adjustRightInd w:val="0"/>
        <w:spacing w:line="360" w:lineRule="auto"/>
        <w:ind w:firstLineChars="200" w:firstLine="480"/>
        <w:rPr>
          <w:rFonts w:asciiTheme="minorEastAsia" w:hAnsiTheme="minorEastAsia" w:cs="TimesNewRomanPSMT"/>
          <w:kern w:val="0"/>
          <w:sz w:val="24"/>
          <w:szCs w:val="24"/>
        </w:rPr>
      </w:pPr>
      <w:r w:rsidRPr="00D10916">
        <w:rPr>
          <w:rFonts w:asciiTheme="minorEastAsia" w:hAnsiTheme="minorEastAsia" w:cs="宋体" w:hint="eastAsia"/>
          <w:kern w:val="0"/>
          <w:sz w:val="24"/>
          <w:szCs w:val="24"/>
        </w:rPr>
        <w:t>网址：</w:t>
      </w:r>
      <w:r w:rsidR="00D27EF6" w:rsidRPr="00D10916">
        <w:rPr>
          <w:rFonts w:asciiTheme="minorEastAsia" w:hAnsiTheme="minorEastAsia" w:cs="TimesNewRomanPSMT"/>
          <w:kern w:val="0"/>
          <w:sz w:val="24"/>
          <w:szCs w:val="24"/>
        </w:rPr>
        <w:t>www.maxwealthfund.com</w:t>
      </w:r>
    </w:p>
    <w:p w:rsidR="003F1985" w:rsidRPr="00D10916" w:rsidRDefault="003F1985" w:rsidP="004121BE">
      <w:pPr>
        <w:autoSpaceDE w:val="0"/>
        <w:autoSpaceDN w:val="0"/>
        <w:adjustRightInd w:val="0"/>
        <w:spacing w:line="360" w:lineRule="auto"/>
        <w:ind w:firstLineChars="200" w:firstLine="480"/>
        <w:rPr>
          <w:rFonts w:asciiTheme="minorEastAsia" w:hAnsiTheme="minorEastAsia" w:cs="宋体"/>
          <w:kern w:val="0"/>
          <w:sz w:val="24"/>
          <w:szCs w:val="24"/>
        </w:rPr>
      </w:pPr>
      <w:r w:rsidRPr="00D10916">
        <w:rPr>
          <w:rFonts w:asciiTheme="minorEastAsia" w:hAnsiTheme="minorEastAsia" w:cs="TimesNewRomanPSMT"/>
          <w:kern w:val="0"/>
          <w:sz w:val="24"/>
          <w:szCs w:val="24"/>
        </w:rPr>
        <w:t>2</w:t>
      </w:r>
      <w:r w:rsidRPr="00D10916">
        <w:rPr>
          <w:rFonts w:asciiTheme="minorEastAsia" w:hAnsiTheme="minorEastAsia" w:cs="宋体" w:hint="eastAsia"/>
          <w:kern w:val="0"/>
          <w:sz w:val="24"/>
          <w:szCs w:val="24"/>
        </w:rPr>
        <w:t>．风险提示：</w:t>
      </w:r>
    </w:p>
    <w:p w:rsidR="00A95CF5" w:rsidRDefault="00A95CF5" w:rsidP="004121BE">
      <w:pPr>
        <w:autoSpaceDE w:val="0"/>
        <w:autoSpaceDN w:val="0"/>
        <w:adjustRightInd w:val="0"/>
        <w:spacing w:line="360" w:lineRule="auto"/>
        <w:ind w:firstLineChars="200" w:firstLine="480"/>
        <w:jc w:val="left"/>
        <w:rPr>
          <w:rFonts w:ascii="Times New Roman" w:eastAsia="宋体" w:hAnsi="Times New Roman"/>
          <w:sz w:val="24"/>
          <w:szCs w:val="24"/>
        </w:rPr>
      </w:pPr>
      <w:r w:rsidRPr="0098266F">
        <w:rPr>
          <w:rFonts w:ascii="Times New Roman" w:eastAsia="宋体" w:hAnsi="Times New Roman" w:hint="eastAsia"/>
          <w:sz w:val="24"/>
          <w:szCs w:val="24"/>
        </w:rPr>
        <w:t>本基金管理人承诺以诚实信用、勤勉尽责的原则管理和运用基金资产，但不保证基金一定盈利，也不保证最低收益。</w:t>
      </w:r>
      <w:r w:rsidRPr="0098266F">
        <w:rPr>
          <w:rFonts w:ascii="Times New Roman" w:eastAsia="宋体" w:hAnsi="Times New Roman"/>
          <w:sz w:val="24"/>
          <w:szCs w:val="24"/>
        </w:rPr>
        <w:t>基金的过往业绩及其净值高低并不预示其未来业绩表现，基金管理人管理的其他基金的业绩不构成对本基金业绩表现的保证。投资有风险，敬请投资者在投资基金前认真阅读</w:t>
      </w:r>
      <w:r w:rsidRPr="00B307D2">
        <w:rPr>
          <w:rFonts w:ascii="Times New Roman" w:eastAsia="宋体" w:hAnsi="Times New Roman" w:hint="eastAsia"/>
          <w:sz w:val="24"/>
          <w:szCs w:val="24"/>
        </w:rPr>
        <w:t>基金合同、招募说明书、</w:t>
      </w:r>
      <w:r w:rsidRPr="00587785">
        <w:rPr>
          <w:rFonts w:ascii="Times New Roman" w:eastAsia="宋体" w:hAnsi="Times New Roman" w:hint="eastAsia"/>
          <w:sz w:val="24"/>
          <w:szCs w:val="24"/>
        </w:rPr>
        <w:t>基金</w:t>
      </w:r>
      <w:r w:rsidRPr="00B307D2">
        <w:rPr>
          <w:rFonts w:ascii="Times New Roman" w:eastAsia="宋体" w:hAnsi="Times New Roman" w:hint="eastAsia"/>
          <w:sz w:val="24"/>
          <w:szCs w:val="24"/>
        </w:rPr>
        <w:t>产品资料概要</w:t>
      </w:r>
      <w:r w:rsidRPr="0098266F">
        <w:rPr>
          <w:rFonts w:ascii="Times New Roman" w:eastAsia="宋体" w:hAnsi="Times New Roman"/>
          <w:sz w:val="24"/>
          <w:szCs w:val="24"/>
        </w:rPr>
        <w:t>等基金法律文件，了解基金的风险收益特征，并根据自身的风险承受能力选择适合自己的基金产品。敬请投资者在购买基金前认真考虑、谨慎决策。</w:t>
      </w:r>
    </w:p>
    <w:p w:rsidR="003F1985" w:rsidRPr="00D10916" w:rsidRDefault="003F1985" w:rsidP="004121BE">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D10916">
        <w:rPr>
          <w:rFonts w:asciiTheme="minorEastAsia" w:hAnsiTheme="minorEastAsia" w:cs="宋体" w:hint="eastAsia"/>
          <w:kern w:val="0"/>
          <w:sz w:val="24"/>
          <w:szCs w:val="24"/>
        </w:rPr>
        <w:t>特此公告。</w:t>
      </w:r>
    </w:p>
    <w:p w:rsidR="003F1985" w:rsidRPr="00D10916" w:rsidRDefault="004121BE" w:rsidP="004121BE">
      <w:pPr>
        <w:autoSpaceDE w:val="0"/>
        <w:autoSpaceDN w:val="0"/>
        <w:adjustRightInd w:val="0"/>
        <w:spacing w:line="360" w:lineRule="auto"/>
        <w:jc w:val="right"/>
        <w:rPr>
          <w:rFonts w:asciiTheme="minorEastAsia" w:hAnsiTheme="minorEastAsia" w:cs="宋体"/>
          <w:kern w:val="0"/>
          <w:sz w:val="24"/>
          <w:szCs w:val="24"/>
        </w:rPr>
      </w:pPr>
      <w:r w:rsidRPr="00D10916">
        <w:rPr>
          <w:rFonts w:asciiTheme="minorEastAsia" w:hAnsiTheme="minorEastAsia" w:cs="宋体" w:hint="eastAsia"/>
          <w:kern w:val="0"/>
          <w:sz w:val="24"/>
          <w:szCs w:val="24"/>
        </w:rPr>
        <w:t>永赢</w:t>
      </w:r>
      <w:r w:rsidR="003F1985" w:rsidRPr="00D10916">
        <w:rPr>
          <w:rFonts w:asciiTheme="minorEastAsia" w:hAnsiTheme="minorEastAsia" w:cs="宋体" w:hint="eastAsia"/>
          <w:kern w:val="0"/>
          <w:sz w:val="24"/>
          <w:szCs w:val="24"/>
        </w:rPr>
        <w:t>基金管理有限公司</w:t>
      </w:r>
    </w:p>
    <w:p w:rsidR="009701DE" w:rsidRPr="003F1985" w:rsidRDefault="003F1985" w:rsidP="004121BE">
      <w:pPr>
        <w:spacing w:line="360" w:lineRule="auto"/>
        <w:jc w:val="right"/>
        <w:rPr>
          <w:rFonts w:asciiTheme="minorEastAsia" w:hAnsiTheme="minorEastAsia"/>
        </w:rPr>
      </w:pPr>
      <w:r w:rsidRPr="00D10916">
        <w:rPr>
          <w:rFonts w:asciiTheme="minorEastAsia" w:hAnsiTheme="minorEastAsia" w:cs="TimesNewRomanPSMT"/>
          <w:kern w:val="0"/>
          <w:sz w:val="24"/>
          <w:szCs w:val="24"/>
        </w:rPr>
        <w:t>2021</w:t>
      </w:r>
      <w:r w:rsidRPr="00D10916">
        <w:rPr>
          <w:rFonts w:asciiTheme="minorEastAsia" w:hAnsiTheme="minorEastAsia" w:cs="宋体" w:hint="eastAsia"/>
          <w:kern w:val="0"/>
          <w:sz w:val="24"/>
          <w:szCs w:val="24"/>
        </w:rPr>
        <w:t>年</w:t>
      </w:r>
      <w:r w:rsidR="00BB1C4D">
        <w:rPr>
          <w:rFonts w:asciiTheme="minorEastAsia" w:hAnsiTheme="minorEastAsia" w:cs="TimesNewRomanPSMT"/>
          <w:kern w:val="0"/>
          <w:sz w:val="24"/>
          <w:szCs w:val="24"/>
        </w:rPr>
        <w:t>07</w:t>
      </w:r>
      <w:r w:rsidRPr="00D10916">
        <w:rPr>
          <w:rFonts w:asciiTheme="minorEastAsia" w:hAnsiTheme="minorEastAsia" w:cs="宋体" w:hint="eastAsia"/>
          <w:kern w:val="0"/>
          <w:sz w:val="24"/>
          <w:szCs w:val="24"/>
        </w:rPr>
        <w:t>月</w:t>
      </w:r>
      <w:r w:rsidR="00BB1C4D">
        <w:rPr>
          <w:rFonts w:asciiTheme="minorEastAsia" w:hAnsiTheme="minorEastAsia" w:cs="宋体"/>
          <w:kern w:val="0"/>
          <w:sz w:val="24"/>
          <w:szCs w:val="24"/>
        </w:rPr>
        <w:t>31</w:t>
      </w:r>
      <w:r w:rsidRPr="00D10916">
        <w:rPr>
          <w:rFonts w:asciiTheme="minorEastAsia" w:hAnsiTheme="minorEastAsia" w:cs="宋体" w:hint="eastAsia"/>
          <w:kern w:val="0"/>
          <w:sz w:val="24"/>
          <w:szCs w:val="24"/>
        </w:rPr>
        <w:t>日</w:t>
      </w:r>
    </w:p>
    <w:sectPr w:rsidR="009701DE" w:rsidRPr="003F1985" w:rsidSect="00293F7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B47C" w16cex:dateUtc="2021-07-02T07:51:00Z"/>
  <w16cex:commentExtensible w16cex:durableId="2489A5FD" w16cex:dateUtc="2021-07-02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321AF" w16cid:durableId="2489B47C"/>
  <w16cid:commentId w16cid:paraId="7F5ABD5B" w16cid:durableId="2489A5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0D4" w:rsidRDefault="007A60D4" w:rsidP="00484ED1">
      <w:r>
        <w:separator/>
      </w:r>
    </w:p>
  </w:endnote>
  <w:endnote w:type="continuationSeparator" w:id="0">
    <w:p w:rsidR="007A60D4" w:rsidRDefault="007A60D4" w:rsidP="00484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panose1 w:val="00000000000000000000"/>
    <w:charset w:val="86"/>
    <w:family w:val="auto"/>
    <w:notTrueType/>
    <w:pitch w:val="default"/>
    <w:sig w:usb0="00000000"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0D4" w:rsidRDefault="007A60D4" w:rsidP="00484ED1">
      <w:r>
        <w:separator/>
      </w:r>
    </w:p>
  </w:footnote>
  <w:footnote w:type="continuationSeparator" w:id="0">
    <w:p w:rsidR="007A60D4" w:rsidRDefault="007A60D4" w:rsidP="00484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C04"/>
    <w:multiLevelType w:val="hybridMultilevel"/>
    <w:tmpl w:val="2CDEC3B4"/>
    <w:lvl w:ilvl="0" w:tplc="959CF074">
      <w:start w:val="1"/>
      <w:numFmt w:val="decimal"/>
      <w:lvlText w:val="%1、"/>
      <w:lvlJc w:val="left"/>
      <w:pPr>
        <w:ind w:left="840" w:hanging="360"/>
      </w:pPr>
      <w:rPr>
        <w:rFonts w:cs="TimesNewRomanPSMT"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F9A7B74"/>
    <w:multiLevelType w:val="hybridMultilevel"/>
    <w:tmpl w:val="D234AAD4"/>
    <w:lvl w:ilvl="0" w:tplc="D5BC46B4">
      <w:start w:val="1"/>
      <w:numFmt w:val="decimal"/>
      <w:lvlText w:val="%1、"/>
      <w:lvlJc w:val="left"/>
      <w:pPr>
        <w:ind w:left="2163" w:hanging="720"/>
      </w:pPr>
      <w:rPr>
        <w:rFonts w:hint="default"/>
      </w:rPr>
    </w:lvl>
    <w:lvl w:ilvl="1" w:tplc="04090019" w:tentative="1">
      <w:start w:val="1"/>
      <w:numFmt w:val="lowerLetter"/>
      <w:lvlText w:val="%2)"/>
      <w:lvlJc w:val="left"/>
      <w:pPr>
        <w:ind w:left="2283" w:hanging="420"/>
      </w:pPr>
    </w:lvl>
    <w:lvl w:ilvl="2" w:tplc="0409001B" w:tentative="1">
      <w:start w:val="1"/>
      <w:numFmt w:val="lowerRoman"/>
      <w:lvlText w:val="%3."/>
      <w:lvlJc w:val="right"/>
      <w:pPr>
        <w:ind w:left="2703" w:hanging="420"/>
      </w:pPr>
    </w:lvl>
    <w:lvl w:ilvl="3" w:tplc="0409000F" w:tentative="1">
      <w:start w:val="1"/>
      <w:numFmt w:val="decimal"/>
      <w:lvlText w:val="%4."/>
      <w:lvlJc w:val="left"/>
      <w:pPr>
        <w:ind w:left="3123" w:hanging="420"/>
      </w:pPr>
    </w:lvl>
    <w:lvl w:ilvl="4" w:tplc="04090019" w:tentative="1">
      <w:start w:val="1"/>
      <w:numFmt w:val="lowerLetter"/>
      <w:lvlText w:val="%5)"/>
      <w:lvlJc w:val="left"/>
      <w:pPr>
        <w:ind w:left="3543" w:hanging="420"/>
      </w:pPr>
    </w:lvl>
    <w:lvl w:ilvl="5" w:tplc="0409001B" w:tentative="1">
      <w:start w:val="1"/>
      <w:numFmt w:val="lowerRoman"/>
      <w:lvlText w:val="%6."/>
      <w:lvlJc w:val="right"/>
      <w:pPr>
        <w:ind w:left="3963" w:hanging="420"/>
      </w:pPr>
    </w:lvl>
    <w:lvl w:ilvl="6" w:tplc="0409000F" w:tentative="1">
      <w:start w:val="1"/>
      <w:numFmt w:val="decimal"/>
      <w:lvlText w:val="%7."/>
      <w:lvlJc w:val="left"/>
      <w:pPr>
        <w:ind w:left="4383" w:hanging="420"/>
      </w:pPr>
    </w:lvl>
    <w:lvl w:ilvl="7" w:tplc="04090019" w:tentative="1">
      <w:start w:val="1"/>
      <w:numFmt w:val="lowerLetter"/>
      <w:lvlText w:val="%8)"/>
      <w:lvlJc w:val="left"/>
      <w:pPr>
        <w:ind w:left="4803" w:hanging="420"/>
      </w:pPr>
    </w:lvl>
    <w:lvl w:ilvl="8" w:tplc="0409001B" w:tentative="1">
      <w:start w:val="1"/>
      <w:numFmt w:val="lowerRoman"/>
      <w:lvlText w:val="%9."/>
      <w:lvlJc w:val="right"/>
      <w:pPr>
        <w:ind w:left="5223" w:hanging="420"/>
      </w:pPr>
    </w:lvl>
  </w:abstractNum>
  <w:abstractNum w:abstractNumId="2">
    <w:nsid w:val="54B73CF2"/>
    <w:multiLevelType w:val="hybridMultilevel"/>
    <w:tmpl w:val="0A104F34"/>
    <w:lvl w:ilvl="0" w:tplc="8ADA76E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60387DAE"/>
    <w:multiLevelType w:val="hybridMultilevel"/>
    <w:tmpl w:val="D2883CEC"/>
    <w:lvl w:ilvl="0" w:tplc="C082EC2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6F530422"/>
    <w:multiLevelType w:val="hybridMultilevel"/>
    <w:tmpl w:val="853E4382"/>
    <w:lvl w:ilvl="0" w:tplc="F4CCE13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78DC6F83"/>
    <w:multiLevelType w:val="hybridMultilevel"/>
    <w:tmpl w:val="361C325A"/>
    <w:lvl w:ilvl="0" w:tplc="999C874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3417"/>
    <w:rsid w:val="000236B5"/>
    <w:rsid w:val="00026182"/>
    <w:rsid w:val="00093435"/>
    <w:rsid w:val="000D6DF3"/>
    <w:rsid w:val="00104E16"/>
    <w:rsid w:val="00110F38"/>
    <w:rsid w:val="00136EAE"/>
    <w:rsid w:val="001577AA"/>
    <w:rsid w:val="0018691F"/>
    <w:rsid w:val="0018721D"/>
    <w:rsid w:val="00194141"/>
    <w:rsid w:val="001B0374"/>
    <w:rsid w:val="001C5EC5"/>
    <w:rsid w:val="001D6F16"/>
    <w:rsid w:val="001F1654"/>
    <w:rsid w:val="00212CDF"/>
    <w:rsid w:val="002139DF"/>
    <w:rsid w:val="002449A7"/>
    <w:rsid w:val="0024702F"/>
    <w:rsid w:val="0026519F"/>
    <w:rsid w:val="00293F78"/>
    <w:rsid w:val="002A7035"/>
    <w:rsid w:val="002A7226"/>
    <w:rsid w:val="002E059F"/>
    <w:rsid w:val="002F3417"/>
    <w:rsid w:val="00303557"/>
    <w:rsid w:val="00307E63"/>
    <w:rsid w:val="00334B2A"/>
    <w:rsid w:val="00375145"/>
    <w:rsid w:val="00383DC1"/>
    <w:rsid w:val="003B0960"/>
    <w:rsid w:val="003C419C"/>
    <w:rsid w:val="003E7F5C"/>
    <w:rsid w:val="003F1985"/>
    <w:rsid w:val="0040129A"/>
    <w:rsid w:val="004121BE"/>
    <w:rsid w:val="00414934"/>
    <w:rsid w:val="004228B6"/>
    <w:rsid w:val="00436F9D"/>
    <w:rsid w:val="00446A6B"/>
    <w:rsid w:val="0045310B"/>
    <w:rsid w:val="00453CBD"/>
    <w:rsid w:val="00484ED1"/>
    <w:rsid w:val="004944DD"/>
    <w:rsid w:val="004D7E16"/>
    <w:rsid w:val="00501564"/>
    <w:rsid w:val="00502241"/>
    <w:rsid w:val="00571BE7"/>
    <w:rsid w:val="00573ACA"/>
    <w:rsid w:val="005777C8"/>
    <w:rsid w:val="005945D6"/>
    <w:rsid w:val="005B73EF"/>
    <w:rsid w:val="005E3D7C"/>
    <w:rsid w:val="00607D44"/>
    <w:rsid w:val="00654770"/>
    <w:rsid w:val="00660E5B"/>
    <w:rsid w:val="006833D1"/>
    <w:rsid w:val="00683DA8"/>
    <w:rsid w:val="006C1DA9"/>
    <w:rsid w:val="006E79D7"/>
    <w:rsid w:val="0070404A"/>
    <w:rsid w:val="00792CBF"/>
    <w:rsid w:val="007A60D4"/>
    <w:rsid w:val="008202D8"/>
    <w:rsid w:val="00821C1C"/>
    <w:rsid w:val="00846006"/>
    <w:rsid w:val="008601D0"/>
    <w:rsid w:val="008A1F49"/>
    <w:rsid w:val="008B6E6B"/>
    <w:rsid w:val="008C2AFD"/>
    <w:rsid w:val="0092234E"/>
    <w:rsid w:val="009410D3"/>
    <w:rsid w:val="00967CF5"/>
    <w:rsid w:val="009701DE"/>
    <w:rsid w:val="00A16E92"/>
    <w:rsid w:val="00A4628B"/>
    <w:rsid w:val="00A46764"/>
    <w:rsid w:val="00A600FF"/>
    <w:rsid w:val="00A65FF6"/>
    <w:rsid w:val="00A74BFD"/>
    <w:rsid w:val="00A83741"/>
    <w:rsid w:val="00A95CF5"/>
    <w:rsid w:val="00AD252C"/>
    <w:rsid w:val="00B025DF"/>
    <w:rsid w:val="00B07E92"/>
    <w:rsid w:val="00B60813"/>
    <w:rsid w:val="00BB1C4D"/>
    <w:rsid w:val="00C200F3"/>
    <w:rsid w:val="00C23B76"/>
    <w:rsid w:val="00C53589"/>
    <w:rsid w:val="00C9032D"/>
    <w:rsid w:val="00CD72AC"/>
    <w:rsid w:val="00CE5CEE"/>
    <w:rsid w:val="00D10916"/>
    <w:rsid w:val="00D16EEB"/>
    <w:rsid w:val="00D27EF6"/>
    <w:rsid w:val="00D82163"/>
    <w:rsid w:val="00DC6760"/>
    <w:rsid w:val="00E114F0"/>
    <w:rsid w:val="00E84B2A"/>
    <w:rsid w:val="00E87EC3"/>
    <w:rsid w:val="00ED129D"/>
    <w:rsid w:val="00ED1BB1"/>
    <w:rsid w:val="00ED39FB"/>
    <w:rsid w:val="00ED69E5"/>
    <w:rsid w:val="00EE5D38"/>
    <w:rsid w:val="00F13052"/>
    <w:rsid w:val="00F81DC7"/>
    <w:rsid w:val="00F83ECE"/>
    <w:rsid w:val="00F85CE7"/>
    <w:rsid w:val="00FE4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D7E16"/>
    <w:rPr>
      <w:sz w:val="21"/>
      <w:szCs w:val="21"/>
    </w:rPr>
  </w:style>
  <w:style w:type="paragraph" w:styleId="a5">
    <w:name w:val="annotation text"/>
    <w:basedOn w:val="a"/>
    <w:link w:val="Char1"/>
    <w:uiPriority w:val="99"/>
    <w:unhideWhenUsed/>
    <w:rsid w:val="004D7E16"/>
    <w:pPr>
      <w:jc w:val="left"/>
    </w:pPr>
  </w:style>
  <w:style w:type="character" w:customStyle="1" w:styleId="Char1">
    <w:name w:val="批注文字 Char1"/>
    <w:basedOn w:val="a0"/>
    <w:link w:val="a5"/>
    <w:uiPriority w:val="99"/>
    <w:rsid w:val="004D7E16"/>
  </w:style>
  <w:style w:type="paragraph" w:styleId="a6">
    <w:name w:val="annotation subject"/>
    <w:basedOn w:val="a5"/>
    <w:next w:val="a5"/>
    <w:link w:val="Char"/>
    <w:uiPriority w:val="99"/>
    <w:semiHidden/>
    <w:unhideWhenUsed/>
    <w:rsid w:val="004D7E16"/>
    <w:rPr>
      <w:b/>
      <w:bCs/>
    </w:rPr>
  </w:style>
  <w:style w:type="character" w:customStyle="1" w:styleId="Char">
    <w:name w:val="批注主题 Char"/>
    <w:basedOn w:val="Char1"/>
    <w:link w:val="a6"/>
    <w:uiPriority w:val="99"/>
    <w:semiHidden/>
    <w:rsid w:val="004D7E16"/>
    <w:rPr>
      <w:b/>
      <w:bCs/>
    </w:rPr>
  </w:style>
  <w:style w:type="paragraph" w:styleId="a7">
    <w:name w:val="Balloon Text"/>
    <w:basedOn w:val="a"/>
    <w:link w:val="Char0"/>
    <w:uiPriority w:val="99"/>
    <w:semiHidden/>
    <w:unhideWhenUsed/>
    <w:rsid w:val="004D7E16"/>
    <w:rPr>
      <w:sz w:val="18"/>
      <w:szCs w:val="18"/>
    </w:rPr>
  </w:style>
  <w:style w:type="character" w:customStyle="1" w:styleId="Char0">
    <w:name w:val="批注框文本 Char"/>
    <w:basedOn w:val="a0"/>
    <w:link w:val="a7"/>
    <w:uiPriority w:val="99"/>
    <w:semiHidden/>
    <w:rsid w:val="004D7E16"/>
    <w:rPr>
      <w:sz w:val="18"/>
      <w:szCs w:val="18"/>
    </w:rPr>
  </w:style>
  <w:style w:type="paragraph" w:styleId="a8">
    <w:name w:val="List Paragraph"/>
    <w:basedOn w:val="a"/>
    <w:uiPriority w:val="34"/>
    <w:qFormat/>
    <w:rsid w:val="006E79D7"/>
    <w:pPr>
      <w:ind w:firstLineChars="200" w:firstLine="420"/>
    </w:pPr>
  </w:style>
  <w:style w:type="paragraph" w:styleId="a9">
    <w:name w:val="header"/>
    <w:basedOn w:val="a"/>
    <w:link w:val="Char2"/>
    <w:uiPriority w:val="99"/>
    <w:unhideWhenUsed/>
    <w:rsid w:val="00484ED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ED1"/>
    <w:rPr>
      <w:sz w:val="18"/>
      <w:szCs w:val="18"/>
    </w:rPr>
  </w:style>
  <w:style w:type="paragraph" w:styleId="aa">
    <w:name w:val="footer"/>
    <w:basedOn w:val="a"/>
    <w:link w:val="Char3"/>
    <w:uiPriority w:val="99"/>
    <w:unhideWhenUsed/>
    <w:rsid w:val="00484ED1"/>
    <w:pPr>
      <w:tabs>
        <w:tab w:val="center" w:pos="4153"/>
        <w:tab w:val="right" w:pos="8306"/>
      </w:tabs>
      <w:snapToGrid w:val="0"/>
      <w:jc w:val="left"/>
    </w:pPr>
    <w:rPr>
      <w:sz w:val="18"/>
      <w:szCs w:val="18"/>
    </w:rPr>
  </w:style>
  <w:style w:type="character" w:customStyle="1" w:styleId="Char3">
    <w:name w:val="页脚 Char"/>
    <w:basedOn w:val="a0"/>
    <w:link w:val="aa"/>
    <w:uiPriority w:val="99"/>
    <w:rsid w:val="00484ED1"/>
    <w:rPr>
      <w:sz w:val="18"/>
      <w:szCs w:val="18"/>
    </w:rPr>
  </w:style>
  <w:style w:type="character" w:customStyle="1" w:styleId="Char4">
    <w:name w:val="批注文字 Char"/>
    <w:uiPriority w:val="99"/>
    <w:semiHidden/>
    <w:rsid w:val="008B6E6B"/>
    <w:rPr>
      <w:rFonts w:ascii="Times New Roman" w:eastAsia="宋体" w:hAnsi="Times New Roman" w:cs="Times New Roman"/>
      <w:szCs w:val="24"/>
    </w:rPr>
  </w:style>
  <w:style w:type="paragraph" w:styleId="ab">
    <w:name w:val="Revision"/>
    <w:hidden/>
    <w:uiPriority w:val="99"/>
    <w:semiHidden/>
    <w:rsid w:val="0092234E"/>
  </w:style>
</w:styles>
</file>

<file path=word/webSettings.xml><?xml version="1.0" encoding="utf-8"?>
<w:webSettings xmlns:r="http://schemas.openxmlformats.org/officeDocument/2006/relationships" xmlns:w="http://schemas.openxmlformats.org/wordprocessingml/2006/main">
  <w:divs>
    <w:div w:id="14500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5799</Characters>
  <Application>Microsoft Office Word</Application>
  <DocSecurity>4</DocSecurity>
  <Lines>48</Lines>
  <Paragraphs>13</Paragraphs>
  <ScaleCrop>false</ScaleCrop>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Yang，Hao Qi（杨灏琦）</dc:creator>
  <cp:keywords/>
  <dc:description/>
  <cp:lastModifiedBy>ZHONGM</cp:lastModifiedBy>
  <cp:revision>2</cp:revision>
  <dcterms:created xsi:type="dcterms:W3CDTF">2021-07-30T16:25:00Z</dcterms:created>
  <dcterms:modified xsi:type="dcterms:W3CDTF">2021-07-30T16:25:00Z</dcterms:modified>
</cp:coreProperties>
</file>