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1A4" w:rsidRDefault="002F61A4">
      <w:pPr>
        <w:pStyle w:val="Default"/>
        <w:rPr>
          <w:rFonts w:ascii="Times New Roman" w:hAnsi="Times New Roman" w:cs="Times New Roman"/>
        </w:rPr>
      </w:pPr>
    </w:p>
    <w:p w:rsidR="002F61A4" w:rsidRDefault="00F065AB">
      <w:pPr>
        <w:jc w:val="center"/>
        <w:outlineLvl w:val="0"/>
        <w:rPr>
          <w:rFonts w:ascii="Times New Roman" w:hAnsi="Times New Roman" w:cs="Times New Roman"/>
          <w:b/>
          <w:sz w:val="30"/>
          <w:szCs w:val="30"/>
        </w:rPr>
      </w:pPr>
      <w:r>
        <w:rPr>
          <w:rFonts w:ascii="Times New Roman" w:hAnsi="Times New Roman" w:cs="Times New Roman" w:hint="eastAsia"/>
          <w:b/>
          <w:sz w:val="30"/>
          <w:szCs w:val="30"/>
        </w:rPr>
        <w:t>国寿安保基金管理有限公司关于旗下部分基金增加侧袋机制并相应</w:t>
      </w:r>
      <w:r>
        <w:rPr>
          <w:rFonts w:ascii="Times New Roman" w:hAnsi="Times New Roman" w:cs="Times New Roman" w:hint="eastAsia"/>
          <w:b/>
          <w:sz w:val="30"/>
          <w:szCs w:val="30"/>
        </w:rPr>
        <w:t>修订</w:t>
      </w:r>
      <w:r>
        <w:rPr>
          <w:rFonts w:ascii="Times New Roman" w:hAnsi="Times New Roman" w:cs="Times New Roman" w:hint="eastAsia"/>
          <w:b/>
          <w:sz w:val="30"/>
          <w:szCs w:val="30"/>
        </w:rPr>
        <w:t>基金合同、托管协议的公告</w:t>
      </w:r>
    </w:p>
    <w:p w:rsidR="002F61A4" w:rsidRDefault="002F61A4">
      <w:pPr>
        <w:rPr>
          <w:rFonts w:ascii="Times New Roman" w:hAnsi="Times New Roman" w:cs="Times New Roman"/>
          <w:sz w:val="44"/>
          <w:szCs w:val="44"/>
        </w:rPr>
      </w:pPr>
    </w:p>
    <w:p w:rsidR="002F61A4" w:rsidRDefault="00F065AB">
      <w:pPr>
        <w:autoSpaceDE w:val="0"/>
        <w:autoSpaceDN w:val="0"/>
        <w:adjustRightInd w:val="0"/>
        <w:snapToGrid w:val="0"/>
        <w:spacing w:line="360" w:lineRule="auto"/>
        <w:ind w:firstLineChars="200" w:firstLine="480"/>
        <w:rPr>
          <w:rFonts w:ascii="Times New Roman" w:hAnsi="Times New Roman" w:cs="Times New Roman"/>
          <w:bCs/>
          <w:sz w:val="24"/>
          <w:szCs w:val="20"/>
        </w:rPr>
      </w:pPr>
      <w:r>
        <w:rPr>
          <w:rFonts w:ascii="Times New Roman" w:hAnsi="Times New Roman" w:cs="Times New Roman" w:hint="eastAsia"/>
          <w:bCs/>
          <w:sz w:val="24"/>
          <w:szCs w:val="20"/>
        </w:rPr>
        <w:t>根据《中华人民共和国证券投资基金法》、《公开募集证券投资基金信息披露管理办法》、《公开募集证券投资基金侧袋机制指引（试行）》（以下简称“《侧袋机制指引》”）等法律法规规定及各基金基金合同的约定，经与各基金托管人协商一致，并报中国证券监督管理委员会备案，</w:t>
      </w:r>
      <w:r>
        <w:rPr>
          <w:rFonts w:ascii="Times New Roman" w:hAnsi="Times New Roman" w:cs="Times New Roman" w:hint="eastAsia"/>
          <w:bCs/>
          <w:sz w:val="24"/>
          <w:szCs w:val="20"/>
        </w:rPr>
        <w:t>国寿安保</w:t>
      </w:r>
      <w:r>
        <w:rPr>
          <w:rFonts w:ascii="Times New Roman" w:hAnsi="Times New Roman" w:cs="Times New Roman" w:hint="eastAsia"/>
          <w:bCs/>
          <w:sz w:val="24"/>
          <w:szCs w:val="20"/>
        </w:rPr>
        <w:t>基金管理有限公司（以下简称“本公司”）</w:t>
      </w:r>
      <w:r>
        <w:rPr>
          <w:rFonts w:ascii="Times New Roman" w:hAnsi="Times New Roman" w:cs="Times New Roman" w:hint="eastAsia"/>
          <w:bCs/>
          <w:sz w:val="24"/>
          <w:szCs w:val="20"/>
        </w:rPr>
        <w:t xml:space="preserve"> </w:t>
      </w:r>
      <w:r>
        <w:rPr>
          <w:rFonts w:ascii="Times New Roman" w:hAnsi="Times New Roman" w:cs="Times New Roman" w:hint="eastAsia"/>
          <w:bCs/>
          <w:sz w:val="24"/>
          <w:szCs w:val="20"/>
        </w:rPr>
        <w:t>旗下部分公募基金就引入侧袋机制事宜修订基金合同、托管协议等法律文件。本次修订将自</w:t>
      </w:r>
      <w:r>
        <w:rPr>
          <w:rFonts w:ascii="Times New Roman" w:hAnsi="Times New Roman" w:cs="Times New Roman" w:hint="eastAsia"/>
          <w:bCs/>
          <w:sz w:val="24"/>
          <w:szCs w:val="20"/>
        </w:rPr>
        <w:t>2021</w:t>
      </w:r>
      <w:r>
        <w:rPr>
          <w:rFonts w:ascii="Times New Roman" w:hAnsi="Times New Roman" w:cs="Times New Roman" w:hint="eastAsia"/>
          <w:bCs/>
          <w:sz w:val="24"/>
          <w:szCs w:val="20"/>
        </w:rPr>
        <w:t>年</w:t>
      </w:r>
      <w:r>
        <w:rPr>
          <w:rFonts w:ascii="Times New Roman" w:hAnsi="Times New Roman" w:cs="Times New Roman" w:hint="eastAsia"/>
          <w:bCs/>
          <w:sz w:val="24"/>
          <w:szCs w:val="20"/>
        </w:rPr>
        <w:t>7</w:t>
      </w:r>
      <w:r>
        <w:rPr>
          <w:rFonts w:ascii="Times New Roman" w:hAnsi="Times New Roman" w:cs="Times New Roman" w:hint="eastAsia"/>
          <w:bCs/>
          <w:sz w:val="24"/>
          <w:szCs w:val="20"/>
        </w:rPr>
        <w:t>月</w:t>
      </w:r>
      <w:r>
        <w:rPr>
          <w:rFonts w:ascii="Times New Roman" w:hAnsi="Times New Roman" w:cs="Times New Roman" w:hint="eastAsia"/>
          <w:bCs/>
          <w:sz w:val="24"/>
          <w:szCs w:val="20"/>
        </w:rPr>
        <w:t>31</w:t>
      </w:r>
      <w:r>
        <w:rPr>
          <w:rFonts w:ascii="Times New Roman" w:hAnsi="Times New Roman" w:cs="Times New Roman" w:hint="eastAsia"/>
          <w:bCs/>
          <w:sz w:val="24"/>
          <w:szCs w:val="20"/>
        </w:rPr>
        <w:t>日起正式生效。现将基金合同、托管协议修订情况公告如下：</w:t>
      </w:r>
    </w:p>
    <w:p w:rsidR="002F61A4" w:rsidRDefault="00F065AB">
      <w:pPr>
        <w:numPr>
          <w:ilvl w:val="0"/>
          <w:numId w:val="1"/>
        </w:numPr>
        <w:autoSpaceDE w:val="0"/>
        <w:autoSpaceDN w:val="0"/>
        <w:adjustRightInd w:val="0"/>
        <w:snapToGrid w:val="0"/>
        <w:spacing w:line="360" w:lineRule="auto"/>
        <w:ind w:firstLineChars="200" w:firstLine="480"/>
        <w:rPr>
          <w:rFonts w:ascii="Times New Roman" w:hAnsi="Times New Roman" w:cs="Times New Roman"/>
          <w:bCs/>
          <w:sz w:val="24"/>
          <w:szCs w:val="20"/>
        </w:rPr>
      </w:pPr>
      <w:r>
        <w:rPr>
          <w:rFonts w:ascii="Times New Roman" w:hAnsi="Times New Roman" w:cs="Times New Roman" w:hint="eastAsia"/>
          <w:bCs/>
          <w:sz w:val="24"/>
          <w:szCs w:val="20"/>
        </w:rPr>
        <w:t>修订基金范围</w:t>
      </w:r>
    </w:p>
    <w:p w:rsidR="002F61A4" w:rsidRDefault="00F065AB">
      <w:pPr>
        <w:autoSpaceDE w:val="0"/>
        <w:autoSpaceDN w:val="0"/>
        <w:adjustRightInd w:val="0"/>
        <w:snapToGrid w:val="0"/>
        <w:spacing w:line="360" w:lineRule="auto"/>
        <w:rPr>
          <w:rFonts w:ascii="Times New Roman" w:hAnsi="Times New Roman" w:cs="Times New Roman"/>
          <w:bCs/>
          <w:sz w:val="24"/>
          <w:szCs w:val="20"/>
        </w:rPr>
      </w:pPr>
      <w:r>
        <w:rPr>
          <w:rFonts w:ascii="Times New Roman" w:hAnsi="Times New Roman" w:cs="Times New Roman" w:hint="eastAsia"/>
          <w:bCs/>
          <w:sz w:val="24"/>
          <w:szCs w:val="20"/>
        </w:rPr>
        <w:t xml:space="preserve">   </w:t>
      </w:r>
      <w:r>
        <w:rPr>
          <w:rFonts w:ascii="Times New Roman" w:hAnsi="Times New Roman" w:cs="Times New Roman" w:hint="eastAsia"/>
          <w:bCs/>
          <w:sz w:val="24"/>
          <w:szCs w:val="20"/>
        </w:rPr>
        <w:t>本次修订涉及本公司旗下</w:t>
      </w:r>
      <w:r>
        <w:rPr>
          <w:rFonts w:ascii="Times New Roman" w:hAnsi="Times New Roman" w:cs="Times New Roman" w:hint="eastAsia"/>
          <w:bCs/>
          <w:sz w:val="24"/>
          <w:szCs w:val="20"/>
        </w:rPr>
        <w:t>26</w:t>
      </w:r>
      <w:r>
        <w:rPr>
          <w:rFonts w:ascii="Times New Roman" w:hAnsi="Times New Roman" w:cs="Times New Roman" w:hint="eastAsia"/>
          <w:bCs/>
          <w:sz w:val="24"/>
          <w:szCs w:val="20"/>
        </w:rPr>
        <w:t>只公募基金，详细名单见下表。</w:t>
      </w:r>
    </w:p>
    <w:tbl>
      <w:tblPr>
        <w:tblStyle w:val="a8"/>
        <w:tblW w:w="0" w:type="auto"/>
        <w:tblLook w:val="04A0"/>
      </w:tblPr>
      <w:tblGrid>
        <w:gridCol w:w="1203"/>
        <w:gridCol w:w="6937"/>
      </w:tblGrid>
      <w:tr w:rsidR="002F61A4">
        <w:tc>
          <w:tcPr>
            <w:tcW w:w="1203"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序号</w:t>
            </w:r>
          </w:p>
        </w:tc>
        <w:tc>
          <w:tcPr>
            <w:tcW w:w="6937"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基金名称</w:t>
            </w:r>
          </w:p>
        </w:tc>
      </w:tr>
      <w:tr w:rsidR="002F61A4">
        <w:tc>
          <w:tcPr>
            <w:tcW w:w="1203"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6937"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国寿安保中债</w:t>
            </w:r>
            <w:r>
              <w:rPr>
                <w:rFonts w:asciiTheme="minorEastAsia" w:hAnsiTheme="minorEastAsia" w:cstheme="minorEastAsia" w:hint="eastAsia"/>
                <w:sz w:val="24"/>
                <w:szCs w:val="24"/>
              </w:rPr>
              <w:t>1-3</w:t>
            </w:r>
            <w:r>
              <w:rPr>
                <w:rFonts w:asciiTheme="minorEastAsia" w:hAnsiTheme="minorEastAsia" w:cstheme="minorEastAsia" w:hint="eastAsia"/>
                <w:sz w:val="24"/>
                <w:szCs w:val="24"/>
              </w:rPr>
              <w:t>年国开行债券指数型证券投资基金</w:t>
            </w:r>
          </w:p>
        </w:tc>
      </w:tr>
      <w:tr w:rsidR="002F61A4">
        <w:tc>
          <w:tcPr>
            <w:tcW w:w="1203"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6937"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国寿安保尊盛双债债券型证券投资基金</w:t>
            </w:r>
          </w:p>
        </w:tc>
      </w:tr>
      <w:tr w:rsidR="002F61A4">
        <w:tc>
          <w:tcPr>
            <w:tcW w:w="1203"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6937"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国寿安保安丰纯债债券型证券投资基金</w:t>
            </w:r>
          </w:p>
        </w:tc>
      </w:tr>
      <w:tr w:rsidR="002F61A4">
        <w:tc>
          <w:tcPr>
            <w:tcW w:w="1203"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4</w:t>
            </w:r>
          </w:p>
        </w:tc>
        <w:tc>
          <w:tcPr>
            <w:tcW w:w="6937"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国寿安保安吉纯债半年定期开放债券型发起式证券投资基金</w:t>
            </w:r>
          </w:p>
        </w:tc>
      </w:tr>
      <w:tr w:rsidR="002F61A4">
        <w:tc>
          <w:tcPr>
            <w:tcW w:w="1203"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6937"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国寿安保安康纯债债券型证券投资基金</w:t>
            </w:r>
          </w:p>
        </w:tc>
      </w:tr>
      <w:tr w:rsidR="002F61A4">
        <w:tc>
          <w:tcPr>
            <w:tcW w:w="1203"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6937"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国寿安保安瑞纯债债券型证券投资基金</w:t>
            </w:r>
          </w:p>
        </w:tc>
      </w:tr>
      <w:tr w:rsidR="002F61A4">
        <w:tc>
          <w:tcPr>
            <w:tcW w:w="1203"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7</w:t>
            </w:r>
          </w:p>
        </w:tc>
        <w:tc>
          <w:tcPr>
            <w:tcW w:w="6937"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国寿安保安盛纯债</w:t>
            </w:r>
            <w:r>
              <w:rPr>
                <w:rFonts w:asciiTheme="minorEastAsia" w:hAnsiTheme="minorEastAsia" w:cstheme="minorEastAsia" w:hint="eastAsia"/>
                <w:sz w:val="24"/>
                <w:szCs w:val="24"/>
              </w:rPr>
              <w:t>3</w:t>
            </w:r>
            <w:r>
              <w:rPr>
                <w:rFonts w:asciiTheme="minorEastAsia" w:hAnsiTheme="minorEastAsia" w:cstheme="minorEastAsia" w:hint="eastAsia"/>
                <w:sz w:val="24"/>
                <w:szCs w:val="24"/>
              </w:rPr>
              <w:t>个月定期开放债券型发起式证券投资基金</w:t>
            </w:r>
          </w:p>
        </w:tc>
      </w:tr>
      <w:tr w:rsidR="002F61A4">
        <w:tc>
          <w:tcPr>
            <w:tcW w:w="1203"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8</w:t>
            </w:r>
          </w:p>
        </w:tc>
        <w:tc>
          <w:tcPr>
            <w:tcW w:w="6937"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国寿安保安享纯债债券型证券投资基金</w:t>
            </w:r>
          </w:p>
        </w:tc>
      </w:tr>
      <w:tr w:rsidR="002F61A4">
        <w:tc>
          <w:tcPr>
            <w:tcW w:w="1203"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9</w:t>
            </w:r>
          </w:p>
        </w:tc>
        <w:tc>
          <w:tcPr>
            <w:tcW w:w="6937"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国寿安保安裕纯债半年定期开放债券型发起式证券投资基金</w:t>
            </w:r>
          </w:p>
        </w:tc>
      </w:tr>
      <w:tr w:rsidR="002F61A4">
        <w:tc>
          <w:tcPr>
            <w:tcW w:w="1203"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10</w:t>
            </w:r>
          </w:p>
        </w:tc>
        <w:tc>
          <w:tcPr>
            <w:tcW w:w="6937"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国寿安保安泽纯债</w:t>
            </w:r>
            <w:r>
              <w:rPr>
                <w:rFonts w:asciiTheme="minorEastAsia" w:hAnsiTheme="minorEastAsia" w:cstheme="minorEastAsia" w:hint="eastAsia"/>
                <w:sz w:val="24"/>
                <w:szCs w:val="24"/>
              </w:rPr>
              <w:t>39</w:t>
            </w:r>
            <w:r>
              <w:rPr>
                <w:rFonts w:asciiTheme="minorEastAsia" w:hAnsiTheme="minorEastAsia" w:cstheme="minorEastAsia" w:hint="eastAsia"/>
                <w:sz w:val="24"/>
                <w:szCs w:val="24"/>
              </w:rPr>
              <w:t>个月定期开放债券型证券投资基金</w:t>
            </w:r>
          </w:p>
        </w:tc>
      </w:tr>
      <w:tr w:rsidR="002F61A4">
        <w:tc>
          <w:tcPr>
            <w:tcW w:w="1203"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11</w:t>
            </w:r>
          </w:p>
        </w:tc>
        <w:tc>
          <w:tcPr>
            <w:tcW w:w="6937"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国寿安保瑞和纯债</w:t>
            </w:r>
            <w:r>
              <w:rPr>
                <w:rFonts w:asciiTheme="minorEastAsia" w:hAnsiTheme="minorEastAsia" w:cstheme="minorEastAsia" w:hint="eastAsia"/>
                <w:sz w:val="24"/>
                <w:szCs w:val="24"/>
              </w:rPr>
              <w:t>66</w:t>
            </w:r>
            <w:r>
              <w:rPr>
                <w:rFonts w:asciiTheme="minorEastAsia" w:hAnsiTheme="minorEastAsia" w:cstheme="minorEastAsia" w:hint="eastAsia"/>
                <w:sz w:val="24"/>
                <w:szCs w:val="24"/>
              </w:rPr>
              <w:t>个月定期开放债券型证券投资基金</w:t>
            </w:r>
          </w:p>
        </w:tc>
      </w:tr>
      <w:tr w:rsidR="002F61A4">
        <w:tc>
          <w:tcPr>
            <w:tcW w:w="1203"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12</w:t>
            </w:r>
          </w:p>
        </w:tc>
        <w:tc>
          <w:tcPr>
            <w:tcW w:w="6937"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国寿安保泰和纯债债券型证券投资基金</w:t>
            </w:r>
          </w:p>
        </w:tc>
      </w:tr>
      <w:tr w:rsidR="002F61A4">
        <w:tc>
          <w:tcPr>
            <w:tcW w:w="1203"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13</w:t>
            </w:r>
          </w:p>
        </w:tc>
        <w:tc>
          <w:tcPr>
            <w:tcW w:w="6937"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国寿安保泰恒纯债债券型证券投资基金</w:t>
            </w:r>
          </w:p>
        </w:tc>
      </w:tr>
      <w:tr w:rsidR="002F61A4">
        <w:tc>
          <w:tcPr>
            <w:tcW w:w="1203"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14</w:t>
            </w:r>
          </w:p>
        </w:tc>
        <w:tc>
          <w:tcPr>
            <w:tcW w:w="6937"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国寿安保泰弘纯债债券型证券投资基金</w:t>
            </w:r>
          </w:p>
        </w:tc>
      </w:tr>
      <w:tr w:rsidR="002F61A4">
        <w:tc>
          <w:tcPr>
            <w:tcW w:w="1203"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15</w:t>
            </w:r>
          </w:p>
        </w:tc>
        <w:tc>
          <w:tcPr>
            <w:tcW w:w="6937"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国寿安保泰吉纯债一年定期开放债券型发起式证券投资基金</w:t>
            </w:r>
          </w:p>
        </w:tc>
      </w:tr>
      <w:tr w:rsidR="002F61A4">
        <w:tc>
          <w:tcPr>
            <w:tcW w:w="1203"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16</w:t>
            </w:r>
          </w:p>
        </w:tc>
        <w:tc>
          <w:tcPr>
            <w:tcW w:w="6937"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国寿安保泰荣纯债债券型证券投资基金</w:t>
            </w:r>
          </w:p>
        </w:tc>
      </w:tr>
      <w:tr w:rsidR="002F61A4">
        <w:tc>
          <w:tcPr>
            <w:tcW w:w="1203"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17</w:t>
            </w:r>
          </w:p>
        </w:tc>
        <w:tc>
          <w:tcPr>
            <w:tcW w:w="6937"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国寿安保泰瑞纯债一年定期开放债券型发起式证券投资基金</w:t>
            </w:r>
          </w:p>
        </w:tc>
      </w:tr>
      <w:tr w:rsidR="002F61A4">
        <w:tc>
          <w:tcPr>
            <w:tcW w:w="1203"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18</w:t>
            </w:r>
          </w:p>
        </w:tc>
        <w:tc>
          <w:tcPr>
            <w:tcW w:w="6937"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国寿安保泰祥纯债一年定期开放债券型发起式证券投资基金</w:t>
            </w:r>
          </w:p>
        </w:tc>
      </w:tr>
      <w:tr w:rsidR="002F61A4">
        <w:tc>
          <w:tcPr>
            <w:tcW w:w="1203"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19</w:t>
            </w:r>
          </w:p>
        </w:tc>
        <w:tc>
          <w:tcPr>
            <w:tcW w:w="6937"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国寿安保尊诚纯债债券型证券投资基金</w:t>
            </w:r>
          </w:p>
        </w:tc>
      </w:tr>
      <w:tr w:rsidR="002F61A4">
        <w:tc>
          <w:tcPr>
            <w:tcW w:w="1203"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20</w:t>
            </w:r>
          </w:p>
        </w:tc>
        <w:tc>
          <w:tcPr>
            <w:tcW w:w="6937"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国寿安保尊恒利率债债券型证券投资基金</w:t>
            </w:r>
          </w:p>
        </w:tc>
      </w:tr>
      <w:tr w:rsidR="002F61A4">
        <w:tc>
          <w:tcPr>
            <w:tcW w:w="1203"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21</w:t>
            </w:r>
          </w:p>
        </w:tc>
        <w:tc>
          <w:tcPr>
            <w:tcW w:w="6937"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国寿安保尊利增强回报债券型证券投资基金</w:t>
            </w:r>
          </w:p>
        </w:tc>
      </w:tr>
      <w:tr w:rsidR="002F61A4">
        <w:tc>
          <w:tcPr>
            <w:tcW w:w="1203"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22</w:t>
            </w:r>
          </w:p>
        </w:tc>
        <w:tc>
          <w:tcPr>
            <w:tcW w:w="6937"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国寿安保尊荣中短债债券型证券投资基金</w:t>
            </w:r>
          </w:p>
        </w:tc>
      </w:tr>
      <w:tr w:rsidR="002F61A4">
        <w:tc>
          <w:tcPr>
            <w:tcW w:w="1203"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23</w:t>
            </w:r>
          </w:p>
        </w:tc>
        <w:tc>
          <w:tcPr>
            <w:tcW w:w="6937"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国寿安保尊享债券型证券投资基金</w:t>
            </w:r>
          </w:p>
        </w:tc>
      </w:tr>
      <w:tr w:rsidR="002F61A4">
        <w:tc>
          <w:tcPr>
            <w:tcW w:w="1203"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24</w:t>
            </w:r>
          </w:p>
        </w:tc>
        <w:tc>
          <w:tcPr>
            <w:tcW w:w="6937"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国寿安保尊耀纯债债券型证券投资基金</w:t>
            </w:r>
          </w:p>
        </w:tc>
      </w:tr>
      <w:tr w:rsidR="002F61A4">
        <w:tc>
          <w:tcPr>
            <w:tcW w:w="1203"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25</w:t>
            </w:r>
          </w:p>
        </w:tc>
        <w:tc>
          <w:tcPr>
            <w:tcW w:w="6937"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国寿安保尊益信用纯债债券型证券投资基金</w:t>
            </w:r>
          </w:p>
        </w:tc>
      </w:tr>
      <w:tr w:rsidR="002F61A4">
        <w:tc>
          <w:tcPr>
            <w:tcW w:w="1203"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26</w:t>
            </w:r>
          </w:p>
        </w:tc>
        <w:tc>
          <w:tcPr>
            <w:tcW w:w="6937" w:type="dxa"/>
            <w:vAlign w:val="center"/>
          </w:tcPr>
          <w:p w:rsidR="002F61A4" w:rsidRDefault="00F065AB">
            <w:pPr>
              <w:adjustRightInd w:val="0"/>
              <w:snapToGri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国寿安保尊裕优化回报债券型证券投资基金</w:t>
            </w:r>
          </w:p>
        </w:tc>
      </w:tr>
    </w:tbl>
    <w:p w:rsidR="002F61A4" w:rsidRDefault="002F61A4">
      <w:pPr>
        <w:autoSpaceDE w:val="0"/>
        <w:autoSpaceDN w:val="0"/>
        <w:adjustRightInd w:val="0"/>
        <w:snapToGrid w:val="0"/>
        <w:spacing w:line="360" w:lineRule="auto"/>
        <w:rPr>
          <w:rFonts w:ascii="Times New Roman" w:hAnsi="Times New Roman" w:cs="Times New Roman"/>
          <w:bCs/>
          <w:sz w:val="24"/>
          <w:szCs w:val="20"/>
        </w:rPr>
      </w:pPr>
    </w:p>
    <w:p w:rsidR="002F61A4" w:rsidRDefault="00F065AB">
      <w:pPr>
        <w:numPr>
          <w:ilvl w:val="0"/>
          <w:numId w:val="1"/>
        </w:numPr>
        <w:autoSpaceDE w:val="0"/>
        <w:autoSpaceDN w:val="0"/>
        <w:adjustRightInd w:val="0"/>
        <w:snapToGrid w:val="0"/>
        <w:spacing w:line="360" w:lineRule="auto"/>
        <w:ind w:firstLineChars="200" w:firstLine="480"/>
        <w:rPr>
          <w:rFonts w:ascii="Times New Roman" w:hAnsi="Times New Roman" w:cs="Times New Roman"/>
          <w:bCs/>
          <w:sz w:val="24"/>
          <w:szCs w:val="20"/>
        </w:rPr>
      </w:pPr>
      <w:r>
        <w:rPr>
          <w:rFonts w:ascii="Times New Roman" w:hAnsi="Times New Roman" w:cs="Times New Roman" w:hint="eastAsia"/>
          <w:bCs/>
          <w:sz w:val="24"/>
          <w:szCs w:val="20"/>
        </w:rPr>
        <w:t>基金合同</w:t>
      </w:r>
      <w:r>
        <w:rPr>
          <w:rFonts w:ascii="Times New Roman" w:hAnsi="Times New Roman" w:cs="Times New Roman" w:hint="eastAsia"/>
          <w:bCs/>
          <w:sz w:val="24"/>
          <w:szCs w:val="20"/>
        </w:rPr>
        <w:t>修订</w:t>
      </w:r>
      <w:r>
        <w:rPr>
          <w:rFonts w:ascii="Times New Roman" w:hAnsi="Times New Roman" w:cs="Times New Roman" w:hint="eastAsia"/>
          <w:bCs/>
          <w:sz w:val="24"/>
          <w:szCs w:val="20"/>
        </w:rPr>
        <w:t>主要内容</w:t>
      </w:r>
    </w:p>
    <w:p w:rsidR="002F61A4" w:rsidRDefault="00F065AB">
      <w:pPr>
        <w:autoSpaceDE w:val="0"/>
        <w:autoSpaceDN w:val="0"/>
        <w:adjustRightInd w:val="0"/>
        <w:snapToGrid w:val="0"/>
        <w:spacing w:line="360" w:lineRule="auto"/>
        <w:ind w:firstLineChars="200" w:firstLine="480"/>
        <w:rPr>
          <w:rFonts w:ascii="Times New Roman" w:hAnsi="Times New Roman" w:cs="Times New Roman"/>
          <w:bCs/>
          <w:sz w:val="24"/>
          <w:szCs w:val="20"/>
        </w:rPr>
      </w:pPr>
      <w:r>
        <w:rPr>
          <w:rFonts w:ascii="Times New Roman" w:hAnsi="Times New Roman" w:cs="Times New Roman"/>
          <w:bCs/>
          <w:sz w:val="24"/>
          <w:szCs w:val="20"/>
        </w:rPr>
        <w:t>本次修订系根据《公开募集证券投资基金侧袋机制指引（试行）》的相关规定增加侧袋机制，主要包括侧袋机制实施条件、实施程序和特定资产范围、侧袋账户运作安排、主袋账户的投资安排、实施侧袋机制期间基金份额持有人大会表决权、实施侧袋机制期间的基金资产估值、实施侧袋机制期间的基金费用、实施侧袋机制期间的收益分配、侧袋机制信息披露等安排。</w:t>
      </w:r>
    </w:p>
    <w:p w:rsidR="002F61A4" w:rsidRDefault="00F065AB">
      <w:pPr>
        <w:autoSpaceDE w:val="0"/>
        <w:autoSpaceDN w:val="0"/>
        <w:adjustRightInd w:val="0"/>
        <w:snapToGrid w:val="0"/>
        <w:spacing w:line="360" w:lineRule="auto"/>
        <w:ind w:firstLineChars="200" w:firstLine="480"/>
        <w:rPr>
          <w:rFonts w:ascii="Times New Roman" w:hAnsi="Times New Roman" w:cs="Times New Roman"/>
          <w:bCs/>
          <w:sz w:val="24"/>
          <w:szCs w:val="20"/>
        </w:rPr>
      </w:pPr>
      <w:r>
        <w:rPr>
          <w:rFonts w:ascii="Times New Roman" w:hAnsi="Times New Roman" w:cs="Times New Roman"/>
          <w:bCs/>
          <w:sz w:val="24"/>
          <w:szCs w:val="20"/>
        </w:rPr>
        <w:t>基金合同修改对照表：以国寿安保中债</w:t>
      </w:r>
      <w:r>
        <w:rPr>
          <w:rFonts w:ascii="Times New Roman" w:hAnsi="Times New Roman" w:cs="Times New Roman"/>
          <w:bCs/>
          <w:sz w:val="24"/>
          <w:szCs w:val="20"/>
        </w:rPr>
        <w:t>1-3</w:t>
      </w:r>
      <w:r>
        <w:rPr>
          <w:rFonts w:ascii="Times New Roman" w:hAnsi="Times New Roman" w:cs="Times New Roman"/>
          <w:bCs/>
          <w:sz w:val="24"/>
          <w:szCs w:val="20"/>
        </w:rPr>
        <w:t>年国开行债券指数型证券投资基金基金合同为例</w:t>
      </w:r>
    </w:p>
    <w:p w:rsidR="002F61A4" w:rsidRDefault="002F61A4">
      <w:pPr>
        <w:pStyle w:val="Default"/>
        <w:snapToGrid w:val="0"/>
        <w:spacing w:line="360" w:lineRule="auto"/>
        <w:ind w:firstLineChars="200" w:firstLine="480"/>
        <w:jc w:val="both"/>
        <w:rPr>
          <w:rFonts w:ascii="Times New Roman" w:eastAsiaTheme="minorEastAsia" w:hAnsi="Times New Roman" w:cs="Times New Roman"/>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981"/>
        <w:gridCol w:w="5355"/>
      </w:tblGrid>
      <w:tr w:rsidR="002F61A4">
        <w:tc>
          <w:tcPr>
            <w:tcW w:w="4977" w:type="dxa"/>
            <w:tcBorders>
              <w:top w:val="single" w:sz="6" w:space="0" w:color="000000"/>
              <w:left w:val="single" w:sz="6" w:space="0" w:color="000000"/>
              <w:bottom w:val="single" w:sz="6" w:space="0" w:color="000000"/>
              <w:right w:val="single" w:sz="6" w:space="0" w:color="000000"/>
            </w:tcBorders>
            <w:shd w:val="clear" w:color="auto" w:fill="E0E0E0"/>
            <w:vAlign w:val="center"/>
          </w:tcPr>
          <w:p w:rsidR="002F61A4" w:rsidRDefault="00F065AB">
            <w:pPr>
              <w:jc w:val="center"/>
              <w:rPr>
                <w:rFonts w:ascii="Courier" w:hAnsi="Courier"/>
                <w:b/>
                <w:bCs/>
              </w:rPr>
            </w:pPr>
            <w:r>
              <w:rPr>
                <w:rFonts w:ascii="Courier" w:hAnsi="Courier" w:hint="eastAsia"/>
                <w:b/>
                <w:bCs/>
              </w:rPr>
              <w:t>《基金合同》修订前</w:t>
            </w:r>
          </w:p>
        </w:tc>
        <w:tc>
          <w:tcPr>
            <w:tcW w:w="9011" w:type="dxa"/>
            <w:tcBorders>
              <w:top w:val="single" w:sz="6" w:space="0" w:color="000000"/>
              <w:left w:val="single" w:sz="6" w:space="0" w:color="000000"/>
              <w:bottom w:val="single" w:sz="6" w:space="0" w:color="000000"/>
              <w:right w:val="single" w:sz="4" w:space="0" w:color="auto"/>
            </w:tcBorders>
            <w:shd w:val="clear" w:color="auto" w:fill="E0E0E0"/>
            <w:vAlign w:val="center"/>
          </w:tcPr>
          <w:p w:rsidR="002F61A4" w:rsidRDefault="00F065AB">
            <w:pPr>
              <w:jc w:val="center"/>
              <w:rPr>
                <w:rFonts w:ascii="Courier" w:hAnsi="Courier"/>
                <w:b/>
                <w:bCs/>
              </w:rPr>
            </w:pPr>
            <w:r>
              <w:rPr>
                <w:rFonts w:ascii="Courier" w:hAnsi="Courier" w:hint="eastAsia"/>
                <w:b/>
                <w:bCs/>
              </w:rPr>
              <w:t>《</w:t>
            </w:r>
            <w:r>
              <w:rPr>
                <w:rFonts w:ascii="Courier" w:hAnsi="Courier"/>
                <w:b/>
                <w:bCs/>
              </w:rPr>
              <w:t>基金合同</w:t>
            </w:r>
            <w:r>
              <w:rPr>
                <w:rFonts w:ascii="Courier" w:hAnsi="Courier" w:hint="eastAsia"/>
                <w:b/>
                <w:bCs/>
              </w:rPr>
              <w:t>》修订</w:t>
            </w:r>
            <w:r>
              <w:rPr>
                <w:rFonts w:ascii="Courier" w:hAnsi="Courier"/>
                <w:b/>
                <w:bCs/>
              </w:rPr>
              <w:t>后</w:t>
            </w:r>
          </w:p>
        </w:tc>
      </w:tr>
      <w:tr w:rsidR="002F61A4">
        <w:tc>
          <w:tcPr>
            <w:tcW w:w="0" w:type="auto"/>
            <w:gridSpan w:val="2"/>
            <w:tcBorders>
              <w:top w:val="single" w:sz="6" w:space="0" w:color="000000"/>
              <w:left w:val="single" w:sz="6" w:space="0" w:color="000000"/>
              <w:bottom w:val="single" w:sz="6" w:space="0" w:color="000000"/>
              <w:right w:val="single" w:sz="4" w:space="0" w:color="auto"/>
            </w:tcBorders>
            <w:vAlign w:val="center"/>
          </w:tcPr>
          <w:p w:rsidR="002F61A4" w:rsidRDefault="00F065AB">
            <w:pPr>
              <w:jc w:val="center"/>
              <w:rPr>
                <w:rStyle w:val="diffadd1"/>
                <w:rFonts w:ascii="Courier" w:hAnsi="Courier"/>
              </w:rPr>
            </w:pPr>
            <w:r>
              <w:rPr>
                <w:rFonts w:ascii="Courier" w:hAnsi="Courier"/>
                <w:b/>
                <w:bCs/>
              </w:rPr>
              <w:t>第二部分</w:t>
            </w:r>
            <w:r>
              <w:rPr>
                <w:rFonts w:ascii="Courier" w:hAnsi="Courier"/>
                <w:b/>
                <w:bCs/>
              </w:rPr>
              <w:t xml:space="preserve"> </w:t>
            </w:r>
            <w:r>
              <w:rPr>
                <w:rFonts w:ascii="Courier" w:hAnsi="Courier"/>
                <w:b/>
                <w:bCs/>
              </w:rPr>
              <w:t>释义</w:t>
            </w:r>
          </w:p>
        </w:tc>
      </w:tr>
      <w:tr w:rsidR="002F61A4">
        <w:tc>
          <w:tcPr>
            <w:tcW w:w="4977" w:type="dxa"/>
            <w:tcBorders>
              <w:top w:val="single" w:sz="6" w:space="0" w:color="000000"/>
              <w:left w:val="single" w:sz="6" w:space="0" w:color="000000"/>
              <w:bottom w:val="single" w:sz="6" w:space="0" w:color="000000"/>
              <w:right w:val="single" w:sz="6" w:space="0" w:color="000000"/>
            </w:tcBorders>
            <w:vAlign w:val="center"/>
          </w:tcPr>
          <w:p w:rsidR="002F61A4" w:rsidRDefault="002F61A4">
            <w:pPr>
              <w:rPr>
                <w:rFonts w:ascii="Courier" w:hAnsi="Courier"/>
              </w:rPr>
            </w:pPr>
          </w:p>
        </w:tc>
        <w:tc>
          <w:tcPr>
            <w:tcW w:w="9011" w:type="dxa"/>
            <w:tcBorders>
              <w:top w:val="single" w:sz="6" w:space="0" w:color="000000"/>
              <w:left w:val="single" w:sz="6" w:space="0" w:color="000000"/>
              <w:bottom w:val="single" w:sz="6" w:space="0" w:color="000000"/>
              <w:right w:val="single" w:sz="4" w:space="0" w:color="auto"/>
            </w:tcBorders>
            <w:vAlign w:val="center"/>
          </w:tcPr>
          <w:p w:rsidR="002F61A4" w:rsidRDefault="00F065AB">
            <w:pPr>
              <w:rPr>
                <w:rStyle w:val="diffadd1"/>
                <w:rFonts w:ascii="Courier" w:hAnsi="Courier"/>
              </w:rPr>
            </w:pPr>
            <w:r>
              <w:rPr>
                <w:rStyle w:val="diffadd1"/>
                <w:rFonts w:ascii="Courier" w:hAnsi="Courier" w:hint="eastAsia"/>
              </w:rPr>
              <w:t>新增</w:t>
            </w:r>
            <w:r>
              <w:rPr>
                <w:rStyle w:val="diffadd1"/>
                <w:rFonts w:ascii="Courier" w:hAnsi="Courier"/>
              </w:rPr>
              <w:t>：</w:t>
            </w:r>
          </w:p>
          <w:p w:rsidR="002F61A4" w:rsidRDefault="00F065AB">
            <w:pPr>
              <w:rPr>
                <w:rStyle w:val="diffadd1"/>
                <w:rFonts w:ascii="Courier" w:hAnsi="Courier"/>
              </w:rPr>
            </w:pPr>
            <w:r>
              <w:rPr>
                <w:rStyle w:val="diffadd1"/>
                <w:rFonts w:ascii="Courier" w:hAnsi="Courier" w:hint="eastAsia"/>
              </w:rPr>
              <w:t>59</w:t>
            </w:r>
            <w:r>
              <w:rPr>
                <w:rStyle w:val="diffadd1"/>
                <w:rFonts w:ascii="Courier" w:hAnsi="Courier"/>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2F61A4" w:rsidRDefault="00F065AB">
            <w:pPr>
              <w:rPr>
                <w:rFonts w:ascii="Courier" w:hAnsi="Courier"/>
              </w:rPr>
            </w:pPr>
            <w:r>
              <w:rPr>
                <w:rStyle w:val="diffadd1"/>
                <w:rFonts w:ascii="Courier" w:hAnsi="Courier"/>
              </w:rPr>
              <w:t>6</w:t>
            </w:r>
            <w:r>
              <w:rPr>
                <w:rStyle w:val="diffadd1"/>
                <w:rFonts w:ascii="Courier" w:hAnsi="Courier" w:hint="eastAsia"/>
              </w:rPr>
              <w:t>0</w:t>
            </w:r>
            <w:r>
              <w:rPr>
                <w:rStyle w:val="diffadd1"/>
                <w:rFonts w:ascii="Courier" w:hAnsi="Courier"/>
              </w:rPr>
              <w:t>、特定资产：包括：（一）无可参考的活跃市场价格且采用估值技术仍导致公允价值存在重大不确定性的资产；（二）按摊余成本计量且计提资产减值准备仍导致资产价</w:t>
            </w:r>
            <w:r>
              <w:rPr>
                <w:rStyle w:val="diffadd1"/>
                <w:rFonts w:ascii="Courier" w:hAnsi="Courier"/>
              </w:rPr>
              <w:lastRenderedPageBreak/>
              <w:t>值存在重大不确定性的资产；（三）其他资产价值存在重大不确定性的资产</w:t>
            </w:r>
          </w:p>
        </w:tc>
      </w:tr>
      <w:tr w:rsidR="002F61A4">
        <w:tc>
          <w:tcPr>
            <w:tcW w:w="0" w:type="auto"/>
            <w:gridSpan w:val="2"/>
            <w:tcBorders>
              <w:top w:val="single" w:sz="6" w:space="0" w:color="000000"/>
              <w:left w:val="single" w:sz="6" w:space="0" w:color="000000"/>
              <w:right w:val="single" w:sz="4" w:space="0" w:color="auto"/>
            </w:tcBorders>
            <w:vAlign w:val="center"/>
          </w:tcPr>
          <w:p w:rsidR="002F61A4" w:rsidRDefault="00F065AB">
            <w:pPr>
              <w:jc w:val="center"/>
              <w:rPr>
                <w:rStyle w:val="diffadd1"/>
              </w:rPr>
            </w:pPr>
            <w:r>
              <w:rPr>
                <w:rFonts w:ascii="Courier" w:hAnsi="Courier"/>
                <w:b/>
                <w:bCs/>
              </w:rPr>
              <w:lastRenderedPageBreak/>
              <w:t>第六部分</w:t>
            </w:r>
            <w:r>
              <w:rPr>
                <w:rFonts w:ascii="Courier" w:hAnsi="Courier"/>
                <w:b/>
                <w:bCs/>
              </w:rPr>
              <w:t xml:space="preserve"> </w:t>
            </w:r>
            <w:r>
              <w:rPr>
                <w:rFonts w:ascii="Courier" w:hAnsi="Courier"/>
                <w:b/>
                <w:bCs/>
              </w:rPr>
              <w:t>基金份额的申购与赎回</w:t>
            </w:r>
          </w:p>
        </w:tc>
      </w:tr>
      <w:tr w:rsidR="002F61A4">
        <w:tc>
          <w:tcPr>
            <w:tcW w:w="4977" w:type="dxa"/>
            <w:tcBorders>
              <w:top w:val="single" w:sz="6" w:space="0" w:color="000000"/>
              <w:left w:val="single" w:sz="6" w:space="0" w:color="000000"/>
              <w:right w:val="single" w:sz="6" w:space="0" w:color="000000"/>
            </w:tcBorders>
            <w:vAlign w:val="center"/>
          </w:tcPr>
          <w:p w:rsidR="002F61A4" w:rsidRDefault="002F61A4">
            <w:pPr>
              <w:rPr>
                <w:rFonts w:ascii="Courier" w:hAnsi="Courier"/>
              </w:rPr>
            </w:pPr>
          </w:p>
        </w:tc>
        <w:tc>
          <w:tcPr>
            <w:tcW w:w="9011" w:type="dxa"/>
            <w:tcBorders>
              <w:top w:val="single" w:sz="6" w:space="0" w:color="000000"/>
              <w:left w:val="single" w:sz="6" w:space="0" w:color="000000"/>
              <w:right w:val="single" w:sz="4" w:space="0" w:color="auto"/>
            </w:tcBorders>
            <w:vAlign w:val="center"/>
          </w:tcPr>
          <w:p w:rsidR="002F61A4" w:rsidRDefault="00F065AB">
            <w:pPr>
              <w:rPr>
                <w:rFonts w:ascii="Courier" w:hAnsi="Courier"/>
              </w:rPr>
            </w:pPr>
            <w:r>
              <w:rPr>
                <w:rFonts w:ascii="Courier" w:hAnsi="Courier" w:hint="eastAsia"/>
              </w:rPr>
              <w:t>新增</w:t>
            </w:r>
            <w:r>
              <w:rPr>
                <w:rFonts w:ascii="Courier" w:hAnsi="Courier"/>
              </w:rPr>
              <w:t>：</w:t>
            </w:r>
          </w:p>
          <w:p w:rsidR="002F61A4" w:rsidRDefault="00F065AB">
            <w:pPr>
              <w:rPr>
                <w:rFonts w:ascii="Courier" w:hAnsi="Courier"/>
              </w:rPr>
            </w:pPr>
            <w:r>
              <w:rPr>
                <w:rFonts w:ascii="Courier" w:hAnsi="Courier" w:hint="eastAsia"/>
              </w:rPr>
              <w:t>十六、实施侧袋机制期间本基金的申购与赎回</w:t>
            </w:r>
          </w:p>
          <w:p w:rsidR="002F61A4" w:rsidRDefault="00F065AB">
            <w:pPr>
              <w:rPr>
                <w:rFonts w:ascii="Courier" w:hAnsi="Courier"/>
              </w:rPr>
            </w:pPr>
            <w:r>
              <w:rPr>
                <w:rFonts w:ascii="Courier" w:hAnsi="Courier" w:hint="eastAsia"/>
              </w:rPr>
              <w:t>本基金实施侧袋机制的，本基金的申购和赎回安排详见招募说明书或相关公告。</w:t>
            </w:r>
          </w:p>
        </w:tc>
      </w:tr>
      <w:tr w:rsidR="002F61A4">
        <w:tc>
          <w:tcPr>
            <w:tcW w:w="0" w:type="auto"/>
            <w:gridSpan w:val="2"/>
            <w:tcBorders>
              <w:top w:val="single" w:sz="6" w:space="0" w:color="000000"/>
              <w:left w:val="single" w:sz="6" w:space="0" w:color="000000"/>
              <w:bottom w:val="single" w:sz="6" w:space="0" w:color="000000"/>
              <w:right w:val="single" w:sz="4" w:space="0" w:color="auto"/>
            </w:tcBorders>
            <w:vAlign w:val="center"/>
          </w:tcPr>
          <w:p w:rsidR="002F61A4" w:rsidRDefault="00F065AB">
            <w:pPr>
              <w:jc w:val="center"/>
              <w:rPr>
                <w:rFonts w:ascii="Courier" w:hAnsi="Courier"/>
              </w:rPr>
            </w:pPr>
            <w:r>
              <w:rPr>
                <w:rFonts w:ascii="Courier" w:hAnsi="Courier"/>
                <w:b/>
                <w:bCs/>
              </w:rPr>
              <w:t>第八部分</w:t>
            </w:r>
            <w:r>
              <w:rPr>
                <w:rFonts w:ascii="Courier" w:hAnsi="Courier"/>
                <w:b/>
                <w:bCs/>
              </w:rPr>
              <w:t xml:space="preserve"> </w:t>
            </w:r>
            <w:r>
              <w:rPr>
                <w:rFonts w:ascii="Courier" w:hAnsi="Courier"/>
                <w:b/>
                <w:bCs/>
              </w:rPr>
              <w:t>基金份额持有人大会</w:t>
            </w:r>
          </w:p>
        </w:tc>
      </w:tr>
      <w:tr w:rsidR="002F61A4">
        <w:tc>
          <w:tcPr>
            <w:tcW w:w="4977" w:type="dxa"/>
            <w:tcBorders>
              <w:top w:val="single" w:sz="6" w:space="0" w:color="000000"/>
              <w:left w:val="single" w:sz="6" w:space="0" w:color="000000"/>
              <w:bottom w:val="single" w:sz="6" w:space="0" w:color="000000"/>
              <w:right w:val="single" w:sz="6" w:space="0" w:color="000000"/>
            </w:tcBorders>
            <w:vAlign w:val="center"/>
          </w:tcPr>
          <w:p w:rsidR="002F61A4" w:rsidRDefault="002F61A4">
            <w:pPr>
              <w:rPr>
                <w:rFonts w:ascii="Courier" w:hAnsi="Courier"/>
                <w:b/>
                <w:bCs/>
              </w:rPr>
            </w:pPr>
          </w:p>
        </w:tc>
        <w:tc>
          <w:tcPr>
            <w:tcW w:w="9011" w:type="dxa"/>
            <w:tcBorders>
              <w:top w:val="single" w:sz="6" w:space="0" w:color="000000"/>
              <w:left w:val="single" w:sz="6" w:space="0" w:color="000000"/>
              <w:bottom w:val="single" w:sz="6" w:space="0" w:color="000000"/>
              <w:right w:val="single" w:sz="4" w:space="0" w:color="auto"/>
            </w:tcBorders>
            <w:vAlign w:val="center"/>
          </w:tcPr>
          <w:p w:rsidR="002F61A4" w:rsidRDefault="00F065AB">
            <w:pPr>
              <w:rPr>
                <w:rFonts w:ascii="Courier" w:hAnsi="Courier"/>
              </w:rPr>
            </w:pPr>
            <w:r>
              <w:rPr>
                <w:rFonts w:ascii="Courier" w:hAnsi="Courier" w:hint="eastAsia"/>
              </w:rPr>
              <w:t>新增</w:t>
            </w:r>
            <w:r>
              <w:rPr>
                <w:rFonts w:ascii="Courier" w:hAnsi="Courier"/>
              </w:rPr>
              <w:t>：</w:t>
            </w:r>
          </w:p>
          <w:p w:rsidR="002F61A4" w:rsidRDefault="00F065AB">
            <w:pPr>
              <w:rPr>
                <w:rFonts w:ascii="Courier" w:hAnsi="Courier"/>
              </w:rPr>
            </w:pPr>
            <w:r>
              <w:rPr>
                <w:rFonts w:ascii="Courier" w:hAnsi="Courier" w:hint="eastAsia"/>
              </w:rPr>
              <w:t>九、实施侧袋机制期间基金份额持有人大会的特殊约定</w:t>
            </w:r>
          </w:p>
          <w:p w:rsidR="002F61A4" w:rsidRDefault="00F065AB">
            <w:pPr>
              <w:rPr>
                <w:rFonts w:ascii="Courier" w:hAnsi="Courier"/>
              </w:rPr>
            </w:pPr>
            <w:r>
              <w:rPr>
                <w:rFonts w:ascii="Courier" w:hAnsi="Courier" w:hint="eastAsia"/>
              </w:rPr>
              <w:t>本基金实施侧袋机制的，若基金份额持有人大会审议事项涉及主袋账户和侧袋账户的，应分别由主袋账户、侧袋账户的基金份额持有人进行表决，且相关基金份额或表决权的比例指主袋份额持有人和侧袋份额持有人分别持有或代表的基金份额或表决权符合该等比例；但若相关基金份额持有人大会召集和审议事项不涉及侧袋账户的，侧袋账户份额无表决权，且相关基金份额或表决权的比例仅指主袋份额持有人持有或代表的基金份额或表决权符合该等比例：</w:t>
            </w:r>
          </w:p>
          <w:p w:rsidR="002F61A4" w:rsidRDefault="00F065AB">
            <w:pPr>
              <w:rPr>
                <w:rFonts w:ascii="Courier" w:hAnsi="Courier"/>
              </w:rPr>
            </w:pPr>
            <w:r>
              <w:rPr>
                <w:rFonts w:ascii="Courier" w:hAnsi="Courier"/>
              </w:rPr>
              <w:t>1</w:t>
            </w:r>
            <w:r>
              <w:rPr>
                <w:rFonts w:ascii="Courier" w:hAnsi="Courier"/>
              </w:rPr>
              <w:t>、基金份额持有人行使提议权、召集权、提名权所需单独或合计代表相关基金份额</w:t>
            </w:r>
            <w:r>
              <w:rPr>
                <w:rFonts w:ascii="Courier" w:hAnsi="Courier"/>
              </w:rPr>
              <w:t>10%</w:t>
            </w:r>
            <w:r>
              <w:rPr>
                <w:rFonts w:ascii="Courier" w:hAnsi="Courier"/>
              </w:rPr>
              <w:t>以上（含</w:t>
            </w:r>
            <w:r>
              <w:rPr>
                <w:rFonts w:ascii="Courier" w:hAnsi="Courier"/>
              </w:rPr>
              <w:t>10%</w:t>
            </w:r>
            <w:r>
              <w:rPr>
                <w:rFonts w:ascii="Courier" w:hAnsi="Courier"/>
              </w:rPr>
              <w:t>）；</w:t>
            </w:r>
          </w:p>
          <w:p w:rsidR="002F61A4" w:rsidRDefault="00F065AB">
            <w:pPr>
              <w:rPr>
                <w:rFonts w:ascii="Courier" w:hAnsi="Courier"/>
              </w:rPr>
            </w:pPr>
            <w:r>
              <w:rPr>
                <w:rFonts w:ascii="Courier" w:hAnsi="Courier"/>
              </w:rPr>
              <w:t>2</w:t>
            </w:r>
            <w:r>
              <w:rPr>
                <w:rFonts w:ascii="Courier" w:hAnsi="Courier"/>
              </w:rPr>
              <w:t>、现场</w:t>
            </w:r>
            <w:r>
              <w:rPr>
                <w:rFonts w:ascii="Courier" w:hAnsi="Courier"/>
              </w:rPr>
              <w:t>开会的到会者在权益登记日代表的基金份额不少于本基金在权益登记日相关基金份额的二分之一（含二分之一）；</w:t>
            </w:r>
          </w:p>
          <w:p w:rsidR="002F61A4" w:rsidRDefault="00F065AB">
            <w:pPr>
              <w:rPr>
                <w:rFonts w:ascii="Courier" w:hAnsi="Courier"/>
              </w:rPr>
            </w:pPr>
            <w:r>
              <w:rPr>
                <w:rFonts w:ascii="Courier" w:hAnsi="Courier"/>
              </w:rPr>
              <w:t>3</w:t>
            </w:r>
            <w:r>
              <w:rPr>
                <w:rFonts w:ascii="Courier" w:hAnsi="Courier"/>
              </w:rPr>
              <w:t>、通讯开会的直接出具书面意见或授权他人代表出具书面意见的基金份额持有人所持有的基金份额不小于在权益登记日相关基金份额的二分之一（含二分之一）；</w:t>
            </w:r>
          </w:p>
          <w:p w:rsidR="002F61A4" w:rsidRDefault="00F065AB">
            <w:pPr>
              <w:rPr>
                <w:rFonts w:ascii="Courier" w:hAnsi="Courier"/>
              </w:rPr>
            </w:pPr>
            <w:r>
              <w:rPr>
                <w:rFonts w:ascii="Courier" w:hAnsi="Courier"/>
              </w:rPr>
              <w:t>4</w:t>
            </w:r>
            <w:r>
              <w:rPr>
                <w:rFonts w:ascii="Courier" w:hAnsi="Courier"/>
              </w:rPr>
              <w:t>、在参与基金份额持有人大会投票的基金份额持有人所持有的基金份额小于在权益登记日相关基金份额的二分之一、召集人在原公告的基金份额持有人大会召开时间的</w:t>
            </w:r>
            <w:r>
              <w:rPr>
                <w:rFonts w:ascii="Courier" w:hAnsi="Courier"/>
              </w:rPr>
              <w:t>3</w:t>
            </w:r>
            <w:r>
              <w:rPr>
                <w:rFonts w:ascii="Courier" w:hAnsi="Courier"/>
              </w:rPr>
              <w:t>个月以后、</w:t>
            </w:r>
            <w:r>
              <w:rPr>
                <w:rFonts w:ascii="Courier" w:hAnsi="Courier"/>
              </w:rPr>
              <w:t>6</w:t>
            </w:r>
            <w:r>
              <w:rPr>
                <w:rFonts w:ascii="Courier" w:hAnsi="Courier"/>
              </w:rPr>
              <w:t>个月以内就原定审议事项重新召集的基金份额持有人大会应当有代表三分之一以上（含三分之一）相关基金份额的持</w:t>
            </w:r>
            <w:r>
              <w:rPr>
                <w:rFonts w:ascii="Courier" w:hAnsi="Courier"/>
              </w:rPr>
              <w:t>有人参与或授权他人参与基金份额持有人大会投票；</w:t>
            </w:r>
          </w:p>
          <w:p w:rsidR="002F61A4" w:rsidRDefault="00F065AB">
            <w:pPr>
              <w:rPr>
                <w:rFonts w:ascii="Courier" w:hAnsi="Courier"/>
              </w:rPr>
            </w:pPr>
            <w:r>
              <w:rPr>
                <w:rFonts w:ascii="Courier" w:hAnsi="Courier"/>
              </w:rPr>
              <w:t>5</w:t>
            </w:r>
            <w:r>
              <w:rPr>
                <w:rFonts w:ascii="Courier" w:hAnsi="Courier"/>
              </w:rPr>
              <w:t>、现场开会由出席大会的基金份额持有人和代理人所持表决权的</w:t>
            </w:r>
            <w:r>
              <w:rPr>
                <w:rFonts w:ascii="Courier" w:hAnsi="Courier"/>
              </w:rPr>
              <w:t>50%</w:t>
            </w:r>
            <w:r>
              <w:rPr>
                <w:rFonts w:ascii="Courier" w:hAnsi="Courier"/>
              </w:rPr>
              <w:t>以上（含</w:t>
            </w:r>
            <w:r>
              <w:rPr>
                <w:rFonts w:ascii="Courier" w:hAnsi="Courier"/>
              </w:rPr>
              <w:t>50%</w:t>
            </w:r>
            <w:r>
              <w:rPr>
                <w:rFonts w:ascii="Courier" w:hAnsi="Courier"/>
              </w:rPr>
              <w:t>）选举产生一名基金份额持有人作为该次基金份额持有人大会的主持人；</w:t>
            </w:r>
          </w:p>
          <w:p w:rsidR="002F61A4" w:rsidRDefault="00F065AB">
            <w:pPr>
              <w:rPr>
                <w:rFonts w:ascii="Courier" w:hAnsi="Courier"/>
              </w:rPr>
            </w:pPr>
            <w:r>
              <w:rPr>
                <w:rFonts w:ascii="Courier" w:hAnsi="Courier"/>
              </w:rPr>
              <w:t>6</w:t>
            </w:r>
            <w:r>
              <w:rPr>
                <w:rFonts w:ascii="Courier" w:hAnsi="Courier"/>
              </w:rPr>
              <w:t>、一般决议须经参加大会的基金份额持有人或其代理人所持表决权的二分之一以上（含二分之一）通过；</w:t>
            </w:r>
          </w:p>
          <w:p w:rsidR="002F61A4" w:rsidRDefault="00F065AB">
            <w:pPr>
              <w:rPr>
                <w:rFonts w:ascii="Courier" w:hAnsi="Courier"/>
              </w:rPr>
            </w:pPr>
            <w:r>
              <w:rPr>
                <w:rFonts w:ascii="Courier" w:hAnsi="Courier"/>
              </w:rPr>
              <w:t>7</w:t>
            </w:r>
            <w:r>
              <w:rPr>
                <w:rFonts w:ascii="Courier" w:hAnsi="Courier"/>
              </w:rPr>
              <w:t>、特别决议应当经参加大会的基金份额持有人或其代理人所持表决权的三分之二以上（含三分之二）通过。</w:t>
            </w:r>
          </w:p>
          <w:p w:rsidR="002F61A4" w:rsidRDefault="00F065AB">
            <w:pPr>
              <w:rPr>
                <w:rFonts w:ascii="Courier" w:hAnsi="Courier"/>
              </w:rPr>
            </w:pPr>
            <w:r>
              <w:rPr>
                <w:rFonts w:ascii="Courier" w:hAnsi="Courier" w:hint="eastAsia"/>
              </w:rPr>
              <w:t>同一主侧袋账户内的每份基金份额具有平等的表决权。</w:t>
            </w:r>
          </w:p>
        </w:tc>
      </w:tr>
      <w:tr w:rsidR="002F61A4">
        <w:tc>
          <w:tcPr>
            <w:tcW w:w="0" w:type="auto"/>
            <w:gridSpan w:val="2"/>
            <w:tcBorders>
              <w:top w:val="single" w:sz="6" w:space="0" w:color="000000"/>
              <w:left w:val="single" w:sz="6" w:space="0" w:color="000000"/>
              <w:right w:val="single" w:sz="4" w:space="0" w:color="auto"/>
            </w:tcBorders>
            <w:vAlign w:val="center"/>
          </w:tcPr>
          <w:p w:rsidR="002F61A4" w:rsidRDefault="00F065AB">
            <w:pPr>
              <w:jc w:val="center"/>
              <w:rPr>
                <w:rFonts w:ascii="Courier" w:hAnsi="Courier"/>
              </w:rPr>
            </w:pPr>
            <w:r>
              <w:rPr>
                <w:rFonts w:ascii="Courier" w:hAnsi="Courier"/>
                <w:b/>
                <w:bCs/>
              </w:rPr>
              <w:t>第十二部分</w:t>
            </w:r>
            <w:r>
              <w:rPr>
                <w:rFonts w:ascii="Courier" w:hAnsi="Courier"/>
                <w:b/>
                <w:bCs/>
              </w:rPr>
              <w:t xml:space="preserve"> </w:t>
            </w:r>
            <w:r>
              <w:rPr>
                <w:rFonts w:ascii="Courier" w:hAnsi="Courier"/>
                <w:b/>
                <w:bCs/>
              </w:rPr>
              <w:t>基金的投资</w:t>
            </w:r>
          </w:p>
        </w:tc>
      </w:tr>
      <w:tr w:rsidR="002F61A4">
        <w:tc>
          <w:tcPr>
            <w:tcW w:w="4977" w:type="dxa"/>
            <w:tcBorders>
              <w:top w:val="single" w:sz="6" w:space="0" w:color="000000"/>
              <w:left w:val="single" w:sz="6" w:space="0" w:color="000000"/>
              <w:right w:val="single" w:sz="6" w:space="0" w:color="000000"/>
            </w:tcBorders>
            <w:vAlign w:val="center"/>
          </w:tcPr>
          <w:p w:rsidR="002F61A4" w:rsidRDefault="002F61A4">
            <w:pPr>
              <w:rPr>
                <w:rFonts w:ascii="Courier" w:hAnsi="Courier"/>
              </w:rPr>
            </w:pPr>
          </w:p>
        </w:tc>
        <w:tc>
          <w:tcPr>
            <w:tcW w:w="9011" w:type="dxa"/>
            <w:tcBorders>
              <w:top w:val="single" w:sz="6" w:space="0" w:color="000000"/>
              <w:left w:val="single" w:sz="6" w:space="0" w:color="000000"/>
              <w:right w:val="single" w:sz="4" w:space="0" w:color="auto"/>
            </w:tcBorders>
            <w:vAlign w:val="center"/>
          </w:tcPr>
          <w:p w:rsidR="002F61A4" w:rsidRDefault="00F065AB">
            <w:pPr>
              <w:rPr>
                <w:rFonts w:ascii="Courier" w:hAnsi="Courier"/>
              </w:rPr>
            </w:pPr>
            <w:r>
              <w:rPr>
                <w:rFonts w:ascii="Courier" w:hAnsi="Courier" w:hint="eastAsia"/>
              </w:rPr>
              <w:t>新增：</w:t>
            </w:r>
          </w:p>
          <w:p w:rsidR="002F61A4" w:rsidRDefault="00F065AB">
            <w:pPr>
              <w:rPr>
                <w:rFonts w:ascii="Courier" w:hAnsi="Courier"/>
              </w:rPr>
            </w:pPr>
            <w:r>
              <w:rPr>
                <w:rFonts w:ascii="Courier" w:hAnsi="Courier" w:hint="eastAsia"/>
              </w:rPr>
              <w:t>十、侧袋机制的实施和投资运作安排</w:t>
            </w:r>
          </w:p>
          <w:p w:rsidR="002F61A4" w:rsidRDefault="00F065AB">
            <w:pPr>
              <w:rPr>
                <w:rFonts w:ascii="Courier" w:hAnsi="Courier"/>
              </w:rPr>
            </w:pPr>
            <w:r>
              <w:rPr>
                <w:rFonts w:ascii="Courier" w:hAnsi="Courier"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2F61A4" w:rsidRDefault="00F065AB">
            <w:pPr>
              <w:rPr>
                <w:rFonts w:ascii="Courier" w:hAnsi="Courier"/>
              </w:rPr>
            </w:pPr>
            <w:r>
              <w:rPr>
                <w:rFonts w:ascii="Courier" w:hAnsi="Courier" w:hint="eastAsia"/>
              </w:rPr>
              <w:t>侧袋机制实施期间，本部分约定的投资组合比例、投资策略、组合限制、业绩比较基准、风险收益特征等约定仅适用于主袋账户。</w:t>
            </w:r>
          </w:p>
          <w:p w:rsidR="002F61A4" w:rsidRDefault="00F065AB">
            <w:pPr>
              <w:rPr>
                <w:rFonts w:ascii="Courier" w:hAnsi="Courier"/>
              </w:rPr>
            </w:pPr>
            <w:r>
              <w:rPr>
                <w:rFonts w:ascii="Courier" w:hAnsi="Courier" w:hint="eastAsia"/>
              </w:rPr>
              <w:t>侧袋账户的实施条件、实施程序、运作安排、投资安排、特定资产的处置变现和支付等对投资者权益有重大影响的事项详见招募说明书的规定。</w:t>
            </w:r>
          </w:p>
        </w:tc>
      </w:tr>
      <w:tr w:rsidR="002F61A4">
        <w:tc>
          <w:tcPr>
            <w:tcW w:w="0" w:type="auto"/>
            <w:gridSpan w:val="2"/>
            <w:tcBorders>
              <w:top w:val="single" w:sz="6" w:space="0" w:color="000000"/>
              <w:left w:val="single" w:sz="6" w:space="0" w:color="000000"/>
              <w:right w:val="single" w:sz="4" w:space="0" w:color="auto"/>
            </w:tcBorders>
            <w:vAlign w:val="center"/>
          </w:tcPr>
          <w:p w:rsidR="002F61A4" w:rsidRDefault="00F065AB">
            <w:pPr>
              <w:jc w:val="center"/>
              <w:rPr>
                <w:rFonts w:ascii="Courier" w:hAnsi="Courier"/>
              </w:rPr>
            </w:pPr>
            <w:r>
              <w:rPr>
                <w:rFonts w:ascii="Courier" w:hAnsi="Courier"/>
                <w:b/>
                <w:bCs/>
              </w:rPr>
              <w:t>第十四部分</w:t>
            </w:r>
            <w:r>
              <w:rPr>
                <w:rFonts w:ascii="Courier" w:hAnsi="Courier"/>
                <w:b/>
                <w:bCs/>
              </w:rPr>
              <w:t xml:space="preserve"> </w:t>
            </w:r>
            <w:r>
              <w:rPr>
                <w:rFonts w:ascii="Courier" w:hAnsi="Courier"/>
                <w:b/>
                <w:bCs/>
              </w:rPr>
              <w:t>基金资产估值</w:t>
            </w:r>
          </w:p>
        </w:tc>
      </w:tr>
      <w:tr w:rsidR="002F61A4">
        <w:tc>
          <w:tcPr>
            <w:tcW w:w="4977" w:type="dxa"/>
            <w:tcBorders>
              <w:top w:val="single" w:sz="6" w:space="0" w:color="000000"/>
              <w:left w:val="single" w:sz="6" w:space="0" w:color="000000"/>
              <w:right w:val="single" w:sz="6" w:space="0" w:color="000000"/>
            </w:tcBorders>
            <w:vAlign w:val="center"/>
          </w:tcPr>
          <w:p w:rsidR="002F61A4" w:rsidRDefault="00F065AB">
            <w:pPr>
              <w:rPr>
                <w:rFonts w:ascii="Courier" w:hAnsi="Courier"/>
              </w:rPr>
            </w:pPr>
            <w:r>
              <w:rPr>
                <w:rFonts w:ascii="Courier" w:hAnsi="Courier" w:hint="eastAsia"/>
              </w:rPr>
              <w:t>七、暂停估值的情形</w:t>
            </w:r>
          </w:p>
          <w:p w:rsidR="002F61A4" w:rsidRDefault="00F065AB">
            <w:pPr>
              <w:rPr>
                <w:rFonts w:ascii="Courier" w:hAnsi="Courier"/>
              </w:rPr>
            </w:pPr>
            <w:r>
              <w:rPr>
                <w:rFonts w:ascii="Courier" w:hAnsi="Courier"/>
              </w:rPr>
              <w:t>3</w:t>
            </w:r>
            <w:r>
              <w:rPr>
                <w:rFonts w:ascii="Courier" w:hAnsi="Courier"/>
              </w:rPr>
              <w:t>、当前一估值日基金资产净值</w:t>
            </w:r>
            <w:r>
              <w:rPr>
                <w:rFonts w:ascii="Courier" w:hAnsi="Courier"/>
              </w:rPr>
              <w:t>50%</w:t>
            </w:r>
            <w:r>
              <w:rPr>
                <w:rFonts w:ascii="Courier" w:hAnsi="Courier"/>
              </w:rPr>
              <w:t>以上的资产出现无可参考的活跃市场价格且采用估值技术仍导致公允价值存在重大不确定性时，基金管理人经与基金托管人协商一致的，基金管理人应当暂停基金估值；</w:t>
            </w:r>
          </w:p>
        </w:tc>
        <w:tc>
          <w:tcPr>
            <w:tcW w:w="9011" w:type="dxa"/>
            <w:tcBorders>
              <w:top w:val="single" w:sz="6" w:space="0" w:color="000000"/>
              <w:left w:val="single" w:sz="6" w:space="0" w:color="000000"/>
              <w:right w:val="single" w:sz="4" w:space="0" w:color="auto"/>
            </w:tcBorders>
            <w:vAlign w:val="center"/>
          </w:tcPr>
          <w:p w:rsidR="002F61A4" w:rsidRDefault="00F065AB">
            <w:pPr>
              <w:rPr>
                <w:rFonts w:ascii="Courier" w:hAnsi="Courier"/>
              </w:rPr>
            </w:pPr>
            <w:r>
              <w:rPr>
                <w:rFonts w:ascii="Courier" w:hAnsi="Courier" w:hint="eastAsia"/>
              </w:rPr>
              <w:t>七、暂停估值的情形</w:t>
            </w:r>
          </w:p>
          <w:p w:rsidR="002F61A4" w:rsidRDefault="00F065AB">
            <w:pPr>
              <w:rPr>
                <w:rFonts w:ascii="Courier" w:hAnsi="Courier"/>
              </w:rPr>
            </w:pPr>
            <w:r>
              <w:rPr>
                <w:rFonts w:ascii="Courier" w:hAnsi="Courier"/>
              </w:rPr>
              <w:t>3</w:t>
            </w:r>
            <w:r>
              <w:rPr>
                <w:rFonts w:ascii="Courier" w:hAnsi="Courier"/>
              </w:rPr>
              <w:t>、当</w:t>
            </w:r>
            <w:r>
              <w:rPr>
                <w:rFonts w:ascii="Courier" w:hAnsi="Courier"/>
                <w:b/>
                <w:i/>
                <w:u w:val="single"/>
              </w:rPr>
              <w:t>特定资产占</w:t>
            </w:r>
            <w:r>
              <w:rPr>
                <w:rFonts w:ascii="Courier" w:hAnsi="Courier"/>
              </w:rPr>
              <w:t>前一估值日基金资产净值</w:t>
            </w:r>
            <w:r>
              <w:rPr>
                <w:rFonts w:ascii="Courier" w:hAnsi="Courier"/>
              </w:rPr>
              <w:t>50%</w:t>
            </w:r>
            <w:r>
              <w:rPr>
                <w:rFonts w:ascii="Courier" w:hAnsi="Courier"/>
              </w:rPr>
              <w:t>以上的</w:t>
            </w:r>
            <w:r>
              <w:rPr>
                <w:rFonts w:ascii="Courier" w:hAnsi="Courier"/>
                <w:b/>
                <w:i/>
                <w:strike/>
                <w:u w:val="single"/>
              </w:rPr>
              <w:t>资产出现无可参考的活跃市场价格且采用估值技术仍导致公允价值存在重大不确定性时</w:t>
            </w:r>
            <w:r>
              <w:rPr>
                <w:rFonts w:ascii="Courier" w:hAnsi="Courier"/>
              </w:rPr>
              <w:t>，基金管理人经与基金托管人协商</w:t>
            </w:r>
            <w:r>
              <w:rPr>
                <w:rFonts w:ascii="Courier" w:hAnsi="Courier" w:hint="eastAsia"/>
              </w:rPr>
              <w:t>确认后</w:t>
            </w:r>
            <w:r>
              <w:rPr>
                <w:rFonts w:ascii="Courier" w:hAnsi="Courier"/>
              </w:rPr>
              <w:t>，基金管理人应当暂停基金估值；</w:t>
            </w:r>
          </w:p>
        </w:tc>
      </w:tr>
      <w:tr w:rsidR="002F61A4">
        <w:tc>
          <w:tcPr>
            <w:tcW w:w="4977" w:type="dxa"/>
            <w:tcBorders>
              <w:top w:val="single" w:sz="6" w:space="0" w:color="000000"/>
              <w:left w:val="single" w:sz="6" w:space="0" w:color="000000"/>
              <w:right w:val="single" w:sz="6" w:space="0" w:color="000000"/>
            </w:tcBorders>
            <w:vAlign w:val="center"/>
          </w:tcPr>
          <w:p w:rsidR="002F61A4" w:rsidRDefault="002F61A4">
            <w:pPr>
              <w:rPr>
                <w:rFonts w:ascii="Courier" w:hAnsi="Courier"/>
                <w:b/>
                <w:bCs/>
              </w:rPr>
            </w:pPr>
          </w:p>
        </w:tc>
        <w:tc>
          <w:tcPr>
            <w:tcW w:w="9011" w:type="dxa"/>
            <w:tcBorders>
              <w:top w:val="single" w:sz="6" w:space="0" w:color="000000"/>
              <w:left w:val="single" w:sz="6" w:space="0" w:color="000000"/>
              <w:right w:val="single" w:sz="4" w:space="0" w:color="auto"/>
            </w:tcBorders>
            <w:vAlign w:val="center"/>
          </w:tcPr>
          <w:p w:rsidR="002F61A4" w:rsidRDefault="00F065AB">
            <w:pPr>
              <w:rPr>
                <w:rFonts w:ascii="Courier" w:hAnsi="Courier"/>
              </w:rPr>
            </w:pPr>
            <w:r>
              <w:rPr>
                <w:rFonts w:ascii="Courier" w:hAnsi="Courier" w:hint="eastAsia"/>
              </w:rPr>
              <w:t>新增</w:t>
            </w:r>
            <w:r>
              <w:rPr>
                <w:rFonts w:ascii="Courier" w:hAnsi="Courier"/>
              </w:rPr>
              <w:t>：</w:t>
            </w:r>
          </w:p>
          <w:p w:rsidR="002F61A4" w:rsidRDefault="00F065AB">
            <w:pPr>
              <w:rPr>
                <w:rFonts w:ascii="Courier" w:hAnsi="Courier"/>
              </w:rPr>
            </w:pPr>
            <w:r>
              <w:rPr>
                <w:rFonts w:ascii="Courier" w:hAnsi="Courier" w:hint="eastAsia"/>
              </w:rPr>
              <w:t>十、实施侧袋机制期间的基金资产估值</w:t>
            </w:r>
          </w:p>
          <w:p w:rsidR="002F61A4" w:rsidRDefault="00F065AB">
            <w:pPr>
              <w:rPr>
                <w:rFonts w:ascii="Courier" w:hAnsi="Courier"/>
              </w:rPr>
            </w:pPr>
            <w:r>
              <w:rPr>
                <w:rFonts w:ascii="Courier" w:hAnsi="Courier" w:hint="eastAsia"/>
              </w:rPr>
              <w:t>本基金实施侧袋机制的，应根据本部分的约定对主袋账户资产进行估值并披露主袋账户的基金资产净值和份额净值，暂停披露侧袋账户份额净值。</w:t>
            </w:r>
          </w:p>
        </w:tc>
      </w:tr>
      <w:tr w:rsidR="002F61A4">
        <w:tc>
          <w:tcPr>
            <w:tcW w:w="0" w:type="auto"/>
            <w:gridSpan w:val="2"/>
            <w:tcBorders>
              <w:top w:val="single" w:sz="6" w:space="0" w:color="000000"/>
              <w:left w:val="single" w:sz="6" w:space="0" w:color="000000"/>
              <w:right w:val="single" w:sz="4" w:space="0" w:color="auto"/>
            </w:tcBorders>
            <w:vAlign w:val="center"/>
          </w:tcPr>
          <w:p w:rsidR="002F61A4" w:rsidRDefault="00F065AB">
            <w:pPr>
              <w:jc w:val="center"/>
              <w:rPr>
                <w:rFonts w:ascii="Courier" w:hAnsi="Courier"/>
              </w:rPr>
            </w:pPr>
            <w:r>
              <w:rPr>
                <w:rFonts w:ascii="Courier" w:hAnsi="Courier"/>
                <w:b/>
                <w:bCs/>
              </w:rPr>
              <w:t>第十五部分</w:t>
            </w:r>
            <w:r>
              <w:rPr>
                <w:rFonts w:ascii="Courier" w:hAnsi="Courier"/>
                <w:b/>
                <w:bCs/>
              </w:rPr>
              <w:t xml:space="preserve"> </w:t>
            </w:r>
            <w:r>
              <w:rPr>
                <w:rFonts w:ascii="Courier" w:hAnsi="Courier"/>
                <w:b/>
                <w:bCs/>
              </w:rPr>
              <w:t>基金费用与税收</w:t>
            </w:r>
          </w:p>
        </w:tc>
      </w:tr>
      <w:tr w:rsidR="002F61A4">
        <w:tc>
          <w:tcPr>
            <w:tcW w:w="4977" w:type="dxa"/>
            <w:tcBorders>
              <w:top w:val="single" w:sz="6" w:space="0" w:color="000000"/>
              <w:left w:val="single" w:sz="6" w:space="0" w:color="000000"/>
              <w:right w:val="single" w:sz="6" w:space="0" w:color="000000"/>
            </w:tcBorders>
            <w:vAlign w:val="center"/>
          </w:tcPr>
          <w:p w:rsidR="002F61A4" w:rsidRDefault="002F61A4">
            <w:pPr>
              <w:rPr>
                <w:rFonts w:ascii="Courier" w:hAnsi="Courier"/>
              </w:rPr>
            </w:pPr>
          </w:p>
          <w:p w:rsidR="002F61A4" w:rsidRDefault="002F61A4">
            <w:pPr>
              <w:rPr>
                <w:rFonts w:ascii="Courier" w:hAnsi="Courier"/>
              </w:rPr>
            </w:pPr>
          </w:p>
        </w:tc>
        <w:tc>
          <w:tcPr>
            <w:tcW w:w="9011" w:type="dxa"/>
            <w:tcBorders>
              <w:top w:val="single" w:sz="6" w:space="0" w:color="000000"/>
              <w:left w:val="single" w:sz="6" w:space="0" w:color="000000"/>
              <w:right w:val="single" w:sz="4" w:space="0" w:color="auto"/>
            </w:tcBorders>
            <w:vAlign w:val="center"/>
          </w:tcPr>
          <w:p w:rsidR="002F61A4" w:rsidRDefault="00F065AB">
            <w:pPr>
              <w:rPr>
                <w:rFonts w:ascii="Courier" w:hAnsi="Courier"/>
              </w:rPr>
            </w:pPr>
            <w:r>
              <w:rPr>
                <w:rFonts w:ascii="Courier" w:hAnsi="Courier" w:hint="eastAsia"/>
              </w:rPr>
              <w:t>新增：</w:t>
            </w:r>
          </w:p>
          <w:p w:rsidR="002F61A4" w:rsidRDefault="00F065AB">
            <w:pPr>
              <w:rPr>
                <w:rFonts w:ascii="Courier" w:hAnsi="Courier"/>
              </w:rPr>
            </w:pPr>
            <w:r>
              <w:rPr>
                <w:rFonts w:ascii="Courier" w:hAnsi="Courier" w:hint="eastAsia"/>
              </w:rPr>
              <w:t>四、实施侧袋机制期间的基金费用</w:t>
            </w:r>
          </w:p>
          <w:p w:rsidR="002F61A4" w:rsidRDefault="00F065AB">
            <w:pPr>
              <w:rPr>
                <w:rFonts w:ascii="Courier" w:hAnsi="Courier"/>
              </w:rPr>
            </w:pPr>
            <w:r>
              <w:rPr>
                <w:rFonts w:ascii="Courier" w:hAnsi="Courier" w:hint="eastAsia"/>
              </w:rPr>
              <w:t>本基金实施侧袋机制的，与侧袋账户有关的费用可以从侧袋账户中列支，但应待侧袋账户资产变现后方可列支，有关费用可酌情收取或减免，但不得收取管理费，详见招募说明书的规定。</w:t>
            </w:r>
          </w:p>
        </w:tc>
      </w:tr>
      <w:tr w:rsidR="002F61A4">
        <w:tc>
          <w:tcPr>
            <w:tcW w:w="0" w:type="auto"/>
            <w:gridSpan w:val="2"/>
            <w:tcBorders>
              <w:top w:val="single" w:sz="6" w:space="0" w:color="000000"/>
              <w:left w:val="single" w:sz="6" w:space="0" w:color="000000"/>
              <w:right w:val="single" w:sz="4" w:space="0" w:color="auto"/>
            </w:tcBorders>
            <w:vAlign w:val="center"/>
          </w:tcPr>
          <w:p w:rsidR="002F61A4" w:rsidRDefault="00F065AB">
            <w:pPr>
              <w:jc w:val="center"/>
              <w:rPr>
                <w:rFonts w:ascii="Courier" w:hAnsi="Courier"/>
              </w:rPr>
            </w:pPr>
            <w:r>
              <w:rPr>
                <w:rFonts w:ascii="Courier" w:hAnsi="Courier"/>
                <w:b/>
                <w:bCs/>
              </w:rPr>
              <w:t>第十六部分</w:t>
            </w:r>
            <w:r>
              <w:rPr>
                <w:rFonts w:ascii="Courier" w:hAnsi="Courier"/>
                <w:b/>
                <w:bCs/>
              </w:rPr>
              <w:t xml:space="preserve"> </w:t>
            </w:r>
            <w:r>
              <w:rPr>
                <w:rFonts w:ascii="Courier" w:hAnsi="Courier"/>
                <w:b/>
                <w:bCs/>
              </w:rPr>
              <w:t>基金的收益与分配</w:t>
            </w:r>
          </w:p>
        </w:tc>
      </w:tr>
      <w:tr w:rsidR="002F61A4">
        <w:tc>
          <w:tcPr>
            <w:tcW w:w="4977" w:type="dxa"/>
            <w:tcBorders>
              <w:top w:val="single" w:sz="6" w:space="0" w:color="000000"/>
              <w:left w:val="single" w:sz="6" w:space="0" w:color="000000"/>
              <w:right w:val="single" w:sz="6" w:space="0" w:color="000000"/>
            </w:tcBorders>
            <w:vAlign w:val="center"/>
          </w:tcPr>
          <w:p w:rsidR="002F61A4" w:rsidRDefault="002F61A4">
            <w:pPr>
              <w:rPr>
                <w:rFonts w:ascii="Courier" w:hAnsi="Courier"/>
              </w:rPr>
            </w:pPr>
          </w:p>
        </w:tc>
        <w:tc>
          <w:tcPr>
            <w:tcW w:w="9011" w:type="dxa"/>
            <w:tcBorders>
              <w:top w:val="single" w:sz="6" w:space="0" w:color="000000"/>
              <w:left w:val="single" w:sz="6" w:space="0" w:color="000000"/>
              <w:right w:val="single" w:sz="4" w:space="0" w:color="auto"/>
            </w:tcBorders>
            <w:vAlign w:val="center"/>
          </w:tcPr>
          <w:p w:rsidR="002F61A4" w:rsidRDefault="00F065AB">
            <w:pPr>
              <w:rPr>
                <w:rFonts w:ascii="Courier" w:hAnsi="Courier"/>
              </w:rPr>
            </w:pPr>
            <w:r>
              <w:rPr>
                <w:rFonts w:ascii="Courier" w:hAnsi="Courier" w:hint="eastAsia"/>
              </w:rPr>
              <w:t>新增：</w:t>
            </w:r>
          </w:p>
          <w:p w:rsidR="002F61A4" w:rsidRDefault="00F065AB">
            <w:pPr>
              <w:rPr>
                <w:rFonts w:ascii="Courier" w:hAnsi="Courier"/>
              </w:rPr>
            </w:pPr>
            <w:r>
              <w:rPr>
                <w:rFonts w:ascii="Courier" w:hAnsi="Courier" w:hint="eastAsia"/>
              </w:rPr>
              <w:t>七、实施侧袋机制期间的收益分配</w:t>
            </w:r>
          </w:p>
          <w:p w:rsidR="002F61A4" w:rsidRDefault="00F065AB">
            <w:pPr>
              <w:rPr>
                <w:rFonts w:ascii="Courier" w:hAnsi="Courier"/>
              </w:rPr>
            </w:pPr>
            <w:r>
              <w:rPr>
                <w:rFonts w:ascii="Courier" w:hAnsi="Courier" w:hint="eastAsia"/>
              </w:rPr>
              <w:t>本基金实施侧袋机制的，侧袋账户不进行收益分配，详见招募说明书的规定。</w:t>
            </w:r>
          </w:p>
        </w:tc>
      </w:tr>
      <w:tr w:rsidR="002F61A4">
        <w:tc>
          <w:tcPr>
            <w:tcW w:w="0" w:type="auto"/>
            <w:gridSpan w:val="2"/>
            <w:tcBorders>
              <w:top w:val="single" w:sz="6" w:space="0" w:color="000000"/>
              <w:left w:val="single" w:sz="6" w:space="0" w:color="000000"/>
              <w:bottom w:val="single" w:sz="6" w:space="0" w:color="000000"/>
              <w:right w:val="single" w:sz="4" w:space="0" w:color="auto"/>
            </w:tcBorders>
            <w:vAlign w:val="center"/>
          </w:tcPr>
          <w:p w:rsidR="002F61A4" w:rsidRDefault="00F065AB">
            <w:pPr>
              <w:jc w:val="center"/>
              <w:rPr>
                <w:rFonts w:ascii="Courier" w:hAnsi="Courier"/>
              </w:rPr>
            </w:pPr>
            <w:r>
              <w:rPr>
                <w:rFonts w:ascii="Courier" w:hAnsi="Courier"/>
                <w:b/>
                <w:bCs/>
              </w:rPr>
              <w:t>第十八部分</w:t>
            </w:r>
            <w:r>
              <w:rPr>
                <w:rFonts w:ascii="Courier" w:hAnsi="Courier"/>
                <w:b/>
                <w:bCs/>
              </w:rPr>
              <w:t xml:space="preserve"> </w:t>
            </w:r>
            <w:r>
              <w:rPr>
                <w:rFonts w:ascii="Courier" w:hAnsi="Courier"/>
                <w:b/>
                <w:bCs/>
              </w:rPr>
              <w:t>基金的信息披露</w:t>
            </w:r>
          </w:p>
        </w:tc>
      </w:tr>
      <w:tr w:rsidR="002F61A4">
        <w:tc>
          <w:tcPr>
            <w:tcW w:w="4977" w:type="dxa"/>
            <w:tcBorders>
              <w:top w:val="single" w:sz="6" w:space="0" w:color="000000"/>
              <w:left w:val="single" w:sz="6" w:space="0" w:color="000000"/>
              <w:bottom w:val="single" w:sz="6" w:space="0" w:color="000000"/>
              <w:right w:val="single" w:sz="6" w:space="0" w:color="000000"/>
            </w:tcBorders>
            <w:vAlign w:val="center"/>
          </w:tcPr>
          <w:p w:rsidR="002F61A4" w:rsidRDefault="002F61A4">
            <w:pPr>
              <w:rPr>
                <w:rFonts w:ascii="Courier" w:hAnsi="Courier"/>
              </w:rPr>
            </w:pPr>
          </w:p>
        </w:tc>
        <w:tc>
          <w:tcPr>
            <w:tcW w:w="9011" w:type="dxa"/>
            <w:tcBorders>
              <w:top w:val="single" w:sz="6" w:space="0" w:color="000000"/>
              <w:left w:val="single" w:sz="6" w:space="0" w:color="000000"/>
              <w:bottom w:val="single" w:sz="6" w:space="0" w:color="000000"/>
              <w:right w:val="single" w:sz="4" w:space="0" w:color="auto"/>
            </w:tcBorders>
            <w:vAlign w:val="center"/>
          </w:tcPr>
          <w:p w:rsidR="002F61A4" w:rsidRDefault="00F065AB">
            <w:pPr>
              <w:rPr>
                <w:rFonts w:ascii="Courier" w:hAnsi="Courier"/>
              </w:rPr>
            </w:pPr>
            <w:r>
              <w:rPr>
                <w:rFonts w:ascii="Courier" w:hAnsi="Courier" w:hint="eastAsia"/>
              </w:rPr>
              <w:t>“五、公开披露的基金信息”新增</w:t>
            </w:r>
            <w:r>
              <w:rPr>
                <w:rFonts w:ascii="Courier" w:hAnsi="Courier"/>
              </w:rPr>
              <w:t>：</w:t>
            </w:r>
          </w:p>
          <w:p w:rsidR="002F61A4" w:rsidRDefault="00F065AB">
            <w:pPr>
              <w:rPr>
                <w:rFonts w:ascii="Courier" w:hAnsi="Courier"/>
              </w:rPr>
            </w:pPr>
            <w:r>
              <w:rPr>
                <w:rFonts w:ascii="Courier" w:hAnsi="Courier" w:hint="eastAsia"/>
              </w:rPr>
              <w:t>（十）实施侧袋机制期间的信息披露</w:t>
            </w:r>
          </w:p>
          <w:p w:rsidR="002F61A4" w:rsidRDefault="00F065AB">
            <w:pPr>
              <w:rPr>
                <w:rFonts w:ascii="Courier" w:hAnsi="Courier"/>
              </w:rPr>
            </w:pPr>
            <w:r>
              <w:rPr>
                <w:rFonts w:ascii="Courier" w:hAnsi="Courier" w:hint="eastAsia"/>
              </w:rPr>
              <w:t>本基金实施侧袋机制的，相关信息披露义务人应当根据法律法规、基金合同和招募说明书的规定进行信息披露，详见招募说明书的规定。</w:t>
            </w:r>
          </w:p>
        </w:tc>
      </w:tr>
    </w:tbl>
    <w:p w:rsidR="002F61A4" w:rsidRDefault="002F61A4">
      <w:pPr>
        <w:pStyle w:val="Default"/>
        <w:snapToGrid w:val="0"/>
        <w:spacing w:line="360" w:lineRule="auto"/>
        <w:ind w:firstLineChars="200" w:firstLine="480"/>
        <w:jc w:val="both"/>
        <w:rPr>
          <w:rFonts w:ascii="Times New Roman" w:eastAsiaTheme="minorEastAsia" w:hAnsi="Times New Roman" w:cs="Times New Roman"/>
        </w:rPr>
      </w:pPr>
    </w:p>
    <w:p w:rsidR="002F61A4" w:rsidRDefault="00F065AB">
      <w:pPr>
        <w:pStyle w:val="Default"/>
        <w:snapToGrid w:val="0"/>
        <w:spacing w:line="360" w:lineRule="auto"/>
        <w:ind w:firstLineChars="200" w:firstLine="480"/>
        <w:jc w:val="both"/>
        <w:rPr>
          <w:rFonts w:ascii="Times New Roman" w:eastAsiaTheme="minorEastAsia" w:hAnsi="Times New Roman" w:cs="Times New Roman"/>
        </w:rPr>
      </w:pPr>
      <w:r>
        <w:rPr>
          <w:rFonts w:ascii="Times New Roman" w:eastAsiaTheme="minorEastAsia" w:hAnsi="Times New Roman" w:cs="Times New Roman" w:hint="eastAsia"/>
        </w:rPr>
        <w:t>因各基金的具体表述等不完全相同，各基金基金合同、托管协议中相应条款表述及修订位置可能存在略微差异，详细修改内容请见各基金修改后的基金合同、托管协议。</w:t>
      </w:r>
    </w:p>
    <w:p w:rsidR="002F61A4" w:rsidRDefault="00F065AB">
      <w:pPr>
        <w:pStyle w:val="Default"/>
        <w:numPr>
          <w:ilvl w:val="0"/>
          <w:numId w:val="1"/>
        </w:numPr>
        <w:snapToGrid w:val="0"/>
        <w:spacing w:line="360" w:lineRule="auto"/>
        <w:ind w:firstLineChars="200" w:firstLine="480"/>
        <w:jc w:val="both"/>
        <w:rPr>
          <w:rFonts w:ascii="Times New Roman" w:eastAsiaTheme="minorEastAsia" w:hAnsi="Times New Roman" w:cs="Times New Roman"/>
        </w:rPr>
      </w:pPr>
      <w:r>
        <w:rPr>
          <w:rFonts w:ascii="Times New Roman" w:eastAsiaTheme="minorEastAsia" w:hAnsi="Times New Roman" w:cs="Times New Roman" w:hint="eastAsia"/>
        </w:rPr>
        <w:t>重要提示</w:t>
      </w:r>
    </w:p>
    <w:p w:rsidR="002F61A4" w:rsidRDefault="00F065AB">
      <w:pPr>
        <w:pStyle w:val="Default"/>
        <w:snapToGrid w:val="0"/>
        <w:spacing w:line="360" w:lineRule="auto"/>
        <w:ind w:firstLineChars="200" w:firstLine="480"/>
        <w:jc w:val="both"/>
        <w:rPr>
          <w:rFonts w:ascii="Times New Roman" w:eastAsiaTheme="minorEastAsia" w:hAnsi="Times New Roman" w:cs="Times New Roman"/>
        </w:rPr>
      </w:pPr>
      <w:r>
        <w:rPr>
          <w:rFonts w:ascii="Times New Roman" w:eastAsiaTheme="minorEastAsia" w:hAnsi="Times New Roman" w:cs="Times New Roman" w:hint="eastAsia"/>
        </w:rPr>
        <w:t>1</w:t>
      </w:r>
      <w:r>
        <w:rPr>
          <w:rFonts w:ascii="Times New Roman" w:eastAsiaTheme="minorEastAsia" w:hAnsi="Times New Roman" w:cs="Times New Roman" w:hint="eastAsia"/>
        </w:rPr>
        <w:t>、</w:t>
      </w:r>
      <w:r>
        <w:rPr>
          <w:rFonts w:ascii="Times New Roman" w:eastAsiaTheme="minorEastAsia" w:hAnsi="Times New Roman" w:cs="Times New Roman"/>
        </w:rPr>
        <w:t>基金管理人经与相关基金托管人协商一致，在本公司对相关基金的基金合同进行修订后，对相关基金的托管协议、招募说明书（更新）中涉及的上述相关内容进行相应修订，在招募说明书中补充侧袋机制相关章节，并增加启用侧袋机制的风险揭示内容。同时，根据实际情况更新法律文件中的部分基金托管人信息，在基金产品资料概要中补充风险揭示</w:t>
      </w:r>
      <w:r>
        <w:rPr>
          <w:rFonts w:ascii="Times New Roman" w:eastAsiaTheme="minorEastAsia" w:hAnsi="Times New Roman" w:cs="Times New Roman" w:hint="eastAsia"/>
        </w:rPr>
        <w:t>内容</w:t>
      </w:r>
      <w:bookmarkStart w:id="0" w:name="_GoBack"/>
      <w:bookmarkEnd w:id="0"/>
      <w:r>
        <w:rPr>
          <w:rFonts w:ascii="Times New Roman" w:eastAsiaTheme="minorEastAsia" w:hAnsi="Times New Roman" w:cs="Times New Roman"/>
        </w:rPr>
        <w:t>。本次对基金合同、托管协议、基金招募说明书（更新）的修订属于因相应的法律法规发生变动而应当进行的修改，对基金份额持有人利益无实质性不利影响，不需召开基金份额持有人大会。基金管理人已就本次修改法律文件事</w:t>
      </w:r>
      <w:r>
        <w:rPr>
          <w:rFonts w:ascii="Times New Roman" w:eastAsiaTheme="minorEastAsia" w:hAnsi="Times New Roman" w:cs="Times New Roman"/>
        </w:rPr>
        <w:t>宜履行了规定程序，符合法律法规和监管机构的规定及基金合同的约定。</w:t>
      </w:r>
    </w:p>
    <w:p w:rsidR="002F61A4" w:rsidRDefault="00F065AB">
      <w:pPr>
        <w:pStyle w:val="Default"/>
        <w:snapToGrid w:val="0"/>
        <w:spacing w:line="360" w:lineRule="auto"/>
        <w:ind w:firstLineChars="200" w:firstLine="480"/>
        <w:rPr>
          <w:rFonts w:ascii="Times New Roman" w:eastAsiaTheme="minorEastAsia" w:hAnsi="Times New Roman" w:cs="Times New Roman"/>
        </w:rPr>
      </w:pPr>
      <w:r>
        <w:rPr>
          <w:rFonts w:ascii="Times New Roman" w:eastAsiaTheme="minorEastAsia" w:hAnsi="Times New Roman" w:cs="Times New Roman" w:hint="eastAsia"/>
        </w:rPr>
        <w:t>2</w:t>
      </w:r>
      <w:r>
        <w:rPr>
          <w:rFonts w:ascii="Times New Roman" w:eastAsiaTheme="minorEastAsia" w:hAnsi="Times New Roman" w:cs="Times New Roman" w:hint="eastAsia"/>
        </w:rPr>
        <w:t>、上述基金合同、托管协议的修订事宜自</w:t>
      </w:r>
      <w:r>
        <w:rPr>
          <w:rFonts w:ascii="Times New Roman" w:eastAsiaTheme="minorEastAsia" w:hAnsi="Times New Roman" w:cs="Times New Roman" w:hint="eastAsia"/>
        </w:rPr>
        <w:t>2021</w:t>
      </w:r>
      <w:r>
        <w:rPr>
          <w:rFonts w:ascii="Times New Roman" w:eastAsiaTheme="minorEastAsia" w:hAnsi="Times New Roman" w:cs="Times New Roman" w:hint="eastAsia"/>
        </w:rPr>
        <w:t>年</w:t>
      </w:r>
      <w:r>
        <w:rPr>
          <w:rFonts w:ascii="Times New Roman" w:eastAsiaTheme="minorEastAsia" w:hAnsi="Times New Roman" w:cs="Times New Roman" w:hint="eastAsia"/>
        </w:rPr>
        <w:t>7</w:t>
      </w:r>
      <w:r>
        <w:rPr>
          <w:rFonts w:ascii="Times New Roman" w:eastAsiaTheme="minorEastAsia" w:hAnsi="Times New Roman" w:cs="Times New Roman" w:hint="eastAsia"/>
        </w:rPr>
        <w:t>月</w:t>
      </w:r>
      <w:r>
        <w:rPr>
          <w:rFonts w:ascii="Times New Roman" w:eastAsiaTheme="minorEastAsia" w:hAnsi="Times New Roman" w:cs="Times New Roman" w:hint="eastAsia"/>
        </w:rPr>
        <w:t>31</w:t>
      </w:r>
      <w:r>
        <w:rPr>
          <w:rFonts w:ascii="Times New Roman" w:eastAsiaTheme="minorEastAsia" w:hAnsi="Times New Roman" w:cs="Times New Roman" w:hint="eastAsia"/>
        </w:rPr>
        <w:t>日起生效。本次修订后的基金合同、托管协议将于本公告发布之日登载于本基金管理人网站（</w:t>
      </w:r>
      <w:r>
        <w:rPr>
          <w:rFonts w:ascii="Times New Roman" w:eastAsiaTheme="minorEastAsia" w:hAnsi="Times New Roman" w:cs="Times New Roman" w:hint="eastAsia"/>
        </w:rPr>
        <w:t>www.abc-ca.com</w:t>
      </w:r>
      <w:r>
        <w:rPr>
          <w:rFonts w:ascii="Times New Roman" w:eastAsiaTheme="minorEastAsia" w:hAnsi="Times New Roman" w:cs="Times New Roman" w:hint="eastAsia"/>
        </w:rPr>
        <w:t>）</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和</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中</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国</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证</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监</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会</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基</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金</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电</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子</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披</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露</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网</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站（</w:t>
      </w:r>
      <w:r>
        <w:rPr>
          <w:rFonts w:ascii="Times New Roman" w:eastAsiaTheme="minorEastAsia" w:hAnsi="Times New Roman" w:cs="Times New Roman" w:hint="eastAsia"/>
        </w:rPr>
        <w:t>http://eid.csrc.gov.cn/fund</w:t>
      </w:r>
      <w:r>
        <w:rPr>
          <w:rFonts w:ascii="Times New Roman" w:eastAsiaTheme="minorEastAsia" w:hAnsi="Times New Roman" w:cs="Times New Roman" w:hint="eastAsia"/>
        </w:rPr>
        <w:t>）。基金管理人将届时更新各基金的招募说明书相关内容，并揭示风险。</w:t>
      </w:r>
    </w:p>
    <w:p w:rsidR="002F61A4" w:rsidRDefault="00F065AB">
      <w:pPr>
        <w:autoSpaceDE w:val="0"/>
        <w:autoSpaceDN w:val="0"/>
        <w:adjustRightInd w:val="0"/>
        <w:snapToGrid w:val="0"/>
        <w:spacing w:line="360" w:lineRule="auto"/>
        <w:ind w:firstLineChars="200" w:firstLine="48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风险提示：基金管理人承诺以诚实信用、谨慎勤勉的原则管理和运用基金财产，但不保证投资本基金一定盈利，也</w:t>
      </w:r>
      <w:r>
        <w:rPr>
          <w:rFonts w:ascii="Times New Roman" w:hAnsi="Times New Roman" w:cs="Times New Roman"/>
          <w:color w:val="000000"/>
          <w:kern w:val="0"/>
          <w:sz w:val="24"/>
          <w:szCs w:val="24"/>
        </w:rPr>
        <w:t>不保证基金份额持有人的最低收益。敬请投资人认真阅读基金合同、招募说明书等法律文件，并根据自身的风险承受能力选择适合自己的基金产品投资，注意基金投资风险。</w:t>
      </w:r>
    </w:p>
    <w:p w:rsidR="002F61A4" w:rsidRDefault="00F065AB">
      <w:pPr>
        <w:pStyle w:val="Default"/>
        <w:snapToGrid w:val="0"/>
        <w:spacing w:line="360" w:lineRule="auto"/>
        <w:ind w:firstLineChars="200" w:firstLine="480"/>
        <w:jc w:val="both"/>
        <w:rPr>
          <w:rFonts w:ascii="Times New Roman" w:eastAsiaTheme="minorEastAsia" w:hAnsi="Times New Roman" w:cs="Times New Roman"/>
        </w:rPr>
      </w:pPr>
      <w:r>
        <w:rPr>
          <w:rFonts w:ascii="Times New Roman" w:eastAsiaTheme="minorEastAsia" w:hAnsi="Times New Roman" w:cs="Times New Roman"/>
        </w:rPr>
        <w:t>特此公告。</w:t>
      </w:r>
    </w:p>
    <w:p w:rsidR="002F61A4" w:rsidRDefault="002F61A4">
      <w:pPr>
        <w:pStyle w:val="Default"/>
        <w:snapToGrid w:val="0"/>
        <w:spacing w:line="360" w:lineRule="auto"/>
        <w:ind w:firstLineChars="200" w:firstLine="480"/>
        <w:jc w:val="both"/>
        <w:rPr>
          <w:rFonts w:ascii="Times New Roman" w:eastAsiaTheme="minorEastAsia" w:hAnsi="Times New Roman" w:cs="Times New Roman"/>
        </w:rPr>
      </w:pPr>
    </w:p>
    <w:p w:rsidR="002F61A4" w:rsidRDefault="00F065AB">
      <w:pPr>
        <w:pStyle w:val="Default"/>
        <w:snapToGrid w:val="0"/>
        <w:spacing w:line="360" w:lineRule="auto"/>
        <w:ind w:firstLineChars="200" w:firstLine="480"/>
        <w:jc w:val="right"/>
        <w:rPr>
          <w:rFonts w:ascii="Times New Roman" w:eastAsiaTheme="minorEastAsia" w:hAnsi="Times New Roman" w:cs="Times New Roman"/>
        </w:rPr>
      </w:pPr>
      <w:r>
        <w:rPr>
          <w:rFonts w:ascii="Times New Roman" w:eastAsiaTheme="minorEastAsia" w:hAnsi="Times New Roman" w:cs="Times New Roman"/>
        </w:rPr>
        <w:t>国寿安保基金管理有限公司</w:t>
      </w:r>
    </w:p>
    <w:p w:rsidR="002F61A4" w:rsidRDefault="00F065AB">
      <w:pPr>
        <w:pStyle w:val="Default"/>
        <w:snapToGrid w:val="0"/>
        <w:spacing w:line="360" w:lineRule="auto"/>
        <w:ind w:firstLineChars="200" w:firstLine="480"/>
        <w:jc w:val="right"/>
        <w:rPr>
          <w:rFonts w:ascii="Times New Roman" w:eastAsiaTheme="minorEastAsia" w:hAnsi="Times New Roman" w:cs="Times New Roman"/>
        </w:rPr>
      </w:pPr>
      <w:r>
        <w:rPr>
          <w:rFonts w:ascii="Times New Roman" w:eastAsiaTheme="minorEastAsia" w:hAnsi="Times New Roman" w:cs="Times New Roman"/>
        </w:rPr>
        <w:t>202</w:t>
      </w:r>
      <w:r>
        <w:rPr>
          <w:rFonts w:ascii="Times New Roman" w:eastAsiaTheme="minorEastAsia" w:hAnsi="Times New Roman" w:cs="Times New Roman" w:hint="eastAsia"/>
        </w:rPr>
        <w:t>1</w:t>
      </w:r>
      <w:r>
        <w:rPr>
          <w:rFonts w:ascii="Times New Roman" w:eastAsiaTheme="minorEastAsia" w:hAnsi="Times New Roman" w:cs="Times New Roman"/>
        </w:rPr>
        <w:t>年</w:t>
      </w:r>
      <w:r>
        <w:rPr>
          <w:rFonts w:ascii="Times New Roman" w:eastAsiaTheme="minorEastAsia" w:hAnsi="Times New Roman" w:cs="Times New Roman" w:hint="eastAsia"/>
        </w:rPr>
        <w:t>7</w:t>
      </w:r>
      <w:r>
        <w:rPr>
          <w:rFonts w:ascii="Times New Roman" w:eastAsiaTheme="minorEastAsia" w:hAnsi="Times New Roman" w:cs="Times New Roman"/>
        </w:rPr>
        <w:t>月</w:t>
      </w:r>
      <w:r>
        <w:rPr>
          <w:rFonts w:ascii="Times New Roman" w:eastAsiaTheme="minorEastAsia" w:hAnsi="Times New Roman" w:cs="Times New Roman" w:hint="eastAsia"/>
        </w:rPr>
        <w:t>31</w:t>
      </w:r>
      <w:r>
        <w:rPr>
          <w:rFonts w:ascii="Times New Roman" w:eastAsiaTheme="minorEastAsia" w:hAnsi="Times New Roman" w:cs="Times New Roman"/>
        </w:rPr>
        <w:t>日</w:t>
      </w:r>
    </w:p>
    <w:sectPr w:rsidR="002F61A4" w:rsidSect="002F61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5AB" w:rsidRDefault="00F065AB" w:rsidP="00F065AB">
      <w:r>
        <w:separator/>
      </w:r>
    </w:p>
  </w:endnote>
  <w:endnote w:type="continuationSeparator" w:id="0">
    <w:p w:rsidR="00F065AB" w:rsidRDefault="00F065AB" w:rsidP="00F06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5AB" w:rsidRDefault="00F065AB" w:rsidP="00F065AB">
      <w:r>
        <w:separator/>
      </w:r>
    </w:p>
  </w:footnote>
  <w:footnote w:type="continuationSeparator" w:id="0">
    <w:p w:rsidR="00F065AB" w:rsidRDefault="00F065AB" w:rsidP="00F065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714C"/>
    <w:multiLevelType w:val="singleLevel"/>
    <w:tmpl w:val="15A3714C"/>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01C9"/>
    <w:rsid w:val="00020954"/>
    <w:rsid w:val="000300C4"/>
    <w:rsid w:val="00036B81"/>
    <w:rsid w:val="000441AE"/>
    <w:rsid w:val="00054B08"/>
    <w:rsid w:val="000660B9"/>
    <w:rsid w:val="000664FD"/>
    <w:rsid w:val="00073CAD"/>
    <w:rsid w:val="00074600"/>
    <w:rsid w:val="00076A17"/>
    <w:rsid w:val="000832DC"/>
    <w:rsid w:val="000925F4"/>
    <w:rsid w:val="00096323"/>
    <w:rsid w:val="000A5282"/>
    <w:rsid w:val="000B53EA"/>
    <w:rsid w:val="000C2E1B"/>
    <w:rsid w:val="000C7027"/>
    <w:rsid w:val="000E2C3B"/>
    <w:rsid w:val="00116D81"/>
    <w:rsid w:val="001218BE"/>
    <w:rsid w:val="001536E1"/>
    <w:rsid w:val="001602DF"/>
    <w:rsid w:val="00184BAF"/>
    <w:rsid w:val="001C637C"/>
    <w:rsid w:val="001D7030"/>
    <w:rsid w:val="001E021A"/>
    <w:rsid w:val="001E2518"/>
    <w:rsid w:val="001E3036"/>
    <w:rsid w:val="001F2806"/>
    <w:rsid w:val="0020606D"/>
    <w:rsid w:val="00211AB5"/>
    <w:rsid w:val="00221539"/>
    <w:rsid w:val="0023190A"/>
    <w:rsid w:val="002363A0"/>
    <w:rsid w:val="002853F8"/>
    <w:rsid w:val="002959F1"/>
    <w:rsid w:val="00296875"/>
    <w:rsid w:val="002D0409"/>
    <w:rsid w:val="002D5916"/>
    <w:rsid w:val="002D6553"/>
    <w:rsid w:val="002E7CC1"/>
    <w:rsid w:val="002F242D"/>
    <w:rsid w:val="002F5C9A"/>
    <w:rsid w:val="002F61A4"/>
    <w:rsid w:val="003133AD"/>
    <w:rsid w:val="00341929"/>
    <w:rsid w:val="0036111D"/>
    <w:rsid w:val="003625F0"/>
    <w:rsid w:val="00367C47"/>
    <w:rsid w:val="00374036"/>
    <w:rsid w:val="00383810"/>
    <w:rsid w:val="003939D4"/>
    <w:rsid w:val="003A3717"/>
    <w:rsid w:val="003B49FE"/>
    <w:rsid w:val="003D4BA1"/>
    <w:rsid w:val="003F4F67"/>
    <w:rsid w:val="00407E32"/>
    <w:rsid w:val="00445A87"/>
    <w:rsid w:val="00494918"/>
    <w:rsid w:val="004B0AEC"/>
    <w:rsid w:val="00524343"/>
    <w:rsid w:val="00525F91"/>
    <w:rsid w:val="00547130"/>
    <w:rsid w:val="00547F75"/>
    <w:rsid w:val="00563B33"/>
    <w:rsid w:val="00580455"/>
    <w:rsid w:val="005938C3"/>
    <w:rsid w:val="005A181F"/>
    <w:rsid w:val="005D089F"/>
    <w:rsid w:val="005D5966"/>
    <w:rsid w:val="005E2BF3"/>
    <w:rsid w:val="005F49F5"/>
    <w:rsid w:val="006025DB"/>
    <w:rsid w:val="0061065C"/>
    <w:rsid w:val="00620673"/>
    <w:rsid w:val="0063547A"/>
    <w:rsid w:val="0064592F"/>
    <w:rsid w:val="006531F2"/>
    <w:rsid w:val="00656D85"/>
    <w:rsid w:val="0066158B"/>
    <w:rsid w:val="00667319"/>
    <w:rsid w:val="00670FC7"/>
    <w:rsid w:val="006729B0"/>
    <w:rsid w:val="0068398A"/>
    <w:rsid w:val="006A55C9"/>
    <w:rsid w:val="006B73AE"/>
    <w:rsid w:val="006C51F8"/>
    <w:rsid w:val="006D1B38"/>
    <w:rsid w:val="006E72E7"/>
    <w:rsid w:val="00736DFA"/>
    <w:rsid w:val="00754121"/>
    <w:rsid w:val="007753D2"/>
    <w:rsid w:val="0078281A"/>
    <w:rsid w:val="00790AA2"/>
    <w:rsid w:val="007A4791"/>
    <w:rsid w:val="007C7B6A"/>
    <w:rsid w:val="007D3328"/>
    <w:rsid w:val="007E7557"/>
    <w:rsid w:val="007F5281"/>
    <w:rsid w:val="0083017E"/>
    <w:rsid w:val="008321B6"/>
    <w:rsid w:val="00844102"/>
    <w:rsid w:val="0085058E"/>
    <w:rsid w:val="008601C9"/>
    <w:rsid w:val="00861A03"/>
    <w:rsid w:val="00882BB0"/>
    <w:rsid w:val="00886D5B"/>
    <w:rsid w:val="00895E71"/>
    <w:rsid w:val="008E1870"/>
    <w:rsid w:val="008E1C2A"/>
    <w:rsid w:val="008F1364"/>
    <w:rsid w:val="0090770C"/>
    <w:rsid w:val="00921B05"/>
    <w:rsid w:val="00974E1A"/>
    <w:rsid w:val="00990D30"/>
    <w:rsid w:val="009A60D5"/>
    <w:rsid w:val="009C23E6"/>
    <w:rsid w:val="009C6212"/>
    <w:rsid w:val="009D6C5B"/>
    <w:rsid w:val="009E2007"/>
    <w:rsid w:val="009F2D73"/>
    <w:rsid w:val="009F4CFC"/>
    <w:rsid w:val="00A0270D"/>
    <w:rsid w:val="00A22ABC"/>
    <w:rsid w:val="00A3195E"/>
    <w:rsid w:val="00A6614F"/>
    <w:rsid w:val="00A711B2"/>
    <w:rsid w:val="00A81200"/>
    <w:rsid w:val="00A83CF1"/>
    <w:rsid w:val="00A851A4"/>
    <w:rsid w:val="00A860D5"/>
    <w:rsid w:val="00A94AAC"/>
    <w:rsid w:val="00A97632"/>
    <w:rsid w:val="00AA4307"/>
    <w:rsid w:val="00AB6ACB"/>
    <w:rsid w:val="00AC2FC7"/>
    <w:rsid w:val="00AF762F"/>
    <w:rsid w:val="00AF7E5E"/>
    <w:rsid w:val="00B06B72"/>
    <w:rsid w:val="00B543E2"/>
    <w:rsid w:val="00B55956"/>
    <w:rsid w:val="00B5763F"/>
    <w:rsid w:val="00B800EC"/>
    <w:rsid w:val="00B80B07"/>
    <w:rsid w:val="00B83B8F"/>
    <w:rsid w:val="00B95173"/>
    <w:rsid w:val="00B96C55"/>
    <w:rsid w:val="00BD4308"/>
    <w:rsid w:val="00C11EC9"/>
    <w:rsid w:val="00C15ED8"/>
    <w:rsid w:val="00C174AA"/>
    <w:rsid w:val="00C360D8"/>
    <w:rsid w:val="00C4099D"/>
    <w:rsid w:val="00C61D2D"/>
    <w:rsid w:val="00C653A0"/>
    <w:rsid w:val="00C77E1E"/>
    <w:rsid w:val="00C91781"/>
    <w:rsid w:val="00CA306B"/>
    <w:rsid w:val="00CD7EB3"/>
    <w:rsid w:val="00D01680"/>
    <w:rsid w:val="00D153D6"/>
    <w:rsid w:val="00D312A0"/>
    <w:rsid w:val="00D52CC5"/>
    <w:rsid w:val="00D62849"/>
    <w:rsid w:val="00D91F21"/>
    <w:rsid w:val="00DA612F"/>
    <w:rsid w:val="00DA68D2"/>
    <w:rsid w:val="00DB2378"/>
    <w:rsid w:val="00DB7881"/>
    <w:rsid w:val="00DC40F1"/>
    <w:rsid w:val="00DC4723"/>
    <w:rsid w:val="00DE153D"/>
    <w:rsid w:val="00E14EB5"/>
    <w:rsid w:val="00E275B2"/>
    <w:rsid w:val="00E278E6"/>
    <w:rsid w:val="00E31FA3"/>
    <w:rsid w:val="00E45652"/>
    <w:rsid w:val="00E64029"/>
    <w:rsid w:val="00E718C8"/>
    <w:rsid w:val="00E718DA"/>
    <w:rsid w:val="00E73CA4"/>
    <w:rsid w:val="00E75E23"/>
    <w:rsid w:val="00E8688C"/>
    <w:rsid w:val="00E924FF"/>
    <w:rsid w:val="00EA78DE"/>
    <w:rsid w:val="00EB0828"/>
    <w:rsid w:val="00EB6690"/>
    <w:rsid w:val="00EF1626"/>
    <w:rsid w:val="00F04C65"/>
    <w:rsid w:val="00F065AB"/>
    <w:rsid w:val="00F3650F"/>
    <w:rsid w:val="00F66298"/>
    <w:rsid w:val="00F75998"/>
    <w:rsid w:val="00F852B3"/>
    <w:rsid w:val="00F94C19"/>
    <w:rsid w:val="00F96787"/>
    <w:rsid w:val="00FA0109"/>
    <w:rsid w:val="00FA16C2"/>
    <w:rsid w:val="00FD297C"/>
    <w:rsid w:val="00FE3516"/>
    <w:rsid w:val="00FE4176"/>
    <w:rsid w:val="00FF49A1"/>
    <w:rsid w:val="0B9E7D3F"/>
    <w:rsid w:val="14F83E6C"/>
    <w:rsid w:val="2EF745C1"/>
    <w:rsid w:val="43F452B7"/>
    <w:rsid w:val="62832D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A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2F61A4"/>
    <w:pPr>
      <w:jc w:val="left"/>
    </w:pPr>
  </w:style>
  <w:style w:type="paragraph" w:styleId="a4">
    <w:name w:val="Balloon Text"/>
    <w:basedOn w:val="a"/>
    <w:link w:val="Char0"/>
    <w:uiPriority w:val="99"/>
    <w:semiHidden/>
    <w:unhideWhenUsed/>
    <w:qFormat/>
    <w:rsid w:val="002F61A4"/>
    <w:rPr>
      <w:sz w:val="18"/>
      <w:szCs w:val="18"/>
    </w:rPr>
  </w:style>
  <w:style w:type="paragraph" w:styleId="a5">
    <w:name w:val="footer"/>
    <w:basedOn w:val="a"/>
    <w:link w:val="Char1"/>
    <w:uiPriority w:val="99"/>
    <w:unhideWhenUsed/>
    <w:qFormat/>
    <w:rsid w:val="002F61A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2F61A4"/>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2F61A4"/>
    <w:rPr>
      <w:b/>
      <w:bCs/>
    </w:rPr>
  </w:style>
  <w:style w:type="table" w:styleId="a8">
    <w:name w:val="Table Grid"/>
    <w:basedOn w:val="a1"/>
    <w:qFormat/>
    <w:rsid w:val="002F61A4"/>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2F61A4"/>
    <w:rPr>
      <w:sz w:val="21"/>
      <w:szCs w:val="21"/>
    </w:rPr>
  </w:style>
  <w:style w:type="paragraph" w:customStyle="1" w:styleId="Default">
    <w:name w:val="Default"/>
    <w:qFormat/>
    <w:rsid w:val="002F61A4"/>
    <w:pPr>
      <w:widowControl w:val="0"/>
      <w:autoSpaceDE w:val="0"/>
      <w:autoSpaceDN w:val="0"/>
      <w:adjustRightInd w:val="0"/>
    </w:pPr>
    <w:rPr>
      <w:rFonts w:ascii="宋体" w:eastAsia="宋体" w:cs="宋体"/>
      <w:color w:val="000000"/>
      <w:sz w:val="24"/>
      <w:szCs w:val="24"/>
    </w:rPr>
  </w:style>
  <w:style w:type="character" w:customStyle="1" w:styleId="Char2">
    <w:name w:val="页眉 Char"/>
    <w:basedOn w:val="a0"/>
    <w:link w:val="a6"/>
    <w:uiPriority w:val="99"/>
    <w:qFormat/>
    <w:rsid w:val="002F61A4"/>
    <w:rPr>
      <w:sz w:val="18"/>
      <w:szCs w:val="18"/>
    </w:rPr>
  </w:style>
  <w:style w:type="character" w:customStyle="1" w:styleId="Char1">
    <w:name w:val="页脚 Char"/>
    <w:basedOn w:val="a0"/>
    <w:link w:val="a5"/>
    <w:uiPriority w:val="99"/>
    <w:qFormat/>
    <w:rsid w:val="002F61A4"/>
    <w:rPr>
      <w:sz w:val="18"/>
      <w:szCs w:val="18"/>
    </w:rPr>
  </w:style>
  <w:style w:type="character" w:customStyle="1" w:styleId="Char0">
    <w:name w:val="批注框文本 Char"/>
    <w:basedOn w:val="a0"/>
    <w:link w:val="a4"/>
    <w:uiPriority w:val="99"/>
    <w:semiHidden/>
    <w:qFormat/>
    <w:rsid w:val="002F61A4"/>
    <w:rPr>
      <w:sz w:val="18"/>
      <w:szCs w:val="18"/>
    </w:rPr>
  </w:style>
  <w:style w:type="character" w:customStyle="1" w:styleId="Char">
    <w:name w:val="批注文字 Char"/>
    <w:basedOn w:val="a0"/>
    <w:link w:val="a3"/>
    <w:uiPriority w:val="99"/>
    <w:semiHidden/>
    <w:qFormat/>
    <w:rsid w:val="002F61A4"/>
  </w:style>
  <w:style w:type="character" w:customStyle="1" w:styleId="Char3">
    <w:name w:val="批注主题 Char"/>
    <w:basedOn w:val="Char"/>
    <w:link w:val="a7"/>
    <w:uiPriority w:val="99"/>
    <w:semiHidden/>
    <w:qFormat/>
    <w:rsid w:val="002F61A4"/>
    <w:rPr>
      <w:b/>
      <w:bCs/>
    </w:rPr>
  </w:style>
  <w:style w:type="character" w:customStyle="1" w:styleId="diffadd1">
    <w:name w:val="diff_add1"/>
    <w:qFormat/>
    <w:rsid w:val="002F61A4"/>
    <w:rPr>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578</Words>
  <Characters>3300</Characters>
  <Application>Microsoft Office Word</Application>
  <DocSecurity>4</DocSecurity>
  <Lines>27</Lines>
  <Paragraphs>7</Paragraphs>
  <ScaleCrop>false</ScaleCrop>
  <Company>CNSTOCK</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xujie</dc:creator>
  <cp:lastModifiedBy>ZHONGM</cp:lastModifiedBy>
  <cp:revision>2</cp:revision>
  <dcterms:created xsi:type="dcterms:W3CDTF">2021-07-30T16:28:00Z</dcterms:created>
  <dcterms:modified xsi:type="dcterms:W3CDTF">2021-07-30T16:28:00Z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