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8F8" w:rsidRPr="00CA358B" w:rsidRDefault="00CC2A76" w:rsidP="00246DD7">
      <w:pPr>
        <w:spacing w:line="360" w:lineRule="auto"/>
        <w:ind w:rightChars="200" w:right="420"/>
        <w:jc w:val="center"/>
        <w:rPr>
          <w:rFonts w:asciiTheme="minorEastAsia" w:hAnsiTheme="minorEastAsia"/>
          <w:b/>
          <w:sz w:val="28"/>
          <w:szCs w:val="28"/>
        </w:rPr>
      </w:pPr>
      <w:r w:rsidRPr="00C748D1">
        <w:rPr>
          <w:rFonts w:asciiTheme="minorEastAsia" w:hAnsiTheme="minorEastAsia" w:hint="eastAsia"/>
          <w:b/>
          <w:sz w:val="28"/>
          <w:szCs w:val="28"/>
        </w:rPr>
        <w:t>关于</w:t>
      </w:r>
      <w:r w:rsidR="00C748D1" w:rsidRPr="00C748D1">
        <w:rPr>
          <w:rFonts w:asciiTheme="minorEastAsia" w:hAnsiTheme="minorEastAsia" w:hint="eastAsia"/>
          <w:b/>
          <w:sz w:val="28"/>
          <w:szCs w:val="28"/>
        </w:rPr>
        <w:t>中信建投基金管理有限公司旗下部分基金</w:t>
      </w:r>
      <w:r w:rsidR="00BA4161" w:rsidRPr="00CA358B">
        <w:rPr>
          <w:rFonts w:hint="eastAsia"/>
          <w:b/>
          <w:sz w:val="28"/>
          <w:szCs w:val="28"/>
        </w:rPr>
        <w:t>在</w:t>
      </w:r>
      <w:r w:rsidR="00E45333" w:rsidRPr="00E45333">
        <w:rPr>
          <w:rFonts w:ascii="宋体" w:hAnsi="宋体" w:hint="eastAsia"/>
          <w:b/>
          <w:sz w:val="28"/>
          <w:szCs w:val="28"/>
        </w:rPr>
        <w:t>上海浦东发展银行股份有限公司</w:t>
      </w:r>
      <w:r w:rsidR="00C70C22" w:rsidRPr="00CA358B">
        <w:rPr>
          <w:rFonts w:asciiTheme="minorEastAsia" w:hAnsiTheme="minorEastAsia" w:hint="eastAsia"/>
          <w:b/>
          <w:sz w:val="28"/>
          <w:szCs w:val="28"/>
        </w:rPr>
        <w:t>开通定期定额</w:t>
      </w:r>
      <w:r w:rsidR="004D6E5B" w:rsidRPr="00CA358B">
        <w:rPr>
          <w:rFonts w:asciiTheme="minorEastAsia" w:hAnsiTheme="minorEastAsia" w:hint="eastAsia"/>
          <w:b/>
          <w:sz w:val="28"/>
          <w:szCs w:val="28"/>
        </w:rPr>
        <w:t>投资</w:t>
      </w:r>
      <w:r w:rsidR="00C70C22" w:rsidRPr="00CA358B">
        <w:rPr>
          <w:rFonts w:asciiTheme="minorEastAsia" w:hAnsiTheme="minorEastAsia" w:hint="eastAsia"/>
          <w:b/>
          <w:sz w:val="28"/>
          <w:szCs w:val="28"/>
        </w:rPr>
        <w:t>业务</w:t>
      </w:r>
      <w:r w:rsidR="00E45333">
        <w:rPr>
          <w:rFonts w:asciiTheme="minorEastAsia" w:hAnsiTheme="minorEastAsia" w:hint="eastAsia"/>
          <w:b/>
          <w:sz w:val="28"/>
          <w:szCs w:val="28"/>
        </w:rPr>
        <w:t>并参与</w:t>
      </w:r>
      <w:r w:rsidR="00E45333" w:rsidRPr="00E45333">
        <w:rPr>
          <w:rFonts w:asciiTheme="minorEastAsia" w:hAnsiTheme="minorEastAsia" w:hint="eastAsia"/>
          <w:b/>
          <w:sz w:val="28"/>
          <w:szCs w:val="28"/>
        </w:rPr>
        <w:t>基金申购（含定投）费率优惠活动</w:t>
      </w:r>
      <w:r w:rsidR="00C70C22" w:rsidRPr="00CA358B">
        <w:rPr>
          <w:rFonts w:asciiTheme="minorEastAsia" w:hAnsiTheme="minorEastAsia" w:hint="eastAsia"/>
          <w:b/>
          <w:sz w:val="28"/>
          <w:szCs w:val="28"/>
        </w:rPr>
        <w:t>的公告</w:t>
      </w:r>
    </w:p>
    <w:p w:rsidR="0085231D" w:rsidRPr="008A50EF" w:rsidRDefault="0085231D" w:rsidP="00BA4161">
      <w:pPr>
        <w:spacing w:line="360" w:lineRule="auto"/>
        <w:ind w:firstLineChars="200" w:firstLine="480"/>
        <w:rPr>
          <w:rFonts w:asciiTheme="minorEastAsia" w:hAnsiTheme="minorEastAsia"/>
          <w:sz w:val="24"/>
          <w:szCs w:val="24"/>
        </w:rPr>
      </w:pPr>
    </w:p>
    <w:p w:rsidR="00BA4161" w:rsidRDefault="00BA4161" w:rsidP="00BA4161">
      <w:pPr>
        <w:spacing w:line="360" w:lineRule="auto"/>
        <w:ind w:firstLineChars="200" w:firstLine="480"/>
        <w:rPr>
          <w:rFonts w:asciiTheme="minorEastAsia" w:hAnsiTheme="minorEastAsia"/>
          <w:sz w:val="24"/>
          <w:szCs w:val="24"/>
        </w:rPr>
      </w:pPr>
      <w:r w:rsidRPr="00BA4161">
        <w:rPr>
          <w:rFonts w:asciiTheme="minorEastAsia" w:hAnsiTheme="minorEastAsia" w:hint="eastAsia"/>
          <w:sz w:val="24"/>
          <w:szCs w:val="24"/>
        </w:rPr>
        <w:t>为了更好地满足广大投资者的投资需求，中信建投基金管理有限公司（以下简称“本公司”）经与</w:t>
      </w:r>
      <w:r w:rsidR="00E45333" w:rsidRPr="00DF3138">
        <w:rPr>
          <w:rFonts w:asciiTheme="minorEastAsia" w:hAnsiTheme="minorEastAsia" w:hint="eastAsia"/>
          <w:sz w:val="24"/>
          <w:szCs w:val="24"/>
        </w:rPr>
        <w:t>上海浦东发展银行股份有限公司</w:t>
      </w:r>
      <w:r w:rsidRPr="00BA4161">
        <w:rPr>
          <w:rFonts w:asciiTheme="minorEastAsia" w:hAnsiTheme="minorEastAsia" w:hint="eastAsia"/>
          <w:sz w:val="24"/>
          <w:szCs w:val="24"/>
        </w:rPr>
        <w:t>（以下简称“</w:t>
      </w:r>
      <w:r w:rsidR="00E45333">
        <w:rPr>
          <w:rFonts w:asciiTheme="minorEastAsia" w:hAnsiTheme="minorEastAsia" w:hint="eastAsia"/>
          <w:sz w:val="24"/>
          <w:szCs w:val="24"/>
        </w:rPr>
        <w:t>浦发银行</w:t>
      </w:r>
      <w:r w:rsidRPr="00BA4161">
        <w:rPr>
          <w:rFonts w:asciiTheme="minorEastAsia" w:hAnsiTheme="minorEastAsia" w:hint="eastAsia"/>
          <w:sz w:val="24"/>
          <w:szCs w:val="24"/>
        </w:rPr>
        <w:t>”）协商一致，决定</w:t>
      </w:r>
      <w:r w:rsidR="00E45333" w:rsidRPr="00CD471C">
        <w:rPr>
          <w:rFonts w:asciiTheme="minorEastAsia" w:hAnsiTheme="minorEastAsia" w:hint="eastAsia"/>
          <w:sz w:val="24"/>
          <w:szCs w:val="24"/>
        </w:rPr>
        <w:t>本公司旗下部分基金</w:t>
      </w:r>
      <w:r w:rsidRPr="00BA4161">
        <w:rPr>
          <w:rFonts w:asciiTheme="minorEastAsia" w:hAnsiTheme="minorEastAsia" w:hint="eastAsia"/>
          <w:sz w:val="24"/>
          <w:szCs w:val="24"/>
        </w:rPr>
        <w:t>自20</w:t>
      </w:r>
      <w:r w:rsidRPr="00BA4161">
        <w:rPr>
          <w:rFonts w:asciiTheme="minorEastAsia" w:hAnsiTheme="minorEastAsia"/>
          <w:sz w:val="24"/>
          <w:szCs w:val="24"/>
        </w:rPr>
        <w:t>21</w:t>
      </w:r>
      <w:r w:rsidRPr="00BA4161">
        <w:rPr>
          <w:rFonts w:asciiTheme="minorEastAsia" w:hAnsiTheme="minorEastAsia" w:hint="eastAsia"/>
          <w:sz w:val="24"/>
          <w:szCs w:val="24"/>
        </w:rPr>
        <w:t>年</w:t>
      </w:r>
      <w:r w:rsidR="00E45333">
        <w:rPr>
          <w:rFonts w:asciiTheme="minorEastAsia" w:hAnsiTheme="minorEastAsia" w:hint="eastAsia"/>
          <w:sz w:val="24"/>
          <w:szCs w:val="24"/>
        </w:rPr>
        <w:t>7</w:t>
      </w:r>
      <w:r w:rsidRPr="00BA4161">
        <w:rPr>
          <w:rFonts w:asciiTheme="minorEastAsia" w:hAnsiTheme="minorEastAsia" w:hint="eastAsia"/>
          <w:sz w:val="24"/>
          <w:szCs w:val="24"/>
        </w:rPr>
        <w:t>月</w:t>
      </w:r>
      <w:r w:rsidR="00E45333">
        <w:rPr>
          <w:rFonts w:asciiTheme="minorEastAsia" w:hAnsiTheme="minorEastAsia" w:hint="eastAsia"/>
          <w:sz w:val="24"/>
          <w:szCs w:val="24"/>
        </w:rPr>
        <w:t>3</w:t>
      </w:r>
      <w:r w:rsidR="00E45333">
        <w:rPr>
          <w:rFonts w:asciiTheme="minorEastAsia" w:hAnsiTheme="minorEastAsia"/>
          <w:sz w:val="24"/>
          <w:szCs w:val="24"/>
        </w:rPr>
        <w:t>0</w:t>
      </w:r>
      <w:r w:rsidRPr="00BA4161">
        <w:rPr>
          <w:rFonts w:asciiTheme="minorEastAsia" w:hAnsiTheme="minorEastAsia" w:hint="eastAsia"/>
          <w:sz w:val="24"/>
          <w:szCs w:val="24"/>
        </w:rPr>
        <w:t>日起</w:t>
      </w:r>
      <w:r>
        <w:rPr>
          <w:rFonts w:asciiTheme="minorEastAsia" w:hAnsiTheme="minorEastAsia" w:hint="eastAsia"/>
          <w:sz w:val="24"/>
          <w:szCs w:val="24"/>
        </w:rPr>
        <w:t>在代销机构</w:t>
      </w:r>
      <w:r w:rsidR="00E45333">
        <w:rPr>
          <w:rFonts w:asciiTheme="minorEastAsia" w:hAnsiTheme="minorEastAsia" w:hint="eastAsia"/>
          <w:sz w:val="24"/>
          <w:szCs w:val="24"/>
        </w:rPr>
        <w:t>浦发银行</w:t>
      </w:r>
      <w:r w:rsidRPr="00BA4161">
        <w:rPr>
          <w:rFonts w:asciiTheme="minorEastAsia" w:hAnsiTheme="minorEastAsia" w:hint="eastAsia"/>
          <w:sz w:val="24"/>
          <w:szCs w:val="24"/>
        </w:rPr>
        <w:t>开通定期定额投资业务。</w:t>
      </w:r>
      <w:r>
        <w:rPr>
          <w:rFonts w:asciiTheme="minorEastAsia" w:hAnsiTheme="minorEastAsia" w:hint="eastAsia"/>
          <w:sz w:val="24"/>
          <w:szCs w:val="24"/>
        </w:rPr>
        <w:t>现就有关事项公告如下：</w:t>
      </w:r>
    </w:p>
    <w:p w:rsidR="003250B3" w:rsidRPr="00BA4161" w:rsidRDefault="00BA4161" w:rsidP="00BA416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3250B3" w:rsidRPr="00BA4161">
        <w:rPr>
          <w:rFonts w:asciiTheme="minorEastAsia" w:hAnsiTheme="minorEastAsia" w:hint="eastAsia"/>
          <w:sz w:val="24"/>
          <w:szCs w:val="24"/>
        </w:rPr>
        <w:t>适用基金范围</w:t>
      </w:r>
    </w:p>
    <w:tbl>
      <w:tblPr>
        <w:tblStyle w:val="a8"/>
        <w:tblpPr w:leftFromText="180" w:rightFromText="180" w:vertAnchor="text" w:tblpX="108" w:tblpY="50"/>
        <w:tblW w:w="8075" w:type="dxa"/>
        <w:tblLook w:val="04A0"/>
      </w:tblPr>
      <w:tblGrid>
        <w:gridCol w:w="5098"/>
        <w:gridCol w:w="2977"/>
      </w:tblGrid>
      <w:tr w:rsidR="003250B3" w:rsidTr="00E45333">
        <w:tc>
          <w:tcPr>
            <w:tcW w:w="5098" w:type="dxa"/>
            <w:vAlign w:val="center"/>
          </w:tcPr>
          <w:p w:rsidR="003250B3" w:rsidRDefault="003250B3" w:rsidP="003250B3">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977" w:type="dxa"/>
            <w:vAlign w:val="center"/>
          </w:tcPr>
          <w:p w:rsidR="003250B3" w:rsidRDefault="003250B3" w:rsidP="003250B3">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BA4161" w:rsidTr="00E45333">
        <w:tc>
          <w:tcPr>
            <w:tcW w:w="5098" w:type="dxa"/>
            <w:vAlign w:val="center"/>
          </w:tcPr>
          <w:p w:rsidR="00BA4161" w:rsidRPr="004D6E5B" w:rsidRDefault="00E45333" w:rsidP="003250B3">
            <w:pPr>
              <w:widowControl/>
              <w:spacing w:after="180"/>
              <w:jc w:val="center"/>
              <w:rPr>
                <w:rFonts w:asciiTheme="minorEastAsia" w:hAnsiTheme="minorEastAsia" w:cs="Times New Roman"/>
                <w:sz w:val="24"/>
                <w:szCs w:val="24"/>
              </w:rPr>
            </w:pPr>
            <w:r w:rsidRPr="003E371A">
              <w:rPr>
                <w:rFonts w:asciiTheme="minorEastAsia" w:hAnsiTheme="minorEastAsia" w:hint="eastAsia"/>
                <w:sz w:val="24"/>
                <w:szCs w:val="24"/>
              </w:rPr>
              <w:t>中信建投景和中短债债券型证券投资基金</w:t>
            </w:r>
          </w:p>
        </w:tc>
        <w:tc>
          <w:tcPr>
            <w:tcW w:w="2977" w:type="dxa"/>
            <w:vAlign w:val="center"/>
          </w:tcPr>
          <w:p w:rsidR="00BA4161" w:rsidRPr="004D6E5B" w:rsidRDefault="00E45333" w:rsidP="003250B3">
            <w:pPr>
              <w:widowControl/>
              <w:spacing w:after="180"/>
              <w:jc w:val="center"/>
              <w:rPr>
                <w:rFonts w:asciiTheme="minorEastAsia" w:hAnsiTheme="minorEastAsia"/>
                <w:sz w:val="24"/>
                <w:szCs w:val="24"/>
              </w:rPr>
            </w:pPr>
            <w:r w:rsidRPr="00E45333">
              <w:rPr>
                <w:rFonts w:asciiTheme="minorEastAsia" w:hAnsiTheme="minorEastAsia" w:hint="eastAsia"/>
                <w:sz w:val="24"/>
                <w:szCs w:val="24"/>
              </w:rPr>
              <w:t>A类000503, C类000504</w:t>
            </w:r>
          </w:p>
        </w:tc>
      </w:tr>
      <w:tr w:rsidR="00E45333" w:rsidTr="00E45333">
        <w:tc>
          <w:tcPr>
            <w:tcW w:w="5098" w:type="dxa"/>
            <w:vAlign w:val="center"/>
          </w:tcPr>
          <w:p w:rsidR="00E45333" w:rsidRPr="003E371A" w:rsidRDefault="00E45333" w:rsidP="003250B3">
            <w:pPr>
              <w:widowControl/>
              <w:spacing w:after="180"/>
              <w:jc w:val="center"/>
              <w:rPr>
                <w:rFonts w:asciiTheme="minorEastAsia" w:hAnsiTheme="minorEastAsia"/>
                <w:sz w:val="24"/>
                <w:szCs w:val="24"/>
              </w:rPr>
            </w:pPr>
            <w:r w:rsidRPr="0056136B">
              <w:rPr>
                <w:rFonts w:asciiTheme="minorEastAsia" w:hAnsiTheme="minorEastAsia" w:hint="eastAsia"/>
                <w:sz w:val="24"/>
                <w:szCs w:val="24"/>
              </w:rPr>
              <w:t>中信建投睿信灵活配置混合型证券投资基金</w:t>
            </w:r>
          </w:p>
        </w:tc>
        <w:tc>
          <w:tcPr>
            <w:tcW w:w="2977" w:type="dxa"/>
            <w:vAlign w:val="center"/>
          </w:tcPr>
          <w:p w:rsidR="00E45333" w:rsidRPr="00753C5D" w:rsidRDefault="00E45333" w:rsidP="003250B3">
            <w:pPr>
              <w:widowControl/>
              <w:spacing w:after="180"/>
              <w:jc w:val="center"/>
              <w:rPr>
                <w:rFonts w:asciiTheme="minorEastAsia" w:hAnsiTheme="minorEastAsia"/>
                <w:sz w:val="24"/>
                <w:szCs w:val="24"/>
              </w:rPr>
            </w:pPr>
            <w:r w:rsidRPr="0056136B">
              <w:rPr>
                <w:rFonts w:asciiTheme="minorEastAsia" w:hAnsiTheme="minorEastAsia" w:hint="eastAsia"/>
                <w:sz w:val="24"/>
                <w:szCs w:val="24"/>
              </w:rPr>
              <w:t>A类000926</w:t>
            </w:r>
          </w:p>
        </w:tc>
      </w:tr>
      <w:tr w:rsidR="00E45333" w:rsidTr="00E45333">
        <w:tc>
          <w:tcPr>
            <w:tcW w:w="5098" w:type="dxa"/>
            <w:vAlign w:val="center"/>
          </w:tcPr>
          <w:p w:rsidR="00E45333" w:rsidRPr="003E371A" w:rsidRDefault="00E45333" w:rsidP="003250B3">
            <w:pPr>
              <w:widowControl/>
              <w:spacing w:after="180"/>
              <w:jc w:val="center"/>
              <w:rPr>
                <w:rFonts w:asciiTheme="minorEastAsia" w:hAnsiTheme="minorEastAsia"/>
                <w:sz w:val="24"/>
                <w:szCs w:val="24"/>
              </w:rPr>
            </w:pPr>
            <w:r w:rsidRPr="0056136B">
              <w:rPr>
                <w:rFonts w:asciiTheme="minorEastAsia" w:hAnsiTheme="minorEastAsia" w:hint="eastAsia"/>
                <w:sz w:val="24"/>
                <w:szCs w:val="24"/>
              </w:rPr>
              <w:t>中信建投睿利灵活配置混合型发起式证券投资基金</w:t>
            </w:r>
          </w:p>
        </w:tc>
        <w:tc>
          <w:tcPr>
            <w:tcW w:w="2977" w:type="dxa"/>
            <w:vAlign w:val="center"/>
          </w:tcPr>
          <w:p w:rsidR="00E45333" w:rsidRPr="00753C5D" w:rsidRDefault="00E45333" w:rsidP="003250B3">
            <w:pPr>
              <w:widowControl/>
              <w:spacing w:after="180"/>
              <w:jc w:val="center"/>
              <w:rPr>
                <w:rFonts w:asciiTheme="minorEastAsia" w:hAnsiTheme="minorEastAsia"/>
                <w:sz w:val="24"/>
                <w:szCs w:val="24"/>
              </w:rPr>
            </w:pPr>
            <w:r w:rsidRPr="0056136B">
              <w:rPr>
                <w:rFonts w:asciiTheme="minorEastAsia" w:hAnsiTheme="minorEastAsia" w:hint="eastAsia"/>
                <w:sz w:val="24"/>
                <w:szCs w:val="24"/>
              </w:rPr>
              <w:t>A类003308</w:t>
            </w:r>
          </w:p>
        </w:tc>
      </w:tr>
      <w:tr w:rsidR="00E45333" w:rsidTr="00E45333">
        <w:tc>
          <w:tcPr>
            <w:tcW w:w="5098" w:type="dxa"/>
            <w:vAlign w:val="center"/>
          </w:tcPr>
          <w:p w:rsidR="00E45333" w:rsidRPr="003E371A" w:rsidRDefault="00E45333" w:rsidP="003250B3">
            <w:pPr>
              <w:widowControl/>
              <w:spacing w:after="180"/>
              <w:jc w:val="center"/>
              <w:rPr>
                <w:rFonts w:asciiTheme="minorEastAsia" w:hAnsiTheme="minorEastAsia"/>
                <w:sz w:val="24"/>
                <w:szCs w:val="24"/>
              </w:rPr>
            </w:pPr>
            <w:r w:rsidRPr="0056136B">
              <w:rPr>
                <w:rFonts w:asciiTheme="minorEastAsia" w:hAnsiTheme="minorEastAsia" w:hint="eastAsia"/>
                <w:sz w:val="24"/>
                <w:szCs w:val="24"/>
              </w:rPr>
              <w:t>中信建投行业轮换混合型证券投资基金</w:t>
            </w:r>
          </w:p>
        </w:tc>
        <w:tc>
          <w:tcPr>
            <w:tcW w:w="2977" w:type="dxa"/>
            <w:vAlign w:val="center"/>
          </w:tcPr>
          <w:p w:rsidR="00E45333" w:rsidRPr="00753C5D" w:rsidRDefault="00E45333" w:rsidP="003250B3">
            <w:pPr>
              <w:widowControl/>
              <w:spacing w:after="180"/>
              <w:jc w:val="center"/>
              <w:rPr>
                <w:rFonts w:asciiTheme="minorEastAsia" w:hAnsiTheme="minorEastAsia"/>
                <w:sz w:val="24"/>
                <w:szCs w:val="24"/>
              </w:rPr>
            </w:pPr>
            <w:r w:rsidRPr="00E45333">
              <w:rPr>
                <w:rFonts w:asciiTheme="minorEastAsia" w:hAnsiTheme="minorEastAsia" w:hint="eastAsia"/>
                <w:sz w:val="24"/>
                <w:szCs w:val="24"/>
              </w:rPr>
              <w:t>A类003822，C类003823</w:t>
            </w:r>
          </w:p>
        </w:tc>
      </w:tr>
    </w:tbl>
    <w:p w:rsidR="00C70C22" w:rsidRPr="00DD791B" w:rsidRDefault="00B439FF" w:rsidP="004401A0">
      <w:pPr>
        <w:spacing w:line="360" w:lineRule="auto"/>
        <w:ind w:firstLineChars="200" w:firstLine="480"/>
        <w:rPr>
          <w:rFonts w:asciiTheme="minorEastAsia" w:hAnsiTheme="minorEastAsia" w:cs="Times New Roman"/>
          <w:sz w:val="24"/>
          <w:szCs w:val="24"/>
        </w:rPr>
      </w:pPr>
      <w:r>
        <w:rPr>
          <w:rFonts w:asciiTheme="minorEastAsia" w:hAnsiTheme="minorEastAsia" w:hint="eastAsia"/>
          <w:sz w:val="24"/>
          <w:szCs w:val="24"/>
        </w:rPr>
        <w:t>二、</w:t>
      </w:r>
      <w:r w:rsidR="00C70C22">
        <w:rPr>
          <w:rFonts w:asciiTheme="minorEastAsia" w:hAnsiTheme="minorEastAsia" w:cs="Times New Roman" w:hint="eastAsia"/>
          <w:sz w:val="24"/>
          <w:szCs w:val="24"/>
        </w:rPr>
        <w:t>定期定额投资业务</w:t>
      </w:r>
    </w:p>
    <w:p w:rsidR="00C70C22" w:rsidRDefault="00C70C22" w:rsidP="00C70C2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E45333">
        <w:rPr>
          <w:rFonts w:asciiTheme="minorEastAsia" w:hAnsiTheme="minorEastAsia" w:hint="eastAsia"/>
          <w:sz w:val="24"/>
          <w:szCs w:val="24"/>
        </w:rPr>
        <w:t>浦发银行</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办理上述基金的定期定额投资业务</w:t>
      </w:r>
      <w:r w:rsidRPr="00975CC1">
        <w:rPr>
          <w:rFonts w:asciiTheme="minorEastAsia" w:hAnsiTheme="minorEastAsia" w:hint="eastAsia"/>
          <w:sz w:val="24"/>
          <w:szCs w:val="24"/>
        </w:rPr>
        <w:t>，约定每期扣款时间、扣款金额及扣款方式，由</w:t>
      </w:r>
      <w:r w:rsidR="00E45333">
        <w:rPr>
          <w:rFonts w:asciiTheme="minorEastAsia" w:hAnsiTheme="minorEastAsia" w:hint="eastAsia"/>
          <w:sz w:val="24"/>
          <w:szCs w:val="24"/>
        </w:rPr>
        <w:t>浦发银行</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444F59" w:rsidRDefault="000477BA" w:rsidP="00D14279">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三</w:t>
      </w:r>
      <w:r w:rsidR="00C70C22">
        <w:rPr>
          <w:rFonts w:asciiTheme="minorEastAsia" w:hAnsiTheme="minorEastAsia" w:cs="Times New Roman" w:hint="eastAsia"/>
          <w:sz w:val="24"/>
          <w:szCs w:val="24"/>
        </w:rPr>
        <w:t>、适用投资者</w:t>
      </w:r>
    </w:p>
    <w:p w:rsidR="00B439FF" w:rsidRDefault="00C70C22" w:rsidP="00B439F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0477BA"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Default="00C70C22" w:rsidP="00B439FF">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Pr>
          <w:rFonts w:asciiTheme="minorEastAsia" w:hAnsiTheme="minorEastAsia"/>
          <w:sz w:val="24"/>
          <w:szCs w:val="24"/>
        </w:rPr>
        <w:t>202</w:t>
      </w:r>
      <w:r w:rsidR="0051156B">
        <w:rPr>
          <w:rFonts w:asciiTheme="minorEastAsia" w:hAnsiTheme="minorEastAsia" w:hint="eastAsia"/>
          <w:sz w:val="24"/>
          <w:szCs w:val="24"/>
        </w:rPr>
        <w:t>1</w:t>
      </w:r>
      <w:r w:rsidRPr="00975CC1">
        <w:rPr>
          <w:rFonts w:asciiTheme="minorEastAsia" w:hAnsiTheme="minorEastAsia" w:hint="eastAsia"/>
          <w:sz w:val="24"/>
          <w:szCs w:val="24"/>
        </w:rPr>
        <w:t>年</w:t>
      </w:r>
      <w:r w:rsidR="00E45333">
        <w:rPr>
          <w:rFonts w:asciiTheme="minorEastAsia" w:hAnsiTheme="minorEastAsia"/>
          <w:sz w:val="24"/>
          <w:szCs w:val="24"/>
        </w:rPr>
        <w:t>7</w:t>
      </w:r>
      <w:r>
        <w:rPr>
          <w:rFonts w:asciiTheme="minorEastAsia" w:hAnsiTheme="minorEastAsia"/>
          <w:sz w:val="24"/>
          <w:szCs w:val="24"/>
        </w:rPr>
        <w:t>月</w:t>
      </w:r>
      <w:r w:rsidR="00E45333">
        <w:rPr>
          <w:rFonts w:asciiTheme="minorEastAsia" w:hAnsiTheme="minorEastAsia"/>
          <w:sz w:val="24"/>
          <w:szCs w:val="24"/>
        </w:rPr>
        <w:t>30</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E45333">
        <w:rPr>
          <w:rFonts w:asciiTheme="minorEastAsia" w:hAnsiTheme="minorEastAsia" w:hint="eastAsia"/>
          <w:sz w:val="24"/>
          <w:szCs w:val="24"/>
        </w:rPr>
        <w:t>浦发银行</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167C1D" w:rsidRPr="00B439FF" w:rsidRDefault="00167C1D" w:rsidP="00B439FF">
      <w:pPr>
        <w:spacing w:line="360" w:lineRule="auto"/>
        <w:ind w:firstLineChars="200" w:firstLine="480"/>
        <w:rPr>
          <w:rFonts w:asciiTheme="minorEastAsia" w:hAnsiTheme="minorEastAsia"/>
          <w:sz w:val="24"/>
          <w:szCs w:val="24"/>
        </w:rPr>
      </w:pPr>
    </w:p>
    <w:p w:rsidR="00B36CF2" w:rsidRPr="00975CC1" w:rsidRDefault="000477BA"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五</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E45333">
        <w:rPr>
          <w:rFonts w:asciiTheme="minorEastAsia" w:hAnsiTheme="minorEastAsia" w:hint="eastAsia"/>
          <w:sz w:val="24"/>
          <w:szCs w:val="24"/>
        </w:rPr>
        <w:t>浦发银行</w:t>
      </w:r>
      <w:r w:rsidRPr="00975CC1">
        <w:rPr>
          <w:rFonts w:asciiTheme="minorEastAsia" w:hAnsiTheme="minorEastAsia" w:cs="Times New Roman" w:hint="eastAsia"/>
          <w:sz w:val="24"/>
          <w:szCs w:val="24"/>
        </w:rPr>
        <w:t>规定的办理方式申请办理此项业务。</w:t>
      </w:r>
    </w:p>
    <w:p w:rsidR="00B36CF2" w:rsidRPr="00975CC1" w:rsidRDefault="000477BA"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0477BA"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E45333">
        <w:rPr>
          <w:rFonts w:asciiTheme="minorEastAsia" w:hAnsiTheme="minorEastAsia" w:hint="eastAsia"/>
          <w:sz w:val="24"/>
          <w:szCs w:val="24"/>
        </w:rPr>
        <w:t>浦发银行</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0477BA"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、扣款金额</w:t>
      </w:r>
    </w:p>
    <w:p w:rsidR="00945814" w:rsidRDefault="00945814" w:rsidP="00B36CF2">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E45333">
        <w:rPr>
          <w:rFonts w:asciiTheme="minorEastAsia" w:hAnsiTheme="minorEastAsia" w:hint="eastAsia"/>
          <w:sz w:val="24"/>
          <w:szCs w:val="24"/>
        </w:rPr>
        <w:t>浦发银行</w:t>
      </w:r>
      <w:r w:rsidRPr="00F86E01">
        <w:rPr>
          <w:rFonts w:asciiTheme="minorEastAsia" w:hAnsiTheme="minorEastAsia" w:cs="Times New Roman" w:hint="eastAsia"/>
          <w:sz w:val="24"/>
          <w:szCs w:val="24"/>
        </w:rPr>
        <w:t>就上述基金申请开办定期定额投资业务约定固定扣款（申购）金额，</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sidR="004D6E5B">
        <w:rPr>
          <w:rFonts w:asciiTheme="minorEastAsia" w:hAnsiTheme="minorEastAsia" w:cs="Times New Roman"/>
          <w:sz w:val="24"/>
          <w:szCs w:val="24"/>
        </w:rPr>
        <w:t>00</w:t>
      </w:r>
      <w:r w:rsidR="00F86E01" w:rsidRPr="00F86E01">
        <w:rPr>
          <w:rFonts w:asciiTheme="minorEastAsia" w:hAnsiTheme="minorEastAsia" w:cs="Times New Roman" w:hint="eastAsia"/>
          <w:sz w:val="24"/>
          <w:szCs w:val="24"/>
        </w:rPr>
        <w:t>元起（含1</w:t>
      </w:r>
      <w:r w:rsidR="004D6E5B">
        <w:rPr>
          <w:rFonts w:asciiTheme="minorEastAsia" w:hAnsiTheme="minorEastAsia" w:cs="Times New Roman"/>
          <w:sz w:val="24"/>
          <w:szCs w:val="24"/>
        </w:rPr>
        <w:t>00</w:t>
      </w:r>
      <w:r w:rsidR="00F86E01" w:rsidRPr="00F86E01">
        <w:rPr>
          <w:rFonts w:asciiTheme="minorEastAsia" w:hAnsiTheme="minorEastAsia" w:cs="Times New Roman" w:hint="eastAsia"/>
          <w:sz w:val="24"/>
          <w:szCs w:val="24"/>
        </w:rPr>
        <w:t>元）。</w:t>
      </w:r>
    </w:p>
    <w:p w:rsidR="00B36CF2" w:rsidRPr="00975CC1" w:rsidRDefault="000477BA"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E45333">
        <w:rPr>
          <w:rFonts w:asciiTheme="minorEastAsia" w:hAnsiTheme="minorEastAsia" w:hint="eastAsia"/>
          <w:sz w:val="24"/>
          <w:szCs w:val="24"/>
        </w:rPr>
        <w:t>浦发银行</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0477BA">
        <w:rPr>
          <w:rFonts w:asciiTheme="minorEastAsia" w:hAnsiTheme="minorEastAsia" w:cs="Times New Roman" w:hint="eastAsia"/>
          <w:sz w:val="24"/>
          <w:szCs w:val="24"/>
        </w:rPr>
        <w:t>一</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E45333">
        <w:rPr>
          <w:rFonts w:asciiTheme="minorEastAsia" w:hAnsiTheme="minorEastAsia" w:hint="eastAsia"/>
          <w:sz w:val="24"/>
          <w:szCs w:val="24"/>
        </w:rPr>
        <w:t>浦发银行</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E45333">
        <w:rPr>
          <w:rFonts w:asciiTheme="minorEastAsia" w:hAnsiTheme="minorEastAsia" w:hint="eastAsia"/>
          <w:sz w:val="24"/>
          <w:szCs w:val="24"/>
        </w:rPr>
        <w:t>浦发银行</w:t>
      </w:r>
      <w:r w:rsidRPr="00975CC1">
        <w:rPr>
          <w:rFonts w:asciiTheme="minorEastAsia" w:hAnsiTheme="minorEastAsia" w:cs="Times New Roman" w:hint="eastAsia"/>
          <w:sz w:val="24"/>
          <w:szCs w:val="24"/>
        </w:rPr>
        <w:t>规定的办理方式申请办理业务终止手续；</w:t>
      </w:r>
    </w:p>
    <w:p w:rsidR="00B439FF" w:rsidRPr="00B439FF" w:rsidRDefault="00B36CF2" w:rsidP="00B439F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E45333">
        <w:rPr>
          <w:rFonts w:asciiTheme="minorEastAsia" w:hAnsiTheme="minorEastAsia" w:hint="eastAsia"/>
          <w:sz w:val="24"/>
          <w:szCs w:val="24"/>
        </w:rPr>
        <w:t>浦发银行</w:t>
      </w:r>
      <w:r w:rsidRPr="00975CC1">
        <w:rPr>
          <w:rFonts w:asciiTheme="minorEastAsia" w:hAnsiTheme="minorEastAsia" w:cs="Times New Roman" w:hint="eastAsia"/>
          <w:sz w:val="24"/>
          <w:szCs w:val="24"/>
        </w:rPr>
        <w:t>的有关规定。</w:t>
      </w:r>
    </w:p>
    <w:p w:rsidR="00C270B5" w:rsidRDefault="00742F4D" w:rsidP="00D11DF9">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sidR="000477BA">
        <w:rPr>
          <w:rFonts w:asciiTheme="minorEastAsia" w:hAnsiTheme="minorEastAsia" w:cs="Times New Roman" w:hint="eastAsia"/>
          <w:sz w:val="24"/>
          <w:szCs w:val="24"/>
        </w:rPr>
        <w:t>二</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E45333">
        <w:rPr>
          <w:rFonts w:asciiTheme="minorEastAsia" w:hAnsiTheme="minorEastAsia" w:hint="eastAsia"/>
          <w:sz w:val="24"/>
          <w:szCs w:val="24"/>
        </w:rPr>
        <w:t>浦发银行</w:t>
      </w:r>
      <w:r w:rsidR="009845D9" w:rsidRPr="005D1E5F">
        <w:rPr>
          <w:rFonts w:asciiTheme="minorEastAsia" w:hAnsiTheme="minor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w:t>
      </w:r>
      <w:r w:rsidR="00E45333">
        <w:rPr>
          <w:rFonts w:asciiTheme="minorEastAsia" w:hAnsiTheme="minorEastAsia" w:hint="eastAsia"/>
          <w:sz w:val="24"/>
          <w:szCs w:val="24"/>
        </w:rPr>
        <w:t>下列</w:t>
      </w:r>
      <w:r w:rsidR="009845D9" w:rsidRPr="005D1E5F">
        <w:rPr>
          <w:rFonts w:asciiTheme="minorEastAsia" w:hAnsiTheme="minorEastAsia"/>
          <w:sz w:val="24"/>
          <w:szCs w:val="24"/>
        </w:rPr>
        <w:t>基金</w:t>
      </w:r>
      <w:r w:rsidR="009845D9">
        <w:rPr>
          <w:rFonts w:asciiTheme="minorEastAsia" w:hAnsiTheme="minorEastAsia" w:hint="eastAsia"/>
          <w:sz w:val="24"/>
          <w:szCs w:val="24"/>
        </w:rPr>
        <w:t>A类份额</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业务具体折扣率以</w:t>
      </w:r>
      <w:r w:rsidR="00E45333">
        <w:rPr>
          <w:rFonts w:asciiTheme="minorEastAsia" w:hAnsiTheme="minorEastAsia" w:hint="eastAsia"/>
          <w:sz w:val="24"/>
          <w:szCs w:val="24"/>
        </w:rPr>
        <w:t>浦发银行</w:t>
      </w:r>
      <w:r w:rsidR="009845D9">
        <w:rPr>
          <w:rFonts w:asciiTheme="minorEastAsia" w:hAnsiTheme="minorEastAsia" w:hint="eastAsia"/>
          <w:sz w:val="24"/>
          <w:szCs w:val="24"/>
        </w:rPr>
        <w:t>的官网公告为准</w:t>
      </w:r>
      <w:r w:rsidR="009845D9" w:rsidRPr="005D1E5F">
        <w:rPr>
          <w:rFonts w:asciiTheme="minorEastAsia" w:hAnsiTheme="minorEastAsia"/>
          <w:sz w:val="24"/>
          <w:szCs w:val="24"/>
        </w:rPr>
        <w:t>。</w:t>
      </w:r>
    </w:p>
    <w:p w:rsidR="00167C1D" w:rsidRDefault="00167C1D" w:rsidP="00D11DF9">
      <w:pPr>
        <w:spacing w:line="360" w:lineRule="auto"/>
        <w:ind w:firstLine="420"/>
        <w:rPr>
          <w:rFonts w:asciiTheme="minorEastAsia" w:hAnsiTheme="minorEastAsia"/>
          <w:sz w:val="24"/>
          <w:szCs w:val="24"/>
        </w:rPr>
      </w:pPr>
    </w:p>
    <w:tbl>
      <w:tblPr>
        <w:tblStyle w:val="a8"/>
        <w:tblW w:w="8359" w:type="dxa"/>
        <w:tblLook w:val="04A0"/>
      </w:tblPr>
      <w:tblGrid>
        <w:gridCol w:w="5665"/>
        <w:gridCol w:w="2694"/>
      </w:tblGrid>
      <w:tr w:rsidR="00167C1D" w:rsidTr="00167C1D">
        <w:tc>
          <w:tcPr>
            <w:tcW w:w="5665" w:type="dxa"/>
          </w:tcPr>
          <w:p w:rsidR="00167C1D" w:rsidRDefault="00167C1D" w:rsidP="00643597">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基金名称</w:t>
            </w:r>
          </w:p>
        </w:tc>
        <w:tc>
          <w:tcPr>
            <w:tcW w:w="2694" w:type="dxa"/>
          </w:tcPr>
          <w:p w:rsidR="00167C1D" w:rsidRDefault="00167C1D" w:rsidP="00643597">
            <w:pPr>
              <w:spacing w:line="360" w:lineRule="auto"/>
              <w:jc w:val="center"/>
              <w:rPr>
                <w:rFonts w:asciiTheme="minorEastAsia" w:hAnsiTheme="minorEastAsia"/>
                <w:sz w:val="24"/>
                <w:szCs w:val="24"/>
              </w:rPr>
            </w:pPr>
            <w:r>
              <w:rPr>
                <w:rFonts w:asciiTheme="minorEastAsia" w:hAnsiTheme="minorEastAsia" w:hint="eastAsia"/>
                <w:sz w:val="24"/>
                <w:szCs w:val="24"/>
              </w:rPr>
              <w:t>基金代码</w:t>
            </w:r>
          </w:p>
        </w:tc>
      </w:tr>
      <w:tr w:rsidR="00167C1D" w:rsidTr="00167C1D">
        <w:tc>
          <w:tcPr>
            <w:tcW w:w="5665" w:type="dxa"/>
          </w:tcPr>
          <w:p w:rsidR="00167C1D" w:rsidRDefault="00167C1D" w:rsidP="00643597">
            <w:pPr>
              <w:spacing w:line="360" w:lineRule="auto"/>
              <w:jc w:val="center"/>
              <w:rPr>
                <w:rFonts w:asciiTheme="minorEastAsia" w:hAnsiTheme="minorEastAsia"/>
                <w:sz w:val="24"/>
                <w:szCs w:val="24"/>
              </w:rPr>
            </w:pPr>
            <w:r w:rsidRPr="003E371A">
              <w:rPr>
                <w:rFonts w:asciiTheme="minorEastAsia" w:hAnsiTheme="minorEastAsia" w:hint="eastAsia"/>
                <w:sz w:val="24"/>
                <w:szCs w:val="24"/>
              </w:rPr>
              <w:t>中信建投景和中短债债券型证券投资基金</w:t>
            </w:r>
          </w:p>
        </w:tc>
        <w:tc>
          <w:tcPr>
            <w:tcW w:w="2694" w:type="dxa"/>
          </w:tcPr>
          <w:p w:rsidR="00167C1D" w:rsidRDefault="00167C1D" w:rsidP="00643597">
            <w:pPr>
              <w:spacing w:line="360" w:lineRule="auto"/>
              <w:jc w:val="center"/>
              <w:rPr>
                <w:rFonts w:asciiTheme="minorEastAsia" w:hAnsiTheme="minorEastAsia"/>
                <w:sz w:val="24"/>
                <w:szCs w:val="24"/>
              </w:rPr>
            </w:pPr>
            <w:r w:rsidRPr="003E371A">
              <w:rPr>
                <w:rFonts w:asciiTheme="minorEastAsia" w:hAnsiTheme="minorEastAsia" w:hint="eastAsia"/>
                <w:sz w:val="24"/>
                <w:szCs w:val="24"/>
              </w:rPr>
              <w:t>A类000503</w:t>
            </w:r>
          </w:p>
        </w:tc>
      </w:tr>
      <w:tr w:rsidR="00167C1D" w:rsidTr="00167C1D">
        <w:tc>
          <w:tcPr>
            <w:tcW w:w="5665" w:type="dxa"/>
          </w:tcPr>
          <w:p w:rsidR="00167C1D"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中信建投睿信灵活配置混合型证券投资基金</w:t>
            </w:r>
          </w:p>
        </w:tc>
        <w:tc>
          <w:tcPr>
            <w:tcW w:w="2694" w:type="dxa"/>
          </w:tcPr>
          <w:p w:rsidR="00167C1D"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A类000926</w:t>
            </w:r>
          </w:p>
        </w:tc>
      </w:tr>
      <w:tr w:rsidR="00167C1D" w:rsidTr="00167C1D">
        <w:tc>
          <w:tcPr>
            <w:tcW w:w="5665" w:type="dxa"/>
          </w:tcPr>
          <w:p w:rsidR="00167C1D"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中信建投智信物联网灵活配置混合型证券投资基金</w:t>
            </w:r>
          </w:p>
        </w:tc>
        <w:tc>
          <w:tcPr>
            <w:tcW w:w="2694" w:type="dxa"/>
          </w:tcPr>
          <w:p w:rsidR="00167C1D"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A类001809</w:t>
            </w:r>
          </w:p>
        </w:tc>
      </w:tr>
      <w:tr w:rsidR="00167C1D" w:rsidRPr="0056136B" w:rsidTr="00167C1D">
        <w:tc>
          <w:tcPr>
            <w:tcW w:w="5665"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中信建投聚利混合型证券投资基金</w:t>
            </w:r>
          </w:p>
        </w:tc>
        <w:tc>
          <w:tcPr>
            <w:tcW w:w="2694"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A类001914</w:t>
            </w:r>
          </w:p>
        </w:tc>
      </w:tr>
      <w:tr w:rsidR="00167C1D" w:rsidRPr="0056136B" w:rsidTr="00167C1D">
        <w:tc>
          <w:tcPr>
            <w:tcW w:w="5665"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中信建投医改灵活配置混合型证券投资基金</w:t>
            </w:r>
          </w:p>
        </w:tc>
        <w:tc>
          <w:tcPr>
            <w:tcW w:w="2694"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A类002408</w:t>
            </w:r>
          </w:p>
        </w:tc>
      </w:tr>
      <w:tr w:rsidR="00167C1D" w:rsidRPr="0056136B" w:rsidTr="00167C1D">
        <w:tc>
          <w:tcPr>
            <w:tcW w:w="5665"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中信建投睿溢混合型证券投资基金</w:t>
            </w:r>
          </w:p>
        </w:tc>
        <w:tc>
          <w:tcPr>
            <w:tcW w:w="2694"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A类002640</w:t>
            </w:r>
          </w:p>
        </w:tc>
      </w:tr>
      <w:tr w:rsidR="00167C1D" w:rsidRPr="0056136B" w:rsidTr="00167C1D">
        <w:tc>
          <w:tcPr>
            <w:tcW w:w="5665"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中信建投睿利灵活配置混合型发起式证券投资基金</w:t>
            </w:r>
          </w:p>
        </w:tc>
        <w:tc>
          <w:tcPr>
            <w:tcW w:w="2694"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A类003308</w:t>
            </w:r>
          </w:p>
        </w:tc>
      </w:tr>
      <w:tr w:rsidR="00167C1D" w:rsidRPr="0056136B" w:rsidTr="00167C1D">
        <w:tc>
          <w:tcPr>
            <w:tcW w:w="5665"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中信建投稳裕定期开放债券型证券投资基金</w:t>
            </w:r>
          </w:p>
        </w:tc>
        <w:tc>
          <w:tcPr>
            <w:tcW w:w="2694"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A类003573</w:t>
            </w:r>
          </w:p>
        </w:tc>
      </w:tr>
      <w:tr w:rsidR="00167C1D" w:rsidRPr="0056136B" w:rsidTr="00167C1D">
        <w:tc>
          <w:tcPr>
            <w:tcW w:w="5665"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中信建投行业轮换混合型证券投资基金</w:t>
            </w:r>
          </w:p>
        </w:tc>
        <w:tc>
          <w:tcPr>
            <w:tcW w:w="2694" w:type="dxa"/>
          </w:tcPr>
          <w:p w:rsidR="00167C1D" w:rsidRPr="0056136B" w:rsidRDefault="00167C1D" w:rsidP="00643597">
            <w:pPr>
              <w:spacing w:line="360" w:lineRule="auto"/>
              <w:jc w:val="center"/>
              <w:rPr>
                <w:rFonts w:asciiTheme="minorEastAsia" w:hAnsiTheme="minorEastAsia"/>
                <w:sz w:val="24"/>
                <w:szCs w:val="24"/>
              </w:rPr>
            </w:pPr>
            <w:r w:rsidRPr="0056136B">
              <w:rPr>
                <w:rFonts w:asciiTheme="minorEastAsia" w:hAnsiTheme="minorEastAsia" w:hint="eastAsia"/>
                <w:sz w:val="24"/>
                <w:szCs w:val="24"/>
              </w:rPr>
              <w:t>A类003822</w:t>
            </w:r>
          </w:p>
        </w:tc>
      </w:tr>
    </w:tbl>
    <w:p w:rsidR="004F0DDB" w:rsidRPr="005F3693" w:rsidRDefault="00742F4D" w:rsidP="00167C1D">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十</w:t>
      </w:r>
      <w:r w:rsidR="000477BA">
        <w:rPr>
          <w:rFonts w:asciiTheme="minorEastAsia" w:hAnsiTheme="minorEastAsia" w:cs="Times New Roman" w:hint="eastAsia"/>
          <w:bCs/>
          <w:sz w:val="24"/>
          <w:szCs w:val="24"/>
        </w:rPr>
        <w:t>三</w:t>
      </w:r>
      <w:bookmarkStart w:id="0" w:name="_GoBack"/>
      <w:bookmarkEnd w:id="0"/>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753C5D" w:rsidRPr="00330A8B" w:rsidRDefault="003B7ABB" w:rsidP="00753C5D">
      <w:pPr>
        <w:spacing w:line="360" w:lineRule="auto"/>
        <w:ind w:rightChars="200" w:right="420" w:firstLine="420"/>
        <w:rPr>
          <w:rFonts w:ascii="宋体" w:hAnsi="宋体"/>
          <w:bCs/>
          <w:sz w:val="24"/>
        </w:rPr>
      </w:pPr>
      <w:r w:rsidRPr="005F3693">
        <w:rPr>
          <w:rFonts w:asciiTheme="minorEastAsia" w:hAnsiTheme="minorEastAsia" w:hint="eastAsia"/>
          <w:sz w:val="24"/>
          <w:szCs w:val="24"/>
        </w:rPr>
        <w:t>1、</w:t>
      </w:r>
      <w:bookmarkStart w:id="1" w:name="_Hlk55906706"/>
      <w:r w:rsidR="00167C1D" w:rsidRPr="00BD0B66">
        <w:rPr>
          <w:rFonts w:ascii="宋体" w:hAnsi="宋体" w:hint="eastAsia"/>
          <w:bCs/>
          <w:sz w:val="24"/>
        </w:rPr>
        <w:t>上海浦东发展银行股份有限公司</w:t>
      </w:r>
    </w:p>
    <w:p w:rsidR="00753C5D" w:rsidRPr="00330A8B" w:rsidRDefault="00753C5D" w:rsidP="00753C5D">
      <w:pPr>
        <w:spacing w:line="360" w:lineRule="auto"/>
        <w:ind w:rightChars="200" w:right="420" w:firstLine="420"/>
        <w:rPr>
          <w:rFonts w:ascii="宋体" w:hAnsi="宋体"/>
          <w:bCs/>
          <w:sz w:val="24"/>
        </w:rPr>
      </w:pPr>
      <w:r w:rsidRPr="00330A8B">
        <w:rPr>
          <w:rFonts w:ascii="宋体" w:hAnsi="宋体" w:hint="eastAsia"/>
          <w:bCs/>
          <w:sz w:val="24"/>
        </w:rPr>
        <w:t>网址：</w:t>
      </w:r>
      <w:r w:rsidR="00167C1D" w:rsidRPr="00BD0B66">
        <w:rPr>
          <w:rFonts w:ascii="宋体" w:hAnsi="宋体" w:hint="eastAsia"/>
          <w:bCs/>
          <w:sz w:val="24"/>
        </w:rPr>
        <w:t>www.spdb.com.cn</w:t>
      </w:r>
    </w:p>
    <w:p w:rsidR="00753C5D" w:rsidRDefault="00753C5D" w:rsidP="00753C5D">
      <w:pPr>
        <w:spacing w:line="360" w:lineRule="auto"/>
        <w:ind w:rightChars="200" w:right="420" w:firstLine="420"/>
        <w:rPr>
          <w:rFonts w:ascii="宋体" w:hAnsi="宋体"/>
          <w:bCs/>
          <w:sz w:val="24"/>
        </w:rPr>
      </w:pPr>
      <w:r>
        <w:rPr>
          <w:rFonts w:ascii="宋体" w:hAnsi="宋体" w:hint="eastAsia"/>
          <w:bCs/>
          <w:sz w:val="24"/>
        </w:rPr>
        <w:t>联系电话</w:t>
      </w:r>
      <w:r w:rsidRPr="00330A8B">
        <w:rPr>
          <w:rFonts w:ascii="宋体" w:hAnsi="宋体" w:hint="eastAsia"/>
          <w:bCs/>
          <w:sz w:val="24"/>
        </w:rPr>
        <w:t>：</w:t>
      </w:r>
      <w:r w:rsidR="00167C1D" w:rsidRPr="00BD0B66">
        <w:rPr>
          <w:rFonts w:ascii="宋体" w:hAnsi="宋体" w:hint="eastAsia"/>
          <w:bCs/>
          <w:sz w:val="24"/>
        </w:rPr>
        <w:t>95528</w:t>
      </w:r>
    </w:p>
    <w:bookmarkEnd w:id="1"/>
    <w:p w:rsidR="009A3A1B" w:rsidRPr="005F3693" w:rsidRDefault="003B7ABB" w:rsidP="00753C5D">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D034AD" w:rsidRDefault="009A3A1B" w:rsidP="00D14279">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167C1D" w:rsidRDefault="00167C1D" w:rsidP="00D14279">
      <w:pPr>
        <w:spacing w:line="360" w:lineRule="auto"/>
        <w:ind w:firstLineChars="200" w:firstLine="480"/>
        <w:rPr>
          <w:rFonts w:asciiTheme="minorEastAsia" w:hAnsiTheme="minorEastAsia" w:cs="Times New Roman"/>
          <w:sz w:val="24"/>
          <w:szCs w:val="24"/>
        </w:rPr>
      </w:pPr>
    </w:p>
    <w:p w:rsidR="00B25196" w:rsidRPr="005F3693" w:rsidRDefault="00B25196" w:rsidP="00B25196">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4F0DDB" w:rsidRPr="005F3693" w:rsidRDefault="00E9356C" w:rsidP="009A3A1B">
      <w:pPr>
        <w:tabs>
          <w:tab w:val="center" w:pos="3686"/>
          <w:tab w:val="center" w:pos="6237"/>
        </w:tabs>
        <w:spacing w:line="360" w:lineRule="auto"/>
        <w:rPr>
          <w:rFonts w:asciiTheme="minorEastAsia" w:hAnsiTheme="minorEastAsia" w:cs="Times New Roman"/>
          <w:sz w:val="24"/>
          <w:szCs w:val="24"/>
        </w:rPr>
      </w:pPr>
      <w:r w:rsidRPr="005F3693">
        <w:rPr>
          <w:rFonts w:asciiTheme="minorEastAsia" w:hAnsiTheme="minorEastAsia" w:cs="Times New Roman" w:hint="eastAsia"/>
          <w:sz w:val="24"/>
          <w:szCs w:val="24"/>
        </w:rPr>
        <w:t xml:space="preserve">    </w:t>
      </w:r>
    </w:p>
    <w:p w:rsidR="007438F8" w:rsidRPr="005F3693" w:rsidRDefault="00F37416" w:rsidP="004F0DDB">
      <w:pPr>
        <w:tabs>
          <w:tab w:val="center" w:pos="3686"/>
          <w:tab w:val="center" w:pos="6237"/>
        </w:tabs>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012C27" w:rsidRPr="005F3693" w:rsidRDefault="00C270B5" w:rsidP="00D14279">
      <w:pPr>
        <w:tabs>
          <w:tab w:val="center" w:pos="3686"/>
          <w:tab w:val="center" w:pos="6237"/>
        </w:tabs>
        <w:spacing w:line="360" w:lineRule="auto"/>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167C1D">
        <w:rPr>
          <w:rFonts w:asciiTheme="minorEastAsia" w:hAnsiTheme="minorEastAsia" w:cs="Times New Roman"/>
          <w:sz w:val="24"/>
          <w:szCs w:val="24"/>
        </w:rPr>
        <w:t>7</w:t>
      </w:r>
      <w:r w:rsidRPr="005F3693">
        <w:rPr>
          <w:rFonts w:asciiTheme="minorEastAsia" w:hAnsiTheme="minorEastAsia" w:cs="Times New Roman" w:hint="eastAsia"/>
          <w:sz w:val="24"/>
          <w:szCs w:val="24"/>
        </w:rPr>
        <w:t>月</w:t>
      </w:r>
      <w:r w:rsidR="00167C1D">
        <w:rPr>
          <w:rFonts w:asciiTheme="minorEastAsia" w:hAnsiTheme="minorEastAsia" w:cs="Times New Roman"/>
          <w:sz w:val="24"/>
          <w:szCs w:val="24"/>
        </w:rPr>
        <w:t>30</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94D" w:rsidRDefault="0003194D" w:rsidP="0013092C">
      <w:r>
        <w:separator/>
      </w:r>
    </w:p>
  </w:endnote>
  <w:endnote w:type="continuationSeparator" w:id="0">
    <w:p w:rsidR="0003194D" w:rsidRDefault="0003194D"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94D" w:rsidRDefault="0003194D" w:rsidP="0013092C">
      <w:r>
        <w:separator/>
      </w:r>
    </w:p>
  </w:footnote>
  <w:footnote w:type="continuationSeparator" w:id="0">
    <w:p w:rsidR="0003194D" w:rsidRDefault="0003194D"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21393"/>
    <w:rsid w:val="00025048"/>
    <w:rsid w:val="0003194D"/>
    <w:rsid w:val="0004215C"/>
    <w:rsid w:val="00042969"/>
    <w:rsid w:val="000477BA"/>
    <w:rsid w:val="0006750C"/>
    <w:rsid w:val="00080497"/>
    <w:rsid w:val="000850F3"/>
    <w:rsid w:val="000B0617"/>
    <w:rsid w:val="000B3B24"/>
    <w:rsid w:val="000C3E22"/>
    <w:rsid w:val="0010497F"/>
    <w:rsid w:val="001074B5"/>
    <w:rsid w:val="00127964"/>
    <w:rsid w:val="0013092C"/>
    <w:rsid w:val="0014347D"/>
    <w:rsid w:val="00157D28"/>
    <w:rsid w:val="00167C1D"/>
    <w:rsid w:val="00171591"/>
    <w:rsid w:val="0018351D"/>
    <w:rsid w:val="001959D7"/>
    <w:rsid w:val="001E0BAC"/>
    <w:rsid w:val="00200CB3"/>
    <w:rsid w:val="0020618B"/>
    <w:rsid w:val="00224674"/>
    <w:rsid w:val="0023620C"/>
    <w:rsid w:val="00242CA3"/>
    <w:rsid w:val="00246DD7"/>
    <w:rsid w:val="00253E22"/>
    <w:rsid w:val="00257D0E"/>
    <w:rsid w:val="00261C8F"/>
    <w:rsid w:val="0026736B"/>
    <w:rsid w:val="00280CC3"/>
    <w:rsid w:val="00283730"/>
    <w:rsid w:val="002865F1"/>
    <w:rsid w:val="002A15CF"/>
    <w:rsid w:val="002A25B5"/>
    <w:rsid w:val="002A5A4A"/>
    <w:rsid w:val="002B0DD0"/>
    <w:rsid w:val="002B5E6C"/>
    <w:rsid w:val="002D19F2"/>
    <w:rsid w:val="002D61D3"/>
    <w:rsid w:val="002F4AAB"/>
    <w:rsid w:val="0030373A"/>
    <w:rsid w:val="0030581E"/>
    <w:rsid w:val="003250B3"/>
    <w:rsid w:val="003360BE"/>
    <w:rsid w:val="00337A43"/>
    <w:rsid w:val="0036146C"/>
    <w:rsid w:val="003A6BD1"/>
    <w:rsid w:val="003B5FEE"/>
    <w:rsid w:val="003B7ABB"/>
    <w:rsid w:val="003D2A14"/>
    <w:rsid w:val="003D5FA2"/>
    <w:rsid w:val="003E2119"/>
    <w:rsid w:val="004018C0"/>
    <w:rsid w:val="00436836"/>
    <w:rsid w:val="004401A0"/>
    <w:rsid w:val="00444F59"/>
    <w:rsid w:val="00472573"/>
    <w:rsid w:val="0047462C"/>
    <w:rsid w:val="00474B9C"/>
    <w:rsid w:val="00480C91"/>
    <w:rsid w:val="00483F8F"/>
    <w:rsid w:val="004A5E1B"/>
    <w:rsid w:val="004C618D"/>
    <w:rsid w:val="004D47BA"/>
    <w:rsid w:val="004D6E5B"/>
    <w:rsid w:val="004E6CB5"/>
    <w:rsid w:val="004F0DDB"/>
    <w:rsid w:val="004F5F01"/>
    <w:rsid w:val="00504EBC"/>
    <w:rsid w:val="00505071"/>
    <w:rsid w:val="0051156B"/>
    <w:rsid w:val="005231E2"/>
    <w:rsid w:val="005553BE"/>
    <w:rsid w:val="00564038"/>
    <w:rsid w:val="005A4CF8"/>
    <w:rsid w:val="005E52FB"/>
    <w:rsid w:val="005F3693"/>
    <w:rsid w:val="00605E2E"/>
    <w:rsid w:val="00621602"/>
    <w:rsid w:val="00633CAC"/>
    <w:rsid w:val="0065083D"/>
    <w:rsid w:val="00652A5E"/>
    <w:rsid w:val="00657551"/>
    <w:rsid w:val="00661837"/>
    <w:rsid w:val="00691BDA"/>
    <w:rsid w:val="006A16C6"/>
    <w:rsid w:val="006A6DBD"/>
    <w:rsid w:val="006C0AF4"/>
    <w:rsid w:val="006D260A"/>
    <w:rsid w:val="006E37FB"/>
    <w:rsid w:val="006F4194"/>
    <w:rsid w:val="006F5A3F"/>
    <w:rsid w:val="00711BC5"/>
    <w:rsid w:val="0073502C"/>
    <w:rsid w:val="00742F4D"/>
    <w:rsid w:val="007438F8"/>
    <w:rsid w:val="007469BE"/>
    <w:rsid w:val="00753C5D"/>
    <w:rsid w:val="00754072"/>
    <w:rsid w:val="007866DE"/>
    <w:rsid w:val="007B0814"/>
    <w:rsid w:val="007E3DFF"/>
    <w:rsid w:val="007E6B8C"/>
    <w:rsid w:val="00810DB7"/>
    <w:rsid w:val="008241F3"/>
    <w:rsid w:val="00830DB2"/>
    <w:rsid w:val="0084108C"/>
    <w:rsid w:val="008437A0"/>
    <w:rsid w:val="0084606C"/>
    <w:rsid w:val="0085231D"/>
    <w:rsid w:val="00885C07"/>
    <w:rsid w:val="008872D0"/>
    <w:rsid w:val="008944C0"/>
    <w:rsid w:val="008A50EF"/>
    <w:rsid w:val="008B2652"/>
    <w:rsid w:val="008C77D7"/>
    <w:rsid w:val="008F40A9"/>
    <w:rsid w:val="009000ED"/>
    <w:rsid w:val="00902D00"/>
    <w:rsid w:val="00903E99"/>
    <w:rsid w:val="00924F94"/>
    <w:rsid w:val="00945814"/>
    <w:rsid w:val="009563AB"/>
    <w:rsid w:val="00957EE7"/>
    <w:rsid w:val="00964658"/>
    <w:rsid w:val="009845D9"/>
    <w:rsid w:val="00990F67"/>
    <w:rsid w:val="009A3A1B"/>
    <w:rsid w:val="009B3C12"/>
    <w:rsid w:val="009B49F7"/>
    <w:rsid w:val="009D0173"/>
    <w:rsid w:val="009E2C25"/>
    <w:rsid w:val="00A03970"/>
    <w:rsid w:val="00A24916"/>
    <w:rsid w:val="00A52838"/>
    <w:rsid w:val="00A74409"/>
    <w:rsid w:val="00AA00F7"/>
    <w:rsid w:val="00AB4F7E"/>
    <w:rsid w:val="00AC1DE4"/>
    <w:rsid w:val="00AC47B8"/>
    <w:rsid w:val="00B120B9"/>
    <w:rsid w:val="00B25196"/>
    <w:rsid w:val="00B26A21"/>
    <w:rsid w:val="00B36CF2"/>
    <w:rsid w:val="00B40B97"/>
    <w:rsid w:val="00B439FF"/>
    <w:rsid w:val="00B4621B"/>
    <w:rsid w:val="00B552A0"/>
    <w:rsid w:val="00B644AB"/>
    <w:rsid w:val="00B727F0"/>
    <w:rsid w:val="00B966B4"/>
    <w:rsid w:val="00BA2024"/>
    <w:rsid w:val="00BA4161"/>
    <w:rsid w:val="00BA484A"/>
    <w:rsid w:val="00BA6149"/>
    <w:rsid w:val="00BB5E42"/>
    <w:rsid w:val="00BC1F19"/>
    <w:rsid w:val="00C1591E"/>
    <w:rsid w:val="00C205E7"/>
    <w:rsid w:val="00C2198C"/>
    <w:rsid w:val="00C26AB9"/>
    <w:rsid w:val="00C270B5"/>
    <w:rsid w:val="00C438CE"/>
    <w:rsid w:val="00C519A3"/>
    <w:rsid w:val="00C530A0"/>
    <w:rsid w:val="00C70C22"/>
    <w:rsid w:val="00C748D1"/>
    <w:rsid w:val="00CA258C"/>
    <w:rsid w:val="00CA358B"/>
    <w:rsid w:val="00CA44F8"/>
    <w:rsid w:val="00CC2A76"/>
    <w:rsid w:val="00CC2CE9"/>
    <w:rsid w:val="00CD2060"/>
    <w:rsid w:val="00CD7F56"/>
    <w:rsid w:val="00CF10A3"/>
    <w:rsid w:val="00CF3BBE"/>
    <w:rsid w:val="00CF6BDB"/>
    <w:rsid w:val="00D034AD"/>
    <w:rsid w:val="00D11DF9"/>
    <w:rsid w:val="00D12064"/>
    <w:rsid w:val="00D14279"/>
    <w:rsid w:val="00D16571"/>
    <w:rsid w:val="00D16A08"/>
    <w:rsid w:val="00D3534E"/>
    <w:rsid w:val="00D35F5A"/>
    <w:rsid w:val="00D41325"/>
    <w:rsid w:val="00D519B7"/>
    <w:rsid w:val="00D54FBE"/>
    <w:rsid w:val="00D8414B"/>
    <w:rsid w:val="00DC23D2"/>
    <w:rsid w:val="00DC30DE"/>
    <w:rsid w:val="00DD00C4"/>
    <w:rsid w:val="00DD395C"/>
    <w:rsid w:val="00DD4C33"/>
    <w:rsid w:val="00DD791B"/>
    <w:rsid w:val="00E1275B"/>
    <w:rsid w:val="00E22E55"/>
    <w:rsid w:val="00E3367B"/>
    <w:rsid w:val="00E45333"/>
    <w:rsid w:val="00E45804"/>
    <w:rsid w:val="00E45B55"/>
    <w:rsid w:val="00E71C06"/>
    <w:rsid w:val="00E82BD9"/>
    <w:rsid w:val="00E90B34"/>
    <w:rsid w:val="00E90E0B"/>
    <w:rsid w:val="00E9356C"/>
    <w:rsid w:val="00EA42DD"/>
    <w:rsid w:val="00EA69FB"/>
    <w:rsid w:val="00F24F16"/>
    <w:rsid w:val="00F33BD8"/>
    <w:rsid w:val="00F37416"/>
    <w:rsid w:val="00F37914"/>
    <w:rsid w:val="00F54C26"/>
    <w:rsid w:val="00F645CF"/>
    <w:rsid w:val="00F65C9B"/>
    <w:rsid w:val="00F77F7B"/>
    <w:rsid w:val="00F86E01"/>
    <w:rsid w:val="00F96169"/>
    <w:rsid w:val="00FA02C9"/>
    <w:rsid w:val="00FB6735"/>
    <w:rsid w:val="00FC4E77"/>
    <w:rsid w:val="00FD22FA"/>
    <w:rsid w:val="00FD6895"/>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1048E-D1A2-4765-B533-593B22DA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1569</Characters>
  <Application>Microsoft Office Word</Application>
  <DocSecurity>4</DocSecurity>
  <Lines>13</Lines>
  <Paragraphs>3</Paragraphs>
  <ScaleCrop>false</ScaleCrop>
  <Company>Organization Name</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2021-07-29T16:21:00Z</dcterms:created>
  <dcterms:modified xsi:type="dcterms:W3CDTF">2021-07-29T16:21:00Z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