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2" w:rsidRDefault="00EC0352" w:rsidP="00EC0352">
      <w:pPr>
        <w:pStyle w:val="Default"/>
        <w:spacing w:line="360" w:lineRule="auto"/>
        <w:jc w:val="center"/>
        <w:rPr>
          <w:rFonts w:ascii="宋体" w:eastAsia="宋体" w:hAnsi="宋体"/>
          <w:b/>
        </w:rPr>
      </w:pPr>
    </w:p>
    <w:p w:rsidR="00097CD0" w:rsidRDefault="00692442" w:rsidP="00EC0352">
      <w:pPr>
        <w:pStyle w:val="Default"/>
        <w:spacing w:line="360" w:lineRule="auto"/>
        <w:jc w:val="center"/>
        <w:rPr>
          <w:rFonts w:ascii="宋体" w:eastAsia="宋体" w:hAnsi="宋体"/>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w:t>
      </w:r>
      <w:r w:rsidR="00462B26">
        <w:rPr>
          <w:rFonts w:ascii="宋体" w:eastAsia="宋体" w:hAnsi="宋体" w:hint="eastAsia"/>
          <w:b/>
        </w:rPr>
        <w:t>部分</w:t>
      </w:r>
      <w:r w:rsidR="00583460">
        <w:rPr>
          <w:rFonts w:ascii="宋体" w:eastAsia="宋体" w:hAnsi="宋体" w:hint="eastAsia"/>
          <w:b/>
        </w:rPr>
        <w:t>基金</w:t>
      </w:r>
      <w:r w:rsidR="003A0B1E">
        <w:rPr>
          <w:rFonts w:ascii="宋体" w:eastAsia="宋体" w:hAnsi="宋体" w:hint="eastAsia"/>
          <w:b/>
        </w:rPr>
        <w:t>参与</w:t>
      </w:r>
    </w:p>
    <w:bookmarkEnd w:id="0"/>
    <w:bookmarkEnd w:id="1"/>
    <w:p w:rsidR="00081A9C" w:rsidRPr="00364D44" w:rsidRDefault="001762ED" w:rsidP="00EC0352">
      <w:pPr>
        <w:pStyle w:val="Default"/>
        <w:spacing w:line="360" w:lineRule="auto"/>
        <w:jc w:val="center"/>
        <w:rPr>
          <w:rFonts w:ascii="宋体" w:eastAsia="宋体" w:hAnsi="宋体" w:hint="eastAsia"/>
          <w:b/>
        </w:rPr>
      </w:pPr>
      <w:r w:rsidRPr="001762ED">
        <w:rPr>
          <w:rFonts w:ascii="宋体" w:eastAsia="宋体" w:hAnsi="宋体" w:hint="eastAsia"/>
          <w:b/>
        </w:rPr>
        <w:t>上海浦东发展银行股份有限公司</w:t>
      </w:r>
      <w:r w:rsidR="00C273BE">
        <w:rPr>
          <w:rFonts w:ascii="宋体" w:eastAsia="宋体" w:hAnsi="宋体" w:hint="eastAsia"/>
          <w:b/>
        </w:rPr>
        <w:t>费率优惠活动</w:t>
      </w:r>
      <w:r w:rsidR="002F1654" w:rsidRPr="002F1654">
        <w:rPr>
          <w:rFonts w:ascii="宋体" w:eastAsia="宋体" w:hAnsi="宋体" w:hint="eastAsia"/>
          <w:b/>
        </w:rPr>
        <w:t>的公告</w:t>
      </w:r>
    </w:p>
    <w:p w:rsidR="005E5120" w:rsidRPr="003A0B1E"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AA6527">
        <w:rPr>
          <w:rFonts w:ascii="宋体" w:hAnsi="宋体" w:cs="宋体" w:hint="eastAsia"/>
          <w:szCs w:val="21"/>
        </w:rPr>
        <w:t xml:space="preserve"> </w:t>
      </w:r>
      <w:r w:rsidR="00AA6527" w:rsidRPr="00AA6527">
        <w:rPr>
          <w:rFonts w:ascii="宋体" w:hAnsi="宋体" w:cs="宋体" w:hint="eastAsia"/>
          <w:szCs w:val="21"/>
        </w:rPr>
        <w:t>为满足广大投资者的理财需求，</w:t>
      </w:r>
      <w:r w:rsidR="007204E1">
        <w:rPr>
          <w:rFonts w:ascii="宋体" w:hAnsi="宋体" w:cs="宋体" w:hint="eastAsia"/>
          <w:szCs w:val="21"/>
        </w:rPr>
        <w:t>经</w:t>
      </w:r>
      <w:r w:rsidR="00692442" w:rsidRPr="00553CAD">
        <w:rPr>
          <w:rFonts w:ascii="宋体" w:hAnsi="宋体" w:cs="宋体" w:hint="eastAsia"/>
          <w:szCs w:val="21"/>
        </w:rPr>
        <w:t>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）与</w:t>
      </w:r>
      <w:r w:rsidR="001762ED" w:rsidRPr="001762ED">
        <w:rPr>
          <w:rFonts w:ascii="宋体" w:hAnsi="宋体" w:cs="宋体" w:hint="eastAsia"/>
          <w:szCs w:val="21"/>
        </w:rPr>
        <w:t>上海浦东发展银行股份有限公司</w:t>
      </w:r>
      <w:r w:rsidR="00180E36" w:rsidRPr="00AA6527">
        <w:rPr>
          <w:rFonts w:ascii="宋体" w:hAnsi="宋体" w:cs="宋体" w:hint="eastAsia"/>
          <w:szCs w:val="21"/>
        </w:rPr>
        <w:t>（以下简称“</w:t>
      </w:r>
      <w:r w:rsidR="001762ED">
        <w:rPr>
          <w:rFonts w:ascii="宋体" w:hAnsi="宋体" w:cs="宋体" w:hint="eastAsia"/>
          <w:szCs w:val="21"/>
        </w:rPr>
        <w:t>浦发银行</w:t>
      </w:r>
      <w:r w:rsidR="00180E36" w:rsidRPr="00AA6527">
        <w:rPr>
          <w:rFonts w:ascii="宋体" w:hAnsi="宋体" w:cs="宋体" w:hint="eastAsia"/>
          <w:szCs w:val="21"/>
        </w:rPr>
        <w:t>”）</w:t>
      </w:r>
      <w:r w:rsidR="00AA6527">
        <w:rPr>
          <w:rFonts w:ascii="宋体" w:hAnsi="宋体" w:cs="宋体" w:hint="eastAsia"/>
          <w:szCs w:val="21"/>
        </w:rPr>
        <w:t>协商一致，决定</w:t>
      </w:r>
      <w:r w:rsidR="00692442" w:rsidRPr="00553CAD">
        <w:rPr>
          <w:rFonts w:ascii="宋体" w:hAnsi="宋体" w:cs="宋体" w:hint="eastAsia"/>
          <w:szCs w:val="21"/>
        </w:rPr>
        <w:t>自</w:t>
      </w:r>
      <w:r w:rsidR="00947633">
        <w:rPr>
          <w:rFonts w:ascii="宋体" w:hAnsi="宋体" w:cs="宋体" w:hint="eastAsia"/>
          <w:szCs w:val="21"/>
        </w:rPr>
        <w:t>202</w:t>
      </w:r>
      <w:r w:rsidR="00947633">
        <w:rPr>
          <w:rFonts w:ascii="宋体" w:hAnsi="宋体" w:cs="宋体"/>
          <w:szCs w:val="21"/>
        </w:rPr>
        <w:t>1</w:t>
      </w:r>
      <w:r w:rsidR="00904E5B" w:rsidRPr="00904E5B">
        <w:rPr>
          <w:rFonts w:ascii="宋体" w:hAnsi="宋体" w:cs="宋体" w:hint="eastAsia"/>
          <w:szCs w:val="21"/>
        </w:rPr>
        <w:t>年</w:t>
      </w:r>
      <w:r w:rsidR="001762ED">
        <w:rPr>
          <w:rFonts w:ascii="宋体" w:hAnsi="宋体" w:cs="宋体"/>
          <w:szCs w:val="21"/>
        </w:rPr>
        <w:t>7</w:t>
      </w:r>
      <w:r w:rsidR="00904E5B" w:rsidRPr="00904E5B">
        <w:rPr>
          <w:rFonts w:ascii="宋体" w:hAnsi="宋体" w:cs="宋体" w:hint="eastAsia"/>
          <w:szCs w:val="21"/>
        </w:rPr>
        <w:t>月</w:t>
      </w:r>
      <w:r w:rsidR="001762ED">
        <w:rPr>
          <w:rFonts w:ascii="宋体" w:hAnsi="宋体" w:cs="宋体"/>
          <w:szCs w:val="21"/>
        </w:rPr>
        <w:t>29</w:t>
      </w:r>
      <w:r w:rsidR="00904E5B">
        <w:rPr>
          <w:rFonts w:ascii="宋体" w:hAnsi="宋体" w:cs="宋体" w:hint="eastAsia"/>
          <w:szCs w:val="21"/>
        </w:rPr>
        <w:t>日</w:t>
      </w:r>
      <w:r w:rsidR="00947633">
        <w:rPr>
          <w:rFonts w:ascii="宋体" w:hAnsi="宋体" w:cs="宋体" w:hint="eastAsia"/>
          <w:szCs w:val="21"/>
        </w:rPr>
        <w:t>起</w:t>
      </w:r>
      <w:r w:rsidR="00692442" w:rsidRPr="00553CAD">
        <w:rPr>
          <w:rFonts w:ascii="宋体" w:hAnsi="宋体" w:cs="宋体" w:hint="eastAsia"/>
          <w:szCs w:val="21"/>
        </w:rPr>
        <w:t>，</w:t>
      </w:r>
      <w:r w:rsidR="00ED0944">
        <w:rPr>
          <w:rFonts w:ascii="宋体" w:hAnsi="宋体" w:cs="宋体" w:hint="eastAsia"/>
          <w:szCs w:val="21"/>
        </w:rPr>
        <w:t>本公司</w:t>
      </w:r>
      <w:r w:rsidR="00691D57" w:rsidRPr="00553CAD">
        <w:rPr>
          <w:rFonts w:ascii="宋体" w:hAnsi="宋体" w:cs="宋体" w:hint="eastAsia"/>
          <w:szCs w:val="21"/>
        </w:rPr>
        <w:t>旗下</w:t>
      </w:r>
      <w:r w:rsidR="00462B26">
        <w:rPr>
          <w:rFonts w:ascii="宋体" w:hAnsi="宋体" w:cs="宋体" w:hint="eastAsia"/>
          <w:szCs w:val="21"/>
        </w:rPr>
        <w:t>部分</w:t>
      </w:r>
      <w:r w:rsidR="00691D57" w:rsidRPr="00553CAD">
        <w:rPr>
          <w:rFonts w:ascii="宋体" w:hAnsi="宋体" w:cs="宋体" w:hint="eastAsia"/>
          <w:szCs w:val="21"/>
        </w:rPr>
        <w:t>基金</w:t>
      </w:r>
      <w:r w:rsidR="00DB2CBF">
        <w:rPr>
          <w:rFonts w:ascii="宋体" w:hAnsi="宋体" w:cs="宋体" w:hint="eastAsia"/>
          <w:szCs w:val="21"/>
        </w:rPr>
        <w:t>参与</w:t>
      </w:r>
      <w:r w:rsidR="001762ED">
        <w:rPr>
          <w:rFonts w:ascii="宋体" w:hAnsi="宋体" w:cs="宋体" w:hint="eastAsia"/>
          <w:szCs w:val="21"/>
        </w:rPr>
        <w:t>浦发银行</w:t>
      </w:r>
      <w:r w:rsidR="00DB2CBF" w:rsidRPr="00DB2CBF">
        <w:rPr>
          <w:rFonts w:ascii="宋体" w:hAnsi="宋体" w:cs="宋体" w:hint="eastAsia"/>
          <w:szCs w:val="21"/>
        </w:rPr>
        <w:t>申购</w:t>
      </w:r>
      <w:r w:rsidR="009F67D6">
        <w:rPr>
          <w:rFonts w:ascii="宋体" w:hAnsi="宋体" w:cs="宋体" w:hint="eastAsia"/>
          <w:szCs w:val="21"/>
        </w:rPr>
        <w:t>及</w:t>
      </w:r>
      <w:r w:rsidR="009723A3" w:rsidRPr="000E0451">
        <w:rPr>
          <w:rFonts w:ascii="宋体" w:hAnsi="宋体" w:cs="宋体" w:hint="eastAsia"/>
          <w:szCs w:val="21"/>
        </w:rPr>
        <w:t>定期定额投资（以下简称“定投”）</w:t>
      </w:r>
      <w:r w:rsidR="00D87BF5">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656226">
      <w:pPr>
        <w:pStyle w:val="Default"/>
        <w:spacing w:beforeLines="50" w:line="300" w:lineRule="auto"/>
        <w:ind w:firstLineChars="300" w:firstLine="632"/>
        <w:rPr>
          <w:rFonts w:ascii="Times New Roman" w:eastAsia="宋体" w:hAnsi="宋体"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721AB7" w:rsidRPr="00721AB7" w:rsidRDefault="00721AB7"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摩根士丹利华鑫基础行业证券投资基金（基金代码：233001）</w:t>
      </w:r>
    </w:p>
    <w:p w:rsidR="00721AB7" w:rsidRPr="00721AB7" w:rsidRDefault="00721AB7"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摩根士丹利华鑫资源优选混合型证券投资基金(LOF) （基金代码：163302）</w:t>
      </w:r>
    </w:p>
    <w:p w:rsidR="00721AB7" w:rsidRPr="00721AB7" w:rsidRDefault="00721AB7"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摩根士丹利华鑫强收益债券型证券投资基金（基金代码：233005）</w:t>
      </w:r>
    </w:p>
    <w:p w:rsidR="00721AB7" w:rsidRPr="00721AB7" w:rsidRDefault="00721AB7"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摩根士丹利华鑫领先优势混合型证券投资基金（基金代码：233006）</w:t>
      </w:r>
    </w:p>
    <w:p w:rsidR="00721AB7" w:rsidRPr="00721AB7" w:rsidRDefault="00721AB7"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摩根士丹利华鑫卓越成长混合型证券投资基金（基金代码：233007）</w:t>
      </w:r>
    </w:p>
    <w:p w:rsidR="00721AB7" w:rsidRPr="00721AB7" w:rsidRDefault="00721AB7"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721AB7">
        <w:rPr>
          <w:rFonts w:ascii="宋体" w:eastAsia="宋体" w:hAnsi="宋体" w:cs="宋体" w:hint="eastAsia"/>
          <w:color w:val="auto"/>
          <w:kern w:val="2"/>
          <w:sz w:val="21"/>
          <w:szCs w:val="21"/>
        </w:rPr>
        <w:t>摩根士丹利华鑫消费领航混合型证券投资基金（基金代码：233008）</w:t>
      </w:r>
    </w:p>
    <w:p w:rsidR="00721AB7" w:rsidRDefault="00721AB7" w:rsidP="000E08F3">
      <w:pPr>
        <w:pStyle w:val="Default"/>
        <w:numPr>
          <w:ilvl w:val="0"/>
          <w:numId w:val="20"/>
        </w:numPr>
        <w:spacing w:line="360" w:lineRule="auto"/>
        <w:ind w:left="845"/>
        <w:rPr>
          <w:rFonts w:ascii="宋体" w:eastAsia="宋体" w:hAnsi="宋体" w:cs="宋体"/>
          <w:color w:val="auto"/>
          <w:kern w:val="2"/>
          <w:sz w:val="21"/>
          <w:szCs w:val="21"/>
        </w:rPr>
      </w:pPr>
      <w:r w:rsidRPr="00721AB7">
        <w:rPr>
          <w:rFonts w:ascii="宋体" w:eastAsia="宋体" w:hAnsi="宋体" w:cs="宋体" w:hint="eastAsia"/>
          <w:color w:val="auto"/>
          <w:kern w:val="2"/>
          <w:sz w:val="21"/>
          <w:szCs w:val="21"/>
        </w:rPr>
        <w:t>摩根士丹利华鑫多因子精选策略混合型证券投资基金（基金代码：233009）</w:t>
      </w:r>
    </w:p>
    <w:p w:rsidR="00947633" w:rsidRPr="00947633" w:rsidRDefault="00947633"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947633">
        <w:rPr>
          <w:rFonts w:ascii="宋体" w:eastAsia="宋体" w:hAnsi="宋体" w:cs="宋体" w:hint="eastAsia"/>
          <w:color w:val="auto"/>
          <w:kern w:val="2"/>
          <w:sz w:val="21"/>
          <w:szCs w:val="21"/>
        </w:rPr>
        <w:t>摩根士丹利华鑫深证300指数增强型证券投资基金</w:t>
      </w:r>
      <w:r w:rsidRPr="00721AB7">
        <w:rPr>
          <w:rFonts w:ascii="宋体" w:eastAsia="宋体" w:hAnsi="宋体" w:cs="宋体" w:hint="eastAsia"/>
          <w:color w:val="auto"/>
          <w:kern w:val="2"/>
          <w:sz w:val="21"/>
          <w:szCs w:val="21"/>
        </w:rPr>
        <w:t>（基金代码：2330</w:t>
      </w:r>
      <w:r>
        <w:rPr>
          <w:rFonts w:ascii="宋体" w:eastAsia="宋体" w:hAnsi="宋体" w:cs="宋体"/>
          <w:color w:val="auto"/>
          <w:kern w:val="2"/>
          <w:sz w:val="21"/>
          <w:szCs w:val="21"/>
        </w:rPr>
        <w:t>10</w:t>
      </w:r>
      <w:r w:rsidRPr="00721AB7">
        <w:rPr>
          <w:rFonts w:ascii="宋体" w:eastAsia="宋体" w:hAnsi="宋体" w:cs="宋体" w:hint="eastAsia"/>
          <w:color w:val="auto"/>
          <w:kern w:val="2"/>
          <w:sz w:val="21"/>
          <w:szCs w:val="21"/>
        </w:rPr>
        <w:t>）</w:t>
      </w:r>
    </w:p>
    <w:p w:rsidR="00721AB7" w:rsidRDefault="00721AB7" w:rsidP="000E08F3">
      <w:pPr>
        <w:pStyle w:val="Default"/>
        <w:numPr>
          <w:ilvl w:val="0"/>
          <w:numId w:val="20"/>
        </w:numPr>
        <w:spacing w:line="360" w:lineRule="auto"/>
        <w:ind w:left="845"/>
        <w:rPr>
          <w:rFonts w:ascii="宋体" w:eastAsia="宋体" w:hAnsi="宋体" w:cs="宋体"/>
          <w:color w:val="auto"/>
          <w:kern w:val="2"/>
          <w:sz w:val="21"/>
          <w:szCs w:val="21"/>
        </w:rPr>
      </w:pPr>
      <w:r w:rsidRPr="00721AB7">
        <w:rPr>
          <w:rFonts w:ascii="宋体" w:eastAsia="宋体" w:hAnsi="宋体" w:cs="宋体" w:hint="eastAsia"/>
          <w:color w:val="auto"/>
          <w:kern w:val="2"/>
          <w:sz w:val="21"/>
          <w:szCs w:val="21"/>
        </w:rPr>
        <w:t>摩根士丹利华鑫主题优选混合型证券投资基金（基金代码：233011）</w:t>
      </w:r>
    </w:p>
    <w:p w:rsidR="00947633" w:rsidRDefault="00947633" w:rsidP="000E08F3">
      <w:pPr>
        <w:pStyle w:val="Default"/>
        <w:numPr>
          <w:ilvl w:val="0"/>
          <w:numId w:val="20"/>
        </w:numPr>
        <w:spacing w:line="360" w:lineRule="auto"/>
        <w:ind w:left="845"/>
        <w:rPr>
          <w:rFonts w:ascii="宋体" w:eastAsia="宋体" w:hAnsi="宋体" w:cs="宋体"/>
          <w:color w:val="auto"/>
          <w:kern w:val="2"/>
          <w:sz w:val="21"/>
          <w:szCs w:val="21"/>
        </w:rPr>
      </w:pPr>
      <w:r w:rsidRPr="00947633">
        <w:rPr>
          <w:rFonts w:ascii="宋体" w:eastAsia="宋体" w:hAnsi="宋体" w:cs="宋体" w:hint="eastAsia"/>
          <w:color w:val="auto"/>
          <w:kern w:val="2"/>
          <w:sz w:val="21"/>
          <w:szCs w:val="21"/>
        </w:rPr>
        <w:t>摩根士丹利华鑫多元收益债券型证券投资基金</w:t>
      </w:r>
      <w:r>
        <w:rPr>
          <w:rFonts w:ascii="宋体" w:eastAsia="宋体" w:hAnsi="宋体" w:cs="宋体" w:hint="eastAsia"/>
          <w:color w:val="auto"/>
          <w:kern w:val="2"/>
          <w:sz w:val="21"/>
          <w:szCs w:val="21"/>
        </w:rPr>
        <w:t>（基金代码：A类2</w:t>
      </w:r>
      <w:r>
        <w:rPr>
          <w:rFonts w:ascii="宋体" w:eastAsia="宋体" w:hAnsi="宋体" w:cs="宋体"/>
          <w:color w:val="auto"/>
          <w:kern w:val="2"/>
          <w:sz w:val="21"/>
          <w:szCs w:val="21"/>
        </w:rPr>
        <w:t>33012</w:t>
      </w:r>
      <w:r w:rsidR="00834B34">
        <w:rPr>
          <w:rFonts w:ascii="宋体" w:eastAsia="宋体" w:hAnsi="宋体" w:cs="宋体" w:hint="eastAsia"/>
          <w:color w:val="auto"/>
          <w:kern w:val="2"/>
          <w:sz w:val="21"/>
          <w:szCs w:val="21"/>
        </w:rPr>
        <w:t>/</w:t>
      </w:r>
      <w:r>
        <w:rPr>
          <w:rFonts w:ascii="宋体" w:eastAsia="宋体" w:hAnsi="宋体" w:cs="宋体" w:hint="eastAsia"/>
          <w:color w:val="auto"/>
          <w:kern w:val="2"/>
          <w:sz w:val="21"/>
          <w:szCs w:val="21"/>
        </w:rPr>
        <w:t>C类2</w:t>
      </w:r>
      <w:r>
        <w:rPr>
          <w:rFonts w:ascii="宋体" w:eastAsia="宋体" w:hAnsi="宋体" w:cs="宋体"/>
          <w:color w:val="auto"/>
          <w:kern w:val="2"/>
          <w:sz w:val="21"/>
          <w:szCs w:val="21"/>
        </w:rPr>
        <w:t>33013</w:t>
      </w:r>
      <w:r>
        <w:rPr>
          <w:rFonts w:ascii="宋体" w:eastAsia="宋体" w:hAnsi="宋体" w:cs="宋体" w:hint="eastAsia"/>
          <w:color w:val="auto"/>
          <w:kern w:val="2"/>
          <w:sz w:val="21"/>
          <w:szCs w:val="21"/>
        </w:rPr>
        <w:t>）</w:t>
      </w:r>
    </w:p>
    <w:p w:rsidR="00947633" w:rsidRDefault="00947633" w:rsidP="000E08F3">
      <w:pPr>
        <w:pStyle w:val="Default"/>
        <w:numPr>
          <w:ilvl w:val="0"/>
          <w:numId w:val="20"/>
        </w:numPr>
        <w:spacing w:line="360" w:lineRule="auto"/>
        <w:ind w:left="845"/>
        <w:rPr>
          <w:rFonts w:ascii="宋体" w:eastAsia="宋体" w:hAnsi="宋体" w:cs="宋体"/>
          <w:color w:val="auto"/>
          <w:kern w:val="2"/>
          <w:sz w:val="21"/>
          <w:szCs w:val="21"/>
        </w:rPr>
      </w:pPr>
      <w:r w:rsidRPr="00947633">
        <w:rPr>
          <w:rFonts w:ascii="宋体" w:eastAsia="宋体" w:hAnsi="宋体" w:cs="宋体" w:hint="eastAsia"/>
          <w:color w:val="auto"/>
          <w:kern w:val="2"/>
          <w:sz w:val="21"/>
          <w:szCs w:val="21"/>
        </w:rPr>
        <w:t>摩根士丹利华鑫量化配置混合型证券投资基金</w:t>
      </w:r>
      <w:r w:rsidR="000E08F3">
        <w:rPr>
          <w:rFonts w:ascii="宋体" w:eastAsia="宋体" w:hAnsi="宋体" w:cs="宋体" w:hint="eastAsia"/>
          <w:color w:val="auto"/>
          <w:kern w:val="2"/>
          <w:sz w:val="21"/>
          <w:szCs w:val="21"/>
        </w:rPr>
        <w:t>A</w:t>
      </w:r>
      <w:r w:rsidRPr="00947633">
        <w:rPr>
          <w:rFonts w:ascii="宋体" w:eastAsia="宋体" w:hAnsi="宋体" w:cs="宋体" w:hint="eastAsia"/>
          <w:color w:val="auto"/>
          <w:kern w:val="2"/>
          <w:sz w:val="21"/>
          <w:szCs w:val="21"/>
        </w:rPr>
        <w:t>（基金代码</w:t>
      </w:r>
      <w:r>
        <w:rPr>
          <w:rFonts w:ascii="宋体" w:eastAsia="宋体" w:hAnsi="宋体" w:cs="宋体" w:hint="eastAsia"/>
          <w:color w:val="auto"/>
          <w:kern w:val="2"/>
          <w:sz w:val="21"/>
          <w:szCs w:val="21"/>
        </w:rPr>
        <w:t xml:space="preserve"> 23301</w:t>
      </w:r>
      <w:r>
        <w:rPr>
          <w:rFonts w:ascii="宋体" w:eastAsia="宋体" w:hAnsi="宋体" w:cs="宋体"/>
          <w:color w:val="auto"/>
          <w:kern w:val="2"/>
          <w:sz w:val="21"/>
          <w:szCs w:val="21"/>
        </w:rPr>
        <w:t>5</w:t>
      </w:r>
      <w:r>
        <w:rPr>
          <w:rFonts w:ascii="宋体" w:eastAsia="宋体" w:hAnsi="宋体" w:cs="宋体" w:hint="eastAsia"/>
          <w:color w:val="auto"/>
          <w:kern w:val="2"/>
          <w:sz w:val="21"/>
          <w:szCs w:val="21"/>
        </w:rPr>
        <w:t>）</w:t>
      </w:r>
    </w:p>
    <w:p w:rsidR="00947633" w:rsidRDefault="00947633" w:rsidP="000E08F3">
      <w:pPr>
        <w:pStyle w:val="Default"/>
        <w:numPr>
          <w:ilvl w:val="0"/>
          <w:numId w:val="20"/>
        </w:numPr>
        <w:spacing w:line="360" w:lineRule="auto"/>
        <w:ind w:left="845"/>
        <w:rPr>
          <w:rFonts w:ascii="宋体" w:eastAsia="宋体" w:hAnsi="宋体" w:cs="宋体"/>
          <w:color w:val="auto"/>
          <w:kern w:val="2"/>
          <w:sz w:val="21"/>
          <w:szCs w:val="21"/>
        </w:rPr>
      </w:pPr>
      <w:r>
        <w:rPr>
          <w:rFonts w:ascii="宋体" w:eastAsia="宋体" w:hAnsi="宋体" w:cs="宋体" w:hint="eastAsia"/>
          <w:color w:val="auto"/>
          <w:kern w:val="2"/>
          <w:sz w:val="21"/>
          <w:szCs w:val="21"/>
        </w:rPr>
        <w:t>摩根士丹利华鑫双利增强债券型证券投资基金（基金代码：A</w:t>
      </w:r>
      <w:r w:rsidRPr="00947633">
        <w:rPr>
          <w:rFonts w:ascii="宋体" w:eastAsia="宋体" w:hAnsi="宋体" w:cs="宋体" w:hint="eastAsia"/>
          <w:color w:val="auto"/>
          <w:kern w:val="2"/>
          <w:sz w:val="21"/>
          <w:szCs w:val="21"/>
        </w:rPr>
        <w:t>类</w:t>
      </w:r>
      <w:r>
        <w:rPr>
          <w:rFonts w:ascii="宋体" w:eastAsia="宋体" w:hAnsi="宋体" w:cs="宋体" w:hint="eastAsia"/>
          <w:color w:val="auto"/>
          <w:kern w:val="2"/>
          <w:sz w:val="21"/>
          <w:szCs w:val="21"/>
        </w:rPr>
        <w:t>000024/C</w:t>
      </w:r>
      <w:r w:rsidRPr="00947633">
        <w:rPr>
          <w:rFonts w:ascii="宋体" w:eastAsia="宋体" w:hAnsi="宋体" w:cs="宋体" w:hint="eastAsia"/>
          <w:color w:val="auto"/>
          <w:kern w:val="2"/>
          <w:sz w:val="21"/>
          <w:szCs w:val="21"/>
        </w:rPr>
        <w:t>类000025</w:t>
      </w:r>
      <w:r>
        <w:rPr>
          <w:rFonts w:ascii="宋体" w:eastAsia="宋体" w:hAnsi="宋体" w:cs="宋体" w:hint="eastAsia"/>
          <w:color w:val="auto"/>
          <w:kern w:val="2"/>
          <w:sz w:val="21"/>
          <w:szCs w:val="21"/>
        </w:rPr>
        <w:t>）</w:t>
      </w:r>
    </w:p>
    <w:p w:rsidR="001E233E" w:rsidRDefault="001E233E" w:rsidP="001E233E">
      <w:pPr>
        <w:pStyle w:val="Default"/>
        <w:numPr>
          <w:ilvl w:val="0"/>
          <w:numId w:val="20"/>
        </w:numPr>
        <w:spacing w:line="360" w:lineRule="auto"/>
        <w:ind w:left="845"/>
        <w:rPr>
          <w:rFonts w:ascii="宋体" w:eastAsia="宋体" w:hAnsi="宋体" w:cs="宋体"/>
          <w:color w:val="auto"/>
          <w:kern w:val="2"/>
          <w:sz w:val="21"/>
          <w:szCs w:val="21"/>
        </w:rPr>
      </w:pPr>
      <w:r w:rsidRPr="001E233E">
        <w:rPr>
          <w:rFonts w:ascii="宋体" w:eastAsia="宋体" w:hAnsi="宋体" w:cs="宋体" w:hint="eastAsia"/>
          <w:color w:val="auto"/>
          <w:kern w:val="2"/>
          <w:sz w:val="21"/>
          <w:szCs w:val="21"/>
        </w:rPr>
        <w:t>摩根士丹利华鑫纯债稳定增利18个月定期开放债券型证券投资基金</w:t>
      </w:r>
      <w:r w:rsidRPr="00947633">
        <w:rPr>
          <w:rFonts w:ascii="宋体" w:eastAsia="宋体" w:hAnsi="宋体" w:cs="宋体" w:hint="eastAsia"/>
          <w:color w:val="auto"/>
          <w:kern w:val="2"/>
          <w:sz w:val="21"/>
          <w:szCs w:val="21"/>
        </w:rPr>
        <w:t>（基金代码</w:t>
      </w:r>
      <w:r>
        <w:rPr>
          <w:rFonts w:ascii="宋体" w:eastAsia="宋体" w:hAnsi="宋体" w:cs="宋体" w:hint="eastAsia"/>
          <w:color w:val="auto"/>
          <w:kern w:val="2"/>
          <w:sz w:val="21"/>
          <w:szCs w:val="21"/>
        </w:rPr>
        <w:t xml:space="preserve">： </w:t>
      </w:r>
      <w:r>
        <w:rPr>
          <w:rFonts w:ascii="宋体" w:eastAsia="宋体" w:hAnsi="宋体" w:cs="宋体"/>
          <w:color w:val="auto"/>
          <w:kern w:val="2"/>
          <w:sz w:val="21"/>
          <w:szCs w:val="21"/>
        </w:rPr>
        <w:t>000064</w:t>
      </w:r>
      <w:r>
        <w:rPr>
          <w:rFonts w:ascii="宋体" w:eastAsia="宋体" w:hAnsi="宋体" w:cs="宋体" w:hint="eastAsia"/>
          <w:color w:val="auto"/>
          <w:kern w:val="2"/>
          <w:sz w:val="21"/>
          <w:szCs w:val="21"/>
        </w:rPr>
        <w:t>）</w:t>
      </w:r>
    </w:p>
    <w:p w:rsidR="00721AB7" w:rsidRPr="00721AB7" w:rsidRDefault="00904E5B" w:rsidP="000E08F3">
      <w:pPr>
        <w:pStyle w:val="Default"/>
        <w:numPr>
          <w:ilvl w:val="0"/>
          <w:numId w:val="20"/>
        </w:numPr>
        <w:spacing w:line="360" w:lineRule="auto"/>
        <w:ind w:left="845"/>
        <w:rPr>
          <w:rFonts w:ascii="宋体" w:eastAsia="宋体" w:hAnsi="宋体" w:cs="宋体" w:hint="eastAsia"/>
          <w:color w:val="auto"/>
          <w:kern w:val="2"/>
          <w:sz w:val="21"/>
          <w:szCs w:val="21"/>
        </w:rPr>
      </w:pPr>
      <w:r w:rsidRPr="00904E5B">
        <w:rPr>
          <w:rFonts w:ascii="宋体" w:eastAsia="宋体" w:hAnsi="宋体" w:cs="宋体" w:hint="eastAsia"/>
          <w:color w:val="auto"/>
          <w:kern w:val="2"/>
          <w:sz w:val="21"/>
          <w:szCs w:val="21"/>
        </w:rPr>
        <w:t>摩根士丹利华鑫品质生活精选股票型证券投资基金</w:t>
      </w:r>
      <w:r w:rsidR="00721AB7" w:rsidRPr="00721AB7">
        <w:rPr>
          <w:rFonts w:ascii="宋体" w:eastAsia="宋体" w:hAnsi="宋体" w:cs="宋体" w:hint="eastAsia"/>
          <w:color w:val="auto"/>
          <w:kern w:val="2"/>
          <w:sz w:val="21"/>
          <w:szCs w:val="21"/>
        </w:rPr>
        <w:t>（基金代码：00</w:t>
      </w:r>
      <w:r>
        <w:rPr>
          <w:rFonts w:ascii="宋体" w:eastAsia="宋体" w:hAnsi="宋体" w:cs="宋体"/>
          <w:color w:val="auto"/>
          <w:kern w:val="2"/>
          <w:sz w:val="21"/>
          <w:szCs w:val="21"/>
        </w:rPr>
        <w:t>0309</w:t>
      </w:r>
      <w:r w:rsidR="00721AB7" w:rsidRPr="00721AB7">
        <w:rPr>
          <w:rFonts w:ascii="宋体" w:eastAsia="宋体" w:hAnsi="宋体" w:cs="宋体" w:hint="eastAsia"/>
          <w:color w:val="auto"/>
          <w:kern w:val="2"/>
          <w:sz w:val="21"/>
          <w:szCs w:val="21"/>
        </w:rPr>
        <w:t>）</w:t>
      </w:r>
    </w:p>
    <w:p w:rsidR="00721AB7" w:rsidRDefault="00900FC1" w:rsidP="000E08F3">
      <w:pPr>
        <w:pStyle w:val="Default"/>
        <w:numPr>
          <w:ilvl w:val="0"/>
          <w:numId w:val="20"/>
        </w:numPr>
        <w:spacing w:line="360" w:lineRule="auto"/>
        <w:ind w:left="845"/>
        <w:rPr>
          <w:rFonts w:ascii="宋体" w:eastAsia="宋体" w:hAnsi="宋体" w:cs="宋体"/>
          <w:color w:val="auto"/>
          <w:kern w:val="2"/>
          <w:sz w:val="21"/>
          <w:szCs w:val="21"/>
        </w:rPr>
      </w:pPr>
      <w:r w:rsidRPr="00900FC1">
        <w:rPr>
          <w:rFonts w:ascii="宋体" w:eastAsia="宋体" w:hAnsi="宋体" w:cs="宋体" w:hint="eastAsia"/>
          <w:color w:val="auto"/>
          <w:kern w:val="2"/>
          <w:sz w:val="21"/>
          <w:szCs w:val="21"/>
        </w:rPr>
        <w:t>摩根士丹利华鑫进取优选股票型证券投资基金</w:t>
      </w:r>
      <w:r w:rsidR="00721AB7" w:rsidRPr="00721AB7">
        <w:rPr>
          <w:rFonts w:ascii="宋体" w:eastAsia="宋体" w:hAnsi="宋体" w:cs="宋体" w:hint="eastAsia"/>
          <w:color w:val="auto"/>
          <w:kern w:val="2"/>
          <w:sz w:val="21"/>
          <w:szCs w:val="21"/>
        </w:rPr>
        <w:t>（基金代码：</w:t>
      </w:r>
      <w:r>
        <w:rPr>
          <w:rFonts w:ascii="宋体" w:eastAsia="宋体" w:hAnsi="宋体" w:cs="宋体"/>
          <w:color w:val="auto"/>
          <w:kern w:val="2"/>
          <w:sz w:val="21"/>
          <w:szCs w:val="21"/>
        </w:rPr>
        <w:t>000594</w:t>
      </w:r>
      <w:r w:rsidR="00721AB7" w:rsidRPr="00721AB7">
        <w:rPr>
          <w:rFonts w:ascii="宋体" w:eastAsia="宋体" w:hAnsi="宋体" w:cs="宋体" w:hint="eastAsia"/>
          <w:color w:val="auto"/>
          <w:kern w:val="2"/>
          <w:sz w:val="21"/>
          <w:szCs w:val="21"/>
        </w:rPr>
        <w:t>）</w:t>
      </w:r>
    </w:p>
    <w:p w:rsidR="00810EA7" w:rsidRPr="00810EA7" w:rsidRDefault="00810EA7" w:rsidP="00810EA7">
      <w:pPr>
        <w:pStyle w:val="Default"/>
        <w:numPr>
          <w:ilvl w:val="0"/>
          <w:numId w:val="20"/>
        </w:numPr>
        <w:spacing w:line="360" w:lineRule="auto"/>
        <w:ind w:left="845"/>
        <w:rPr>
          <w:rFonts w:ascii="宋体" w:eastAsia="宋体" w:hAnsi="宋体" w:cs="宋体" w:hint="eastAsia"/>
          <w:color w:val="auto"/>
          <w:kern w:val="2"/>
          <w:sz w:val="21"/>
          <w:szCs w:val="21"/>
        </w:rPr>
      </w:pPr>
      <w:r w:rsidRPr="00810EA7">
        <w:rPr>
          <w:rFonts w:ascii="宋体" w:eastAsia="宋体" w:hAnsi="宋体" w:cs="宋体" w:hint="eastAsia"/>
          <w:color w:val="auto"/>
          <w:kern w:val="2"/>
          <w:sz w:val="21"/>
          <w:szCs w:val="21"/>
        </w:rPr>
        <w:t>摩根士丹利华鑫纯债稳定添利18个月定期开放债券型证券投资基金（基金代码：A类</w:t>
      </w:r>
      <w:r w:rsidRPr="00810EA7">
        <w:rPr>
          <w:rFonts w:ascii="宋体" w:eastAsia="宋体" w:hAnsi="宋体" w:cs="宋体"/>
          <w:color w:val="auto"/>
          <w:kern w:val="2"/>
          <w:sz w:val="21"/>
          <w:szCs w:val="21"/>
        </w:rPr>
        <w:t>000415</w:t>
      </w:r>
      <w:r w:rsidRPr="00810EA7">
        <w:rPr>
          <w:rFonts w:ascii="宋体" w:eastAsia="宋体" w:hAnsi="宋体" w:cs="宋体" w:hint="eastAsia"/>
          <w:color w:val="auto"/>
          <w:kern w:val="2"/>
          <w:sz w:val="21"/>
          <w:szCs w:val="21"/>
        </w:rPr>
        <w:t>/C类</w:t>
      </w:r>
      <w:r w:rsidRPr="00810EA7">
        <w:rPr>
          <w:rFonts w:ascii="宋体" w:eastAsia="宋体" w:hAnsi="宋体" w:cs="宋体"/>
          <w:color w:val="auto"/>
          <w:kern w:val="2"/>
          <w:sz w:val="21"/>
          <w:szCs w:val="21"/>
        </w:rPr>
        <w:t>000416</w:t>
      </w:r>
      <w:r w:rsidRPr="00810EA7">
        <w:rPr>
          <w:rFonts w:ascii="宋体" w:eastAsia="宋体" w:hAnsi="宋体" w:cs="宋体" w:hint="eastAsia"/>
          <w:color w:val="auto"/>
          <w:kern w:val="2"/>
          <w:sz w:val="21"/>
          <w:szCs w:val="21"/>
        </w:rPr>
        <w:t>）</w:t>
      </w:r>
    </w:p>
    <w:p w:rsidR="00947633" w:rsidRPr="001E233E" w:rsidRDefault="00947633" w:rsidP="001E233E">
      <w:pPr>
        <w:pStyle w:val="Default"/>
        <w:numPr>
          <w:ilvl w:val="0"/>
          <w:numId w:val="20"/>
        </w:numPr>
        <w:spacing w:line="360" w:lineRule="auto"/>
        <w:ind w:left="845"/>
        <w:rPr>
          <w:rFonts w:ascii="宋体" w:eastAsia="宋体" w:hAnsi="宋体" w:cs="宋体"/>
          <w:color w:val="auto"/>
          <w:kern w:val="2"/>
          <w:sz w:val="21"/>
          <w:szCs w:val="21"/>
        </w:rPr>
      </w:pPr>
      <w:r w:rsidRPr="001E233E">
        <w:rPr>
          <w:rFonts w:ascii="宋体" w:eastAsia="宋体" w:hAnsi="宋体" w:cs="宋体" w:hint="eastAsia"/>
          <w:color w:val="auto"/>
          <w:kern w:val="2"/>
          <w:sz w:val="21"/>
          <w:szCs w:val="21"/>
        </w:rPr>
        <w:t>摩根士丹利华鑫优质信价纯债债券型证券投资基金（基金代码：</w:t>
      </w:r>
      <w:r w:rsidRPr="001E233E">
        <w:rPr>
          <w:rFonts w:ascii="宋体" w:eastAsia="宋体" w:hAnsi="宋体" w:cs="宋体"/>
          <w:color w:val="auto"/>
          <w:kern w:val="2"/>
          <w:sz w:val="21"/>
          <w:szCs w:val="21"/>
        </w:rPr>
        <w:t>A</w:t>
      </w:r>
      <w:r w:rsidRPr="001E233E">
        <w:rPr>
          <w:rFonts w:ascii="宋体" w:eastAsia="宋体" w:hAnsi="宋体" w:cs="宋体" w:hint="eastAsia"/>
          <w:color w:val="auto"/>
          <w:kern w:val="2"/>
          <w:sz w:val="21"/>
          <w:szCs w:val="21"/>
        </w:rPr>
        <w:t>类</w:t>
      </w:r>
      <w:r w:rsidRPr="001E233E">
        <w:rPr>
          <w:rFonts w:ascii="宋体" w:eastAsia="宋体" w:hAnsi="宋体" w:cs="宋体"/>
          <w:color w:val="auto"/>
          <w:kern w:val="2"/>
          <w:sz w:val="21"/>
          <w:szCs w:val="21"/>
        </w:rPr>
        <w:t>000419/C</w:t>
      </w:r>
      <w:r w:rsidRPr="001E233E">
        <w:rPr>
          <w:rFonts w:ascii="宋体" w:eastAsia="宋体" w:hAnsi="宋体" w:cs="宋体" w:hint="eastAsia"/>
          <w:color w:val="auto"/>
          <w:kern w:val="2"/>
          <w:sz w:val="21"/>
          <w:szCs w:val="21"/>
        </w:rPr>
        <w:t>类</w:t>
      </w:r>
      <w:r w:rsidRPr="001E233E">
        <w:rPr>
          <w:rFonts w:ascii="宋体" w:eastAsia="宋体" w:hAnsi="宋体" w:cs="宋体"/>
          <w:color w:val="auto"/>
          <w:kern w:val="2"/>
          <w:sz w:val="21"/>
          <w:szCs w:val="21"/>
        </w:rPr>
        <w:t>000420</w:t>
      </w:r>
      <w:r w:rsidRPr="001E233E">
        <w:rPr>
          <w:rFonts w:ascii="宋体" w:eastAsia="宋体" w:hAnsi="宋体" w:cs="宋体" w:hint="eastAsia"/>
          <w:color w:val="auto"/>
          <w:kern w:val="2"/>
          <w:sz w:val="21"/>
          <w:szCs w:val="21"/>
        </w:rPr>
        <w:t>）</w:t>
      </w:r>
    </w:p>
    <w:p w:rsidR="00947633" w:rsidRPr="001E233E" w:rsidRDefault="00947633" w:rsidP="001E233E">
      <w:pPr>
        <w:pStyle w:val="Default"/>
        <w:numPr>
          <w:ilvl w:val="0"/>
          <w:numId w:val="20"/>
        </w:numPr>
        <w:spacing w:line="360" w:lineRule="auto"/>
        <w:ind w:left="845"/>
        <w:rPr>
          <w:rFonts w:ascii="宋体" w:eastAsia="宋体" w:hAnsi="宋体" w:cs="宋体" w:hint="eastAsia"/>
          <w:color w:val="auto"/>
          <w:kern w:val="2"/>
          <w:sz w:val="21"/>
          <w:szCs w:val="21"/>
        </w:rPr>
      </w:pPr>
      <w:r w:rsidRPr="001E233E">
        <w:rPr>
          <w:rFonts w:ascii="宋体" w:eastAsia="宋体" w:hAnsi="宋体" w:cs="宋体" w:hint="eastAsia"/>
          <w:color w:val="auto"/>
          <w:kern w:val="2"/>
          <w:sz w:val="21"/>
          <w:szCs w:val="21"/>
        </w:rPr>
        <w:t>摩根士丹利华鑫量化多策略股票型证券投资基金（基金代码：</w:t>
      </w:r>
      <w:r w:rsidRPr="001E233E">
        <w:rPr>
          <w:rFonts w:ascii="宋体" w:eastAsia="宋体" w:hAnsi="宋体" w:cs="宋体"/>
          <w:color w:val="auto"/>
          <w:kern w:val="2"/>
          <w:sz w:val="21"/>
          <w:szCs w:val="21"/>
        </w:rPr>
        <w:t>001291</w:t>
      </w:r>
      <w:r w:rsidRPr="001E233E">
        <w:rPr>
          <w:rFonts w:ascii="宋体" w:eastAsia="宋体" w:hAnsi="宋体" w:cs="宋体" w:hint="eastAsia"/>
          <w:color w:val="auto"/>
          <w:kern w:val="2"/>
          <w:sz w:val="21"/>
          <w:szCs w:val="21"/>
        </w:rPr>
        <w:t>）</w:t>
      </w:r>
    </w:p>
    <w:p w:rsidR="001E233E" w:rsidRPr="001E233E" w:rsidRDefault="001E233E" w:rsidP="001E233E">
      <w:pPr>
        <w:pStyle w:val="Default"/>
        <w:numPr>
          <w:ilvl w:val="0"/>
          <w:numId w:val="20"/>
        </w:numPr>
        <w:spacing w:line="360" w:lineRule="auto"/>
        <w:ind w:left="845"/>
        <w:rPr>
          <w:rFonts w:ascii="宋体" w:eastAsia="宋体" w:hAnsi="宋体" w:cs="宋体" w:hint="eastAsia"/>
          <w:color w:val="auto"/>
          <w:kern w:val="2"/>
          <w:sz w:val="21"/>
          <w:szCs w:val="21"/>
        </w:rPr>
      </w:pPr>
      <w:r w:rsidRPr="001E233E">
        <w:rPr>
          <w:rFonts w:ascii="宋体" w:eastAsia="宋体" w:hAnsi="宋体" w:cs="宋体" w:hint="eastAsia"/>
          <w:color w:val="auto"/>
          <w:kern w:val="2"/>
          <w:sz w:val="21"/>
          <w:szCs w:val="21"/>
        </w:rPr>
        <w:lastRenderedPageBreak/>
        <w:t>摩根士丹利华鑫纯债稳定增值18个月定期开放债券型证券投资基金（基金代码：A类001859/C类001860）</w:t>
      </w:r>
    </w:p>
    <w:p w:rsidR="001E233E" w:rsidRPr="001E233E" w:rsidRDefault="001E233E" w:rsidP="001E233E">
      <w:pPr>
        <w:pStyle w:val="Default"/>
        <w:numPr>
          <w:ilvl w:val="0"/>
          <w:numId w:val="20"/>
        </w:numPr>
        <w:spacing w:line="360" w:lineRule="auto"/>
        <w:ind w:left="845"/>
        <w:rPr>
          <w:rFonts w:ascii="宋体" w:eastAsia="宋体" w:hAnsi="宋体" w:cs="宋体" w:hint="eastAsia"/>
          <w:color w:val="auto"/>
          <w:kern w:val="2"/>
          <w:sz w:val="21"/>
          <w:szCs w:val="21"/>
        </w:rPr>
      </w:pPr>
      <w:r w:rsidRPr="001E233E">
        <w:rPr>
          <w:rFonts w:ascii="宋体" w:eastAsia="宋体" w:hAnsi="宋体" w:cs="宋体" w:hint="eastAsia"/>
          <w:color w:val="auto"/>
          <w:kern w:val="2"/>
          <w:sz w:val="21"/>
          <w:szCs w:val="21"/>
        </w:rPr>
        <w:t>摩根士丹利华鑫健康产业混合型证券投资基金（基金代码：</w:t>
      </w:r>
      <w:r w:rsidRPr="001E233E">
        <w:rPr>
          <w:rFonts w:ascii="宋体" w:eastAsia="宋体" w:hAnsi="宋体" w:cs="宋体"/>
          <w:color w:val="auto"/>
          <w:kern w:val="2"/>
          <w:sz w:val="21"/>
          <w:szCs w:val="21"/>
        </w:rPr>
        <w:t>002708</w:t>
      </w:r>
      <w:r w:rsidRPr="001E233E">
        <w:rPr>
          <w:rFonts w:ascii="宋体" w:eastAsia="宋体" w:hAnsi="宋体" w:cs="宋体" w:hint="eastAsia"/>
          <w:color w:val="auto"/>
          <w:kern w:val="2"/>
          <w:sz w:val="21"/>
          <w:szCs w:val="21"/>
        </w:rPr>
        <w:t>）</w:t>
      </w:r>
    </w:p>
    <w:p w:rsidR="000C0617" w:rsidRPr="00DC065C"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0C0617" w:rsidRPr="00DC065C">
        <w:rPr>
          <w:rFonts w:ascii="宋体" w:eastAsia="宋体" w:hAnsi="宋体" w:cs="宋体"/>
          <w:b/>
          <w:color w:val="auto"/>
          <w:kern w:val="2"/>
          <w:sz w:val="21"/>
          <w:szCs w:val="21"/>
        </w:rPr>
        <w:t>、</w:t>
      </w:r>
      <w:r w:rsidR="00462B26">
        <w:rPr>
          <w:rFonts w:ascii="宋体" w:eastAsia="宋体" w:hAnsi="宋体" w:cs="宋体" w:hint="eastAsia"/>
          <w:b/>
          <w:color w:val="auto"/>
          <w:kern w:val="2"/>
          <w:sz w:val="21"/>
          <w:szCs w:val="21"/>
        </w:rPr>
        <w:t>费率优惠活动</w:t>
      </w:r>
    </w:p>
    <w:p w:rsidR="000C0617" w:rsidRPr="003B3A38" w:rsidRDefault="00947633" w:rsidP="003B3A38">
      <w:pPr>
        <w:pStyle w:val="Default"/>
        <w:spacing w:line="360" w:lineRule="auto"/>
        <w:ind w:firstLineChars="200" w:firstLine="420"/>
        <w:rPr>
          <w:rFonts w:ascii="宋体" w:eastAsia="宋体" w:hAnsi="宋体" w:cs="宋体"/>
          <w:color w:val="auto"/>
          <w:kern w:val="2"/>
          <w:sz w:val="21"/>
          <w:szCs w:val="21"/>
        </w:rPr>
      </w:pPr>
      <w:r w:rsidRPr="00947633">
        <w:rPr>
          <w:rFonts w:ascii="宋体" w:eastAsia="宋体" w:hAnsi="宋体" w:cs="宋体" w:hint="eastAsia"/>
          <w:color w:val="auto"/>
          <w:kern w:val="2"/>
          <w:sz w:val="21"/>
          <w:szCs w:val="21"/>
        </w:rPr>
        <w:t>自2021年</w:t>
      </w:r>
      <w:r w:rsidR="005105D9">
        <w:rPr>
          <w:rFonts w:ascii="宋体" w:eastAsia="宋体" w:hAnsi="宋体" w:cs="宋体"/>
          <w:color w:val="auto"/>
          <w:kern w:val="2"/>
          <w:sz w:val="21"/>
          <w:szCs w:val="21"/>
        </w:rPr>
        <w:t>7</w:t>
      </w:r>
      <w:r w:rsidRPr="00947633">
        <w:rPr>
          <w:rFonts w:ascii="宋体" w:eastAsia="宋体" w:hAnsi="宋体" w:cs="宋体" w:hint="eastAsia"/>
          <w:color w:val="auto"/>
          <w:kern w:val="2"/>
          <w:sz w:val="21"/>
          <w:szCs w:val="21"/>
        </w:rPr>
        <w:t>月</w:t>
      </w:r>
      <w:r w:rsidR="005105D9">
        <w:rPr>
          <w:rFonts w:ascii="宋体" w:eastAsia="宋体" w:hAnsi="宋体" w:cs="宋体"/>
          <w:color w:val="auto"/>
          <w:kern w:val="2"/>
          <w:sz w:val="21"/>
          <w:szCs w:val="21"/>
        </w:rPr>
        <w:t>29</w:t>
      </w:r>
      <w:r w:rsidRPr="00947633">
        <w:rPr>
          <w:rFonts w:ascii="宋体" w:eastAsia="宋体" w:hAnsi="宋体" w:cs="宋体" w:hint="eastAsia"/>
          <w:color w:val="auto"/>
          <w:kern w:val="2"/>
          <w:sz w:val="21"/>
          <w:szCs w:val="21"/>
        </w:rPr>
        <w:t>日起，</w:t>
      </w:r>
      <w:r w:rsidR="000C0617" w:rsidRPr="000C0617">
        <w:rPr>
          <w:rFonts w:ascii="宋体" w:eastAsia="宋体" w:hAnsi="宋体" w:cs="宋体" w:hint="eastAsia"/>
          <w:color w:val="auto"/>
          <w:kern w:val="2"/>
          <w:sz w:val="21"/>
          <w:szCs w:val="21"/>
        </w:rPr>
        <w:t>投资者通过</w:t>
      </w:r>
      <w:r w:rsidR="001762ED">
        <w:rPr>
          <w:rFonts w:ascii="宋体" w:eastAsia="宋体" w:hAnsi="宋体" w:cs="宋体" w:hint="eastAsia"/>
          <w:color w:val="auto"/>
          <w:kern w:val="2"/>
          <w:sz w:val="21"/>
          <w:szCs w:val="21"/>
        </w:rPr>
        <w:t>浦发银行</w:t>
      </w:r>
      <w:r w:rsidR="000C0617" w:rsidRPr="000C0617">
        <w:rPr>
          <w:rFonts w:ascii="宋体" w:eastAsia="宋体" w:hAnsi="宋体" w:cs="宋体" w:hint="eastAsia"/>
          <w:color w:val="auto"/>
          <w:kern w:val="2"/>
          <w:sz w:val="21"/>
          <w:szCs w:val="21"/>
        </w:rPr>
        <w:t>申购</w:t>
      </w:r>
      <w:r w:rsidR="003A0B1E">
        <w:rPr>
          <w:rFonts w:ascii="宋体" w:eastAsia="宋体" w:hAnsi="宋体" w:cs="宋体" w:hint="eastAsia"/>
          <w:color w:val="auto"/>
          <w:kern w:val="2"/>
          <w:sz w:val="21"/>
          <w:szCs w:val="21"/>
        </w:rPr>
        <w:t>、</w:t>
      </w:r>
      <w:r w:rsidR="000C0617" w:rsidRPr="000C0617">
        <w:rPr>
          <w:rFonts w:ascii="宋体" w:eastAsia="宋体" w:hAnsi="宋体" w:cs="宋体" w:hint="eastAsia"/>
          <w:color w:val="auto"/>
          <w:kern w:val="2"/>
          <w:sz w:val="21"/>
          <w:szCs w:val="21"/>
        </w:rPr>
        <w:t>定投本公司上述基金的，各基金享有的具体折扣费率及费率优惠活动期限以</w:t>
      </w:r>
      <w:r w:rsidR="001762ED">
        <w:rPr>
          <w:rFonts w:ascii="宋体" w:eastAsia="宋体" w:hAnsi="宋体" w:cs="宋体" w:hint="eastAsia"/>
          <w:color w:val="auto"/>
          <w:kern w:val="2"/>
          <w:sz w:val="21"/>
          <w:szCs w:val="21"/>
        </w:rPr>
        <w:t>浦发银行</w:t>
      </w:r>
      <w:r w:rsidR="000C0617" w:rsidRPr="000C0617">
        <w:rPr>
          <w:rFonts w:ascii="宋体" w:eastAsia="宋体" w:hAnsi="宋体" w:cs="宋体" w:hint="eastAsia"/>
          <w:color w:val="auto"/>
          <w:kern w:val="2"/>
          <w:sz w:val="21"/>
          <w:szCs w:val="21"/>
        </w:rPr>
        <w:t>的活动公告为准。基金原申购费率如适用固定费用的，则仍按原费率执行，不再享有费率折扣。</w:t>
      </w:r>
      <w:r w:rsidR="00E6260F">
        <w:rPr>
          <w:rFonts w:ascii="宋体" w:eastAsia="宋体" w:hAnsi="宋体" w:cs="宋体" w:hint="eastAsia"/>
          <w:color w:val="auto"/>
          <w:kern w:val="2"/>
          <w:sz w:val="21"/>
          <w:szCs w:val="21"/>
        </w:rPr>
        <w:t>上述</w:t>
      </w:r>
      <w:r w:rsidR="000C0617" w:rsidRPr="003B3A38">
        <w:rPr>
          <w:rFonts w:ascii="宋体" w:eastAsia="宋体" w:hAnsi="宋体" w:cs="宋体" w:hint="eastAsia"/>
          <w:color w:val="auto"/>
          <w:kern w:val="2"/>
          <w:sz w:val="21"/>
          <w:szCs w:val="21"/>
        </w:rPr>
        <w:t>基金的原申购费率标准请详见各基金相关法律文件及本公司发布的最新业务公告。</w:t>
      </w:r>
    </w:p>
    <w:p w:rsidR="00BB3B86" w:rsidRPr="00266E29" w:rsidRDefault="00BB3B86" w:rsidP="00C36D0E">
      <w:pPr>
        <w:spacing w:line="360" w:lineRule="auto"/>
        <w:ind w:firstLineChars="200" w:firstLine="420"/>
        <w:rPr>
          <w:rFonts w:hint="eastAsia"/>
        </w:rPr>
      </w:pPr>
      <w:r w:rsidRPr="00BB3B86">
        <w:rPr>
          <w:rFonts w:hint="eastAsia"/>
        </w:rPr>
        <w:t>摩根士丹利华鑫纯债稳定增利</w:t>
      </w:r>
      <w:r>
        <w:t>18</w:t>
      </w:r>
      <w:r w:rsidRPr="00BB3B86">
        <w:rPr>
          <w:rFonts w:hint="eastAsia"/>
        </w:rPr>
        <w:t>个月定期开放债券型证券投资基金（基金代码：</w:t>
      </w:r>
      <w:r w:rsidRPr="00BB3B86">
        <w:rPr>
          <w:rFonts w:hint="eastAsia"/>
        </w:rPr>
        <w:t xml:space="preserve"> 000064</w:t>
      </w:r>
      <w:r w:rsidRPr="00BB3B86">
        <w:rPr>
          <w:rFonts w:hint="eastAsia"/>
        </w:rPr>
        <w:t>）</w:t>
      </w:r>
      <w:r>
        <w:rPr>
          <w:rFonts w:hint="eastAsia"/>
        </w:rPr>
        <w:t>、</w:t>
      </w:r>
      <w:r w:rsidRPr="00BB3B86">
        <w:rPr>
          <w:rFonts w:hint="eastAsia"/>
        </w:rPr>
        <w:t>摩根士丹利华鑫纯债稳定添利</w:t>
      </w:r>
      <w:r w:rsidRPr="00BB3B86">
        <w:rPr>
          <w:rFonts w:hint="eastAsia"/>
        </w:rPr>
        <w:t>18</w:t>
      </w:r>
      <w:r w:rsidRPr="00BB3B86">
        <w:rPr>
          <w:rFonts w:hint="eastAsia"/>
        </w:rPr>
        <w:t>个月定期开放债券型证券投资基金（基金代码：</w:t>
      </w:r>
      <w:r w:rsidRPr="00BB3B86">
        <w:rPr>
          <w:rFonts w:hint="eastAsia"/>
        </w:rPr>
        <w:t>A</w:t>
      </w:r>
      <w:r w:rsidRPr="00BB3B86">
        <w:rPr>
          <w:rFonts w:hint="eastAsia"/>
        </w:rPr>
        <w:t>类</w:t>
      </w:r>
      <w:r w:rsidRPr="00BB3B86">
        <w:rPr>
          <w:rFonts w:hint="eastAsia"/>
        </w:rPr>
        <w:t>000415/C</w:t>
      </w:r>
      <w:r w:rsidRPr="00BB3B86">
        <w:rPr>
          <w:rFonts w:hint="eastAsia"/>
        </w:rPr>
        <w:t>类</w:t>
      </w:r>
      <w:r w:rsidRPr="00BB3B86">
        <w:rPr>
          <w:rFonts w:hint="eastAsia"/>
        </w:rPr>
        <w:t>000416</w:t>
      </w:r>
      <w:r w:rsidRPr="00BB3B86">
        <w:rPr>
          <w:rFonts w:hint="eastAsia"/>
        </w:rPr>
        <w:t>）</w:t>
      </w:r>
      <w:r>
        <w:rPr>
          <w:rFonts w:hint="eastAsia"/>
        </w:rPr>
        <w:t>、</w:t>
      </w:r>
      <w:r w:rsidRPr="00BB3B86">
        <w:rPr>
          <w:rFonts w:hint="eastAsia"/>
        </w:rPr>
        <w:t>摩根士丹利华鑫纯债稳定增值</w:t>
      </w:r>
      <w:r w:rsidRPr="00BB3B86">
        <w:rPr>
          <w:rFonts w:hint="eastAsia"/>
        </w:rPr>
        <w:t>18</w:t>
      </w:r>
      <w:r w:rsidRPr="00BB3B86">
        <w:rPr>
          <w:rFonts w:hint="eastAsia"/>
        </w:rPr>
        <w:t>个月定期开放债券型证券投资基金（基金代码：</w:t>
      </w:r>
      <w:r w:rsidRPr="00BB3B86">
        <w:rPr>
          <w:rFonts w:hint="eastAsia"/>
        </w:rPr>
        <w:t>A</w:t>
      </w:r>
      <w:r w:rsidRPr="00BB3B86">
        <w:rPr>
          <w:rFonts w:hint="eastAsia"/>
        </w:rPr>
        <w:t>类</w:t>
      </w:r>
      <w:r w:rsidRPr="00BB3B86">
        <w:rPr>
          <w:rFonts w:hint="eastAsia"/>
        </w:rPr>
        <w:t>001859/C</w:t>
      </w:r>
      <w:r w:rsidRPr="00BB3B86">
        <w:rPr>
          <w:rFonts w:hint="eastAsia"/>
        </w:rPr>
        <w:t>类</w:t>
      </w:r>
      <w:r w:rsidRPr="00BB3B86">
        <w:rPr>
          <w:rFonts w:hint="eastAsia"/>
        </w:rPr>
        <w:t>001860</w:t>
      </w:r>
      <w:r w:rsidRPr="00BB3B86">
        <w:rPr>
          <w:rFonts w:hint="eastAsia"/>
        </w:rPr>
        <w:t>）不开通定投业务，且目前处于封闭期，暂未开放申购、赎回、基金转换等业务，自开放之日起，参加本次费率优惠活动。具体开放时间请参见本公司公告。</w:t>
      </w:r>
    </w:p>
    <w:p w:rsidR="00C273BE" w:rsidRPr="00C273BE"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sidR="000C0617">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1、本次基金费率优惠活动不适用于基金赎回</w:t>
      </w:r>
      <w:r w:rsidR="00442054">
        <w:rPr>
          <w:rFonts w:ascii="宋体" w:eastAsia="宋体" w:hAnsi="宋体" w:cs="宋体" w:hint="eastAsia"/>
          <w:color w:val="auto"/>
          <w:kern w:val="2"/>
          <w:sz w:val="21"/>
          <w:szCs w:val="21"/>
        </w:rPr>
        <w:t>、</w:t>
      </w:r>
      <w:r w:rsidR="00462B26">
        <w:rPr>
          <w:rFonts w:ascii="宋体" w:eastAsia="宋体" w:hAnsi="宋体" w:cs="宋体" w:hint="eastAsia"/>
          <w:color w:val="auto"/>
          <w:kern w:val="2"/>
          <w:sz w:val="21"/>
          <w:szCs w:val="21"/>
        </w:rPr>
        <w:t>转换</w:t>
      </w:r>
      <w:r w:rsidRPr="00C273BE">
        <w:rPr>
          <w:rFonts w:ascii="宋体" w:eastAsia="宋体" w:hAnsi="宋体" w:cs="宋体" w:hint="eastAsia"/>
          <w:color w:val="auto"/>
          <w:kern w:val="2"/>
          <w:sz w:val="21"/>
          <w:szCs w:val="21"/>
        </w:rPr>
        <w:t>等其他业务。</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1762ED">
        <w:rPr>
          <w:rFonts w:ascii="宋体" w:eastAsia="宋体" w:hAnsi="宋体" w:cs="宋体" w:hint="eastAsia"/>
          <w:color w:val="auto"/>
          <w:kern w:val="2"/>
          <w:sz w:val="21"/>
          <w:szCs w:val="21"/>
        </w:rPr>
        <w:t>浦发银行</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1762ED">
        <w:rPr>
          <w:rFonts w:ascii="宋体" w:eastAsia="宋体" w:hAnsi="宋体" w:cs="宋体" w:hint="eastAsia"/>
          <w:color w:val="auto"/>
          <w:kern w:val="2"/>
          <w:sz w:val="21"/>
          <w:szCs w:val="21"/>
        </w:rPr>
        <w:t>浦发银行</w:t>
      </w:r>
      <w:r w:rsidR="00EA3E78" w:rsidRPr="00EA3E78">
        <w:rPr>
          <w:rFonts w:ascii="宋体" w:eastAsia="宋体" w:hAnsi="宋体" w:cs="宋体" w:hint="eastAsia"/>
          <w:color w:val="auto"/>
          <w:kern w:val="2"/>
          <w:sz w:val="21"/>
          <w:szCs w:val="21"/>
        </w:rPr>
        <w:t>的有关公告。</w:t>
      </w:r>
    </w:p>
    <w:p w:rsidR="00576E91" w:rsidRPr="004D543A" w:rsidRDefault="00C273BE" w:rsidP="00C36D0E">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3、本公告的解释权归摩根士丹利华鑫基金管理有限公司所有。</w:t>
      </w:r>
    </w:p>
    <w:p w:rsidR="008809D4" w:rsidRDefault="00B61CFB" w:rsidP="00C36D0E">
      <w:pPr>
        <w:pStyle w:val="Default"/>
        <w:spacing w:beforeLines="50" w:line="300" w:lineRule="auto"/>
        <w:ind w:firstLineChars="200" w:firstLine="422"/>
        <w:rPr>
          <w:rFonts w:ascii="Times New Roman" w:eastAsia="宋体" w:hAnsi="宋体" w:cs="Times New Roman" w:hint="eastAsia"/>
          <w:b/>
          <w:sz w:val="21"/>
          <w:szCs w:val="21"/>
        </w:rPr>
      </w:pPr>
      <w:r>
        <w:rPr>
          <w:rFonts w:ascii="Times New Roman" w:eastAsia="宋体" w:hAnsi="宋体" w:cs="Times New Roman" w:hint="eastAsia"/>
          <w:b/>
          <w:sz w:val="21"/>
          <w:szCs w:val="21"/>
        </w:rPr>
        <w:t>四</w:t>
      </w:r>
      <w:r w:rsidR="000C0617">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1762ED" w:rsidRPr="001762ED" w:rsidRDefault="008809D4" w:rsidP="001762ED">
      <w:pPr>
        <w:pStyle w:val="Default"/>
        <w:spacing w:line="360" w:lineRule="auto"/>
        <w:ind w:firstLineChars="200" w:firstLine="420"/>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1.</w:t>
      </w:r>
      <w:r w:rsidR="001762ED" w:rsidRPr="001762ED">
        <w:rPr>
          <w:rFonts w:ascii="宋体" w:eastAsia="宋体" w:hAnsi="宋体" w:cs="宋体" w:hint="eastAsia"/>
          <w:color w:val="auto"/>
          <w:kern w:val="2"/>
          <w:sz w:val="21"/>
          <w:szCs w:val="21"/>
        </w:rPr>
        <w:t>上海浦东发展银行股份有限公司</w:t>
      </w:r>
    </w:p>
    <w:p w:rsidR="001762ED" w:rsidRPr="001762ED" w:rsidRDefault="001762ED" w:rsidP="001762ED">
      <w:pPr>
        <w:pStyle w:val="Default"/>
        <w:spacing w:line="360" w:lineRule="auto"/>
        <w:ind w:firstLineChars="200" w:firstLine="420"/>
        <w:rPr>
          <w:rFonts w:ascii="宋体" w:eastAsia="宋体" w:hAnsi="宋体" w:cs="宋体" w:hint="eastAsia"/>
          <w:color w:val="auto"/>
          <w:kern w:val="2"/>
          <w:sz w:val="21"/>
          <w:szCs w:val="21"/>
        </w:rPr>
      </w:pPr>
      <w:r w:rsidRPr="001762ED">
        <w:rPr>
          <w:rFonts w:ascii="宋体" w:eastAsia="宋体" w:hAnsi="宋体" w:cs="宋体" w:hint="eastAsia"/>
          <w:color w:val="auto"/>
          <w:kern w:val="2"/>
          <w:sz w:val="21"/>
          <w:szCs w:val="21"/>
        </w:rPr>
        <w:t>客户服务电话：95528</w:t>
      </w:r>
    </w:p>
    <w:p w:rsidR="001762ED" w:rsidRDefault="001762ED" w:rsidP="001762ED">
      <w:pPr>
        <w:pStyle w:val="Default"/>
        <w:spacing w:line="360" w:lineRule="auto"/>
        <w:ind w:firstLineChars="200" w:firstLine="420"/>
        <w:rPr>
          <w:rFonts w:ascii="宋体" w:eastAsia="宋体" w:hAnsi="宋体" w:cs="宋体"/>
          <w:color w:val="auto"/>
          <w:kern w:val="2"/>
          <w:sz w:val="21"/>
          <w:szCs w:val="21"/>
        </w:rPr>
      </w:pPr>
      <w:r w:rsidRPr="001762ED">
        <w:rPr>
          <w:rFonts w:ascii="宋体" w:eastAsia="宋体" w:hAnsi="宋体" w:cs="宋体" w:hint="eastAsia"/>
          <w:color w:val="auto"/>
          <w:kern w:val="2"/>
          <w:sz w:val="21"/>
          <w:szCs w:val="21"/>
        </w:rPr>
        <w:t>网址：</w:t>
      </w:r>
      <w:r w:rsidR="001E233E" w:rsidRPr="001E233E">
        <w:rPr>
          <w:rFonts w:ascii="宋体" w:eastAsia="宋体" w:hAnsi="宋体" w:cs="宋体" w:hint="eastAsia"/>
          <w:color w:val="auto"/>
          <w:kern w:val="2"/>
          <w:sz w:val="21"/>
          <w:szCs w:val="21"/>
        </w:rPr>
        <w:t>www.spdb.com.cn</w:t>
      </w:r>
    </w:p>
    <w:p w:rsidR="008809D4" w:rsidRPr="002F1654" w:rsidRDefault="00135E4A" w:rsidP="00900FC1">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color w:val="auto"/>
          <w:kern w:val="2"/>
          <w:sz w:val="21"/>
          <w:szCs w:val="21"/>
        </w:rPr>
        <w:t>2</w:t>
      </w:r>
      <w:r w:rsidR="008809D4" w:rsidRPr="002F1654">
        <w:rPr>
          <w:rFonts w:ascii="宋体" w:eastAsia="宋体" w:hAnsi="宋体" w:cs="宋体" w:hint="eastAsia"/>
          <w:color w:val="auto"/>
          <w:kern w:val="2"/>
          <w:sz w:val="21"/>
          <w:szCs w:val="21"/>
        </w:rPr>
        <w:t>.摩根士丹利华鑫基金管理有限公司</w:t>
      </w:r>
      <w:r w:rsidR="008809D4"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 xml:space="preserve">    </w:t>
      </w:r>
    </w:p>
    <w:p w:rsidR="001762ED" w:rsidRDefault="001762ED" w:rsidP="00910D82">
      <w:pPr>
        <w:spacing w:line="360" w:lineRule="auto"/>
        <w:ind w:firstLineChars="200" w:firstLine="420"/>
        <w:rPr>
          <w:rFonts w:ascii="宋体" w:hAnsi="宋体" w:cs="宋体"/>
          <w:szCs w:val="21"/>
        </w:rPr>
      </w:pPr>
      <w:r w:rsidRPr="001762ED">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w:t>
      </w:r>
      <w:r w:rsidRPr="001762ED">
        <w:rPr>
          <w:rFonts w:ascii="宋体" w:hAnsi="宋体" w:cs="宋体" w:hint="eastAsia"/>
          <w:szCs w:val="21"/>
        </w:rPr>
        <w:lastRenderedPageBreak/>
        <w:t>表现。投资者应认真阅读拟投资基金的《基金合同》、招募说明书、基金产品资料概要等法律文件，了解所投资基金的风险收益特征，并根据自身投资目的、投资期限、投资经验、资产状况等判断基金是否和投资者的风险承受能力相匹配。定期定额投资是引导投资人进行长期投资、平均投资成本的一种简单易行的投资方式，但是定期定额投资并不能规避基金投资所固有的风险，不能保证投资人获得收益，也不是替代储蓄的等效理财方式。</w:t>
      </w:r>
    </w:p>
    <w:p w:rsidR="00BF4137" w:rsidRDefault="00BF4137" w:rsidP="00910D82">
      <w:pPr>
        <w:spacing w:line="360" w:lineRule="auto"/>
        <w:ind w:firstLineChars="200" w:firstLine="420"/>
        <w:rPr>
          <w:rFonts w:ascii="宋体" w:hAnsi="宋体" w:cs="宋体"/>
          <w:szCs w:val="21"/>
        </w:rPr>
      </w:pPr>
    </w:p>
    <w:p w:rsidR="00BF4137" w:rsidRPr="002F1654" w:rsidRDefault="00BF4137" w:rsidP="002F1654">
      <w:pPr>
        <w:pStyle w:val="Default"/>
        <w:spacing w:line="360" w:lineRule="auto"/>
        <w:ind w:firstLineChars="200" w:firstLine="420"/>
        <w:jc w:val="both"/>
        <w:rPr>
          <w:rFonts w:ascii="宋体" w:eastAsia="宋体" w:hAnsi="宋体" w:cs="宋体" w:hint="eastAsia"/>
          <w:color w:val="auto"/>
          <w:kern w:val="2"/>
          <w:sz w:val="21"/>
          <w:szCs w:val="21"/>
        </w:rPr>
      </w:pPr>
    </w:p>
    <w:p w:rsidR="008809D4" w:rsidRPr="002F1654" w:rsidRDefault="008809D4" w:rsidP="002F1654">
      <w:pPr>
        <w:pStyle w:val="Default"/>
        <w:spacing w:line="360" w:lineRule="auto"/>
        <w:ind w:firstLineChars="200" w:firstLine="420"/>
        <w:jc w:val="both"/>
        <w:rPr>
          <w:rFonts w:ascii="宋体" w:eastAsia="宋体" w:hAnsi="宋体" w:cs="宋体"/>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8809D4" w:rsidRDefault="008809D4" w:rsidP="002F1654">
      <w:pPr>
        <w:pStyle w:val="Default"/>
        <w:spacing w:line="360" w:lineRule="auto"/>
        <w:ind w:firstLineChars="200" w:firstLine="480"/>
        <w:jc w:val="both"/>
        <w:rPr>
          <w:rFonts w:ascii="宋体" w:eastAsia="宋体" w:hAnsi="宋体" w:cs="宋体"/>
          <w:color w:val="auto"/>
          <w:kern w:val="2"/>
        </w:rPr>
      </w:pPr>
    </w:p>
    <w:p w:rsidR="00F60039" w:rsidRPr="002F1654" w:rsidRDefault="00F60039" w:rsidP="002F1654">
      <w:pPr>
        <w:pStyle w:val="Default"/>
        <w:spacing w:line="360" w:lineRule="auto"/>
        <w:ind w:firstLineChars="200" w:firstLine="480"/>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900FC1">
      <w:pPr>
        <w:pStyle w:val="Default"/>
        <w:spacing w:line="360" w:lineRule="auto"/>
        <w:ind w:right="420"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462B26">
        <w:rPr>
          <w:rFonts w:ascii="宋体" w:eastAsia="宋体" w:hAnsi="宋体" w:cs="宋体" w:hint="eastAsia"/>
          <w:color w:val="auto"/>
          <w:kern w:val="2"/>
          <w:sz w:val="21"/>
          <w:szCs w:val="21"/>
        </w:rPr>
        <w:t>二</w:t>
      </w:r>
      <w:r w:rsidR="00947633">
        <w:rPr>
          <w:rFonts w:ascii="宋体" w:eastAsia="宋体" w:hAnsi="宋体" w:cs="宋体" w:hint="eastAsia"/>
          <w:color w:val="auto"/>
          <w:kern w:val="2"/>
          <w:sz w:val="21"/>
          <w:szCs w:val="21"/>
        </w:rPr>
        <w:t>一</w:t>
      </w:r>
      <w:r w:rsidR="00DB134F" w:rsidRPr="002F1654">
        <w:rPr>
          <w:rFonts w:ascii="宋体" w:eastAsia="宋体" w:hAnsi="宋体" w:cs="宋体" w:hint="eastAsia"/>
          <w:color w:val="auto"/>
          <w:kern w:val="2"/>
          <w:sz w:val="21"/>
          <w:szCs w:val="21"/>
        </w:rPr>
        <w:t>年</w:t>
      </w:r>
      <w:r w:rsidR="001762ED">
        <w:rPr>
          <w:rFonts w:ascii="宋体" w:eastAsia="宋体" w:hAnsi="宋体" w:cs="宋体" w:hint="eastAsia"/>
          <w:color w:val="auto"/>
          <w:kern w:val="2"/>
          <w:sz w:val="21"/>
          <w:szCs w:val="21"/>
        </w:rPr>
        <w:t>七</w:t>
      </w:r>
      <w:r w:rsidR="00DB134F" w:rsidRPr="002F1654">
        <w:rPr>
          <w:rFonts w:ascii="宋体" w:eastAsia="宋体" w:hAnsi="宋体" w:cs="宋体" w:hint="eastAsia"/>
          <w:color w:val="auto"/>
          <w:kern w:val="2"/>
          <w:sz w:val="21"/>
          <w:szCs w:val="21"/>
        </w:rPr>
        <w:t>月</w:t>
      </w:r>
      <w:r w:rsidR="001762ED">
        <w:rPr>
          <w:rFonts w:ascii="宋体" w:eastAsia="宋体" w:hAnsi="宋体" w:cs="宋体" w:hint="eastAsia"/>
          <w:color w:val="auto"/>
          <w:kern w:val="2"/>
          <w:sz w:val="21"/>
          <w:szCs w:val="21"/>
        </w:rPr>
        <w:t>二十九</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47" w:rsidRDefault="00013147" w:rsidP="000D6CD7">
      <w:r>
        <w:separator/>
      </w:r>
    </w:p>
  </w:endnote>
  <w:endnote w:type="continuationSeparator" w:id="0">
    <w:p w:rsidR="00013147" w:rsidRDefault="00013147"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424AAE" w:rsidRPr="00424AAE">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47" w:rsidRDefault="00013147" w:rsidP="000D6CD7">
      <w:r>
        <w:separator/>
      </w:r>
    </w:p>
  </w:footnote>
  <w:footnote w:type="continuationSeparator" w:id="0">
    <w:p w:rsidR="00013147" w:rsidRDefault="00013147"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8A0473D"/>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E06334B"/>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6">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9">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5"/>
  </w:num>
  <w:num w:numId="3">
    <w:abstractNumId w:val="18"/>
  </w:num>
  <w:num w:numId="4">
    <w:abstractNumId w:val="1"/>
  </w:num>
  <w:num w:numId="5">
    <w:abstractNumId w:val="16"/>
  </w:num>
  <w:num w:numId="6">
    <w:abstractNumId w:val="7"/>
  </w:num>
  <w:num w:numId="7">
    <w:abstractNumId w:val="11"/>
  </w:num>
  <w:num w:numId="8">
    <w:abstractNumId w:val="19"/>
  </w:num>
  <w:num w:numId="9">
    <w:abstractNumId w:val="3"/>
  </w:num>
  <w:num w:numId="10">
    <w:abstractNumId w:val="2"/>
  </w:num>
  <w:num w:numId="11">
    <w:abstractNumId w:val="13"/>
  </w:num>
  <w:num w:numId="12">
    <w:abstractNumId w:val="17"/>
  </w:num>
  <w:num w:numId="13">
    <w:abstractNumId w:val="0"/>
  </w:num>
  <w:num w:numId="14">
    <w:abstractNumId w:val="6"/>
  </w:num>
  <w:num w:numId="15">
    <w:abstractNumId w:val="10"/>
  </w:num>
  <w:num w:numId="16">
    <w:abstractNumId w:val="14"/>
  </w:num>
  <w:num w:numId="17">
    <w:abstractNumId w:val="8"/>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3147"/>
    <w:rsid w:val="0001706B"/>
    <w:rsid w:val="0002018F"/>
    <w:rsid w:val="0002090F"/>
    <w:rsid w:val="000226D8"/>
    <w:rsid w:val="00025B54"/>
    <w:rsid w:val="0003051E"/>
    <w:rsid w:val="0003064E"/>
    <w:rsid w:val="00034510"/>
    <w:rsid w:val="00034D71"/>
    <w:rsid w:val="00036142"/>
    <w:rsid w:val="00036325"/>
    <w:rsid w:val="00037F4F"/>
    <w:rsid w:val="00051167"/>
    <w:rsid w:val="00057847"/>
    <w:rsid w:val="00063FD8"/>
    <w:rsid w:val="000701F0"/>
    <w:rsid w:val="00071212"/>
    <w:rsid w:val="00071FF1"/>
    <w:rsid w:val="00074D57"/>
    <w:rsid w:val="00077292"/>
    <w:rsid w:val="00081A9C"/>
    <w:rsid w:val="00081CC2"/>
    <w:rsid w:val="000850ED"/>
    <w:rsid w:val="00086279"/>
    <w:rsid w:val="00092618"/>
    <w:rsid w:val="0009371F"/>
    <w:rsid w:val="000943E6"/>
    <w:rsid w:val="000970FA"/>
    <w:rsid w:val="00097CD0"/>
    <w:rsid w:val="000A24FF"/>
    <w:rsid w:val="000A2A05"/>
    <w:rsid w:val="000A3FB3"/>
    <w:rsid w:val="000A5E70"/>
    <w:rsid w:val="000B3ABD"/>
    <w:rsid w:val="000C0617"/>
    <w:rsid w:val="000C305D"/>
    <w:rsid w:val="000C616C"/>
    <w:rsid w:val="000C6ACD"/>
    <w:rsid w:val="000C7553"/>
    <w:rsid w:val="000D524B"/>
    <w:rsid w:val="000D535D"/>
    <w:rsid w:val="000D5D67"/>
    <w:rsid w:val="000D6CD7"/>
    <w:rsid w:val="000E08F3"/>
    <w:rsid w:val="000E216C"/>
    <w:rsid w:val="000F37F6"/>
    <w:rsid w:val="000F3874"/>
    <w:rsid w:val="000F701D"/>
    <w:rsid w:val="001028C5"/>
    <w:rsid w:val="0010465F"/>
    <w:rsid w:val="00114D35"/>
    <w:rsid w:val="001178E5"/>
    <w:rsid w:val="001237A7"/>
    <w:rsid w:val="00125DB9"/>
    <w:rsid w:val="001278DB"/>
    <w:rsid w:val="00127AA6"/>
    <w:rsid w:val="00132E2A"/>
    <w:rsid w:val="00135190"/>
    <w:rsid w:val="0013534C"/>
    <w:rsid w:val="00135E4A"/>
    <w:rsid w:val="00140A69"/>
    <w:rsid w:val="001417B5"/>
    <w:rsid w:val="00147184"/>
    <w:rsid w:val="0015119E"/>
    <w:rsid w:val="0015598E"/>
    <w:rsid w:val="00156DDF"/>
    <w:rsid w:val="0016026C"/>
    <w:rsid w:val="00160FDA"/>
    <w:rsid w:val="00161C5B"/>
    <w:rsid w:val="00161D38"/>
    <w:rsid w:val="001650F5"/>
    <w:rsid w:val="00165F3C"/>
    <w:rsid w:val="0017191F"/>
    <w:rsid w:val="00172C55"/>
    <w:rsid w:val="001732C7"/>
    <w:rsid w:val="001732D3"/>
    <w:rsid w:val="001762ED"/>
    <w:rsid w:val="00180E36"/>
    <w:rsid w:val="0018163A"/>
    <w:rsid w:val="00183DCD"/>
    <w:rsid w:val="001855F4"/>
    <w:rsid w:val="00186E1C"/>
    <w:rsid w:val="00187298"/>
    <w:rsid w:val="00191342"/>
    <w:rsid w:val="00191F11"/>
    <w:rsid w:val="00195A4A"/>
    <w:rsid w:val="001A02F0"/>
    <w:rsid w:val="001A5335"/>
    <w:rsid w:val="001A6843"/>
    <w:rsid w:val="001B33CB"/>
    <w:rsid w:val="001B5EEF"/>
    <w:rsid w:val="001B7AAB"/>
    <w:rsid w:val="001C31DC"/>
    <w:rsid w:val="001C3A02"/>
    <w:rsid w:val="001C6A30"/>
    <w:rsid w:val="001D14F9"/>
    <w:rsid w:val="001D254B"/>
    <w:rsid w:val="001D295B"/>
    <w:rsid w:val="001D6B37"/>
    <w:rsid w:val="001D76D1"/>
    <w:rsid w:val="001E233E"/>
    <w:rsid w:val="001E337C"/>
    <w:rsid w:val="001E6861"/>
    <w:rsid w:val="001F1242"/>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4991"/>
    <w:rsid w:val="00245997"/>
    <w:rsid w:val="002510F5"/>
    <w:rsid w:val="00256B45"/>
    <w:rsid w:val="00261E66"/>
    <w:rsid w:val="00266E29"/>
    <w:rsid w:val="0026768F"/>
    <w:rsid w:val="00271812"/>
    <w:rsid w:val="00271B4D"/>
    <w:rsid w:val="002722EF"/>
    <w:rsid w:val="00274852"/>
    <w:rsid w:val="00281CC3"/>
    <w:rsid w:val="00282BEE"/>
    <w:rsid w:val="002846F1"/>
    <w:rsid w:val="00284BC3"/>
    <w:rsid w:val="002869DE"/>
    <w:rsid w:val="00294825"/>
    <w:rsid w:val="00295E6C"/>
    <w:rsid w:val="002A0D95"/>
    <w:rsid w:val="002A5448"/>
    <w:rsid w:val="002C02B4"/>
    <w:rsid w:val="002C1AE2"/>
    <w:rsid w:val="002C3769"/>
    <w:rsid w:val="002C5B7C"/>
    <w:rsid w:val="002C75CA"/>
    <w:rsid w:val="002D019E"/>
    <w:rsid w:val="002D0299"/>
    <w:rsid w:val="002D3039"/>
    <w:rsid w:val="002D47C3"/>
    <w:rsid w:val="002D4BAD"/>
    <w:rsid w:val="002D4D3C"/>
    <w:rsid w:val="002D64F5"/>
    <w:rsid w:val="002D6AD1"/>
    <w:rsid w:val="002E574E"/>
    <w:rsid w:val="002E5800"/>
    <w:rsid w:val="002F1654"/>
    <w:rsid w:val="002F3D6C"/>
    <w:rsid w:val="002F6F6A"/>
    <w:rsid w:val="0030167C"/>
    <w:rsid w:val="0030602B"/>
    <w:rsid w:val="00312548"/>
    <w:rsid w:val="00322610"/>
    <w:rsid w:val="00331F65"/>
    <w:rsid w:val="00332C4F"/>
    <w:rsid w:val="00334BB3"/>
    <w:rsid w:val="0033599B"/>
    <w:rsid w:val="003370EE"/>
    <w:rsid w:val="00340540"/>
    <w:rsid w:val="0034167F"/>
    <w:rsid w:val="003459D4"/>
    <w:rsid w:val="00347463"/>
    <w:rsid w:val="00354B52"/>
    <w:rsid w:val="00361741"/>
    <w:rsid w:val="00364D44"/>
    <w:rsid w:val="00370B8B"/>
    <w:rsid w:val="00370D3B"/>
    <w:rsid w:val="0037104C"/>
    <w:rsid w:val="00373309"/>
    <w:rsid w:val="003745AD"/>
    <w:rsid w:val="00375954"/>
    <w:rsid w:val="00382112"/>
    <w:rsid w:val="00386936"/>
    <w:rsid w:val="003944C2"/>
    <w:rsid w:val="00396B54"/>
    <w:rsid w:val="00397196"/>
    <w:rsid w:val="0039743E"/>
    <w:rsid w:val="0039758E"/>
    <w:rsid w:val="003A0B1E"/>
    <w:rsid w:val="003A2A58"/>
    <w:rsid w:val="003A4342"/>
    <w:rsid w:val="003A5E8E"/>
    <w:rsid w:val="003B3A38"/>
    <w:rsid w:val="003B62FC"/>
    <w:rsid w:val="003C168F"/>
    <w:rsid w:val="003C16AE"/>
    <w:rsid w:val="003C24DE"/>
    <w:rsid w:val="003C4277"/>
    <w:rsid w:val="003C4C2D"/>
    <w:rsid w:val="003C69F6"/>
    <w:rsid w:val="003D0804"/>
    <w:rsid w:val="003D50A6"/>
    <w:rsid w:val="003E3887"/>
    <w:rsid w:val="003E587A"/>
    <w:rsid w:val="003F11B0"/>
    <w:rsid w:val="003F1313"/>
    <w:rsid w:val="003F2078"/>
    <w:rsid w:val="003F359A"/>
    <w:rsid w:val="003F64F1"/>
    <w:rsid w:val="004018C4"/>
    <w:rsid w:val="00406775"/>
    <w:rsid w:val="004071D0"/>
    <w:rsid w:val="00407A4A"/>
    <w:rsid w:val="0041137B"/>
    <w:rsid w:val="00411455"/>
    <w:rsid w:val="00415B10"/>
    <w:rsid w:val="00416695"/>
    <w:rsid w:val="00417F74"/>
    <w:rsid w:val="00420AA0"/>
    <w:rsid w:val="00424197"/>
    <w:rsid w:val="00424AAE"/>
    <w:rsid w:val="004250E5"/>
    <w:rsid w:val="00426ACE"/>
    <w:rsid w:val="004273E6"/>
    <w:rsid w:val="00441345"/>
    <w:rsid w:val="00442054"/>
    <w:rsid w:val="00444EB7"/>
    <w:rsid w:val="00444EF1"/>
    <w:rsid w:val="00451037"/>
    <w:rsid w:val="0045231E"/>
    <w:rsid w:val="00453359"/>
    <w:rsid w:val="00457F47"/>
    <w:rsid w:val="004602E6"/>
    <w:rsid w:val="00461D93"/>
    <w:rsid w:val="00462AB4"/>
    <w:rsid w:val="00462B26"/>
    <w:rsid w:val="0046483F"/>
    <w:rsid w:val="00464EF1"/>
    <w:rsid w:val="00464F81"/>
    <w:rsid w:val="00471178"/>
    <w:rsid w:val="00474293"/>
    <w:rsid w:val="004748DC"/>
    <w:rsid w:val="00480B8E"/>
    <w:rsid w:val="00485675"/>
    <w:rsid w:val="00486919"/>
    <w:rsid w:val="00495BD5"/>
    <w:rsid w:val="00496E65"/>
    <w:rsid w:val="004A006E"/>
    <w:rsid w:val="004A0091"/>
    <w:rsid w:val="004A1014"/>
    <w:rsid w:val="004A67E3"/>
    <w:rsid w:val="004A6D25"/>
    <w:rsid w:val="004A7D8A"/>
    <w:rsid w:val="004B5658"/>
    <w:rsid w:val="004B6A81"/>
    <w:rsid w:val="004C0328"/>
    <w:rsid w:val="004C5B00"/>
    <w:rsid w:val="004C7340"/>
    <w:rsid w:val="004C7514"/>
    <w:rsid w:val="004D06A6"/>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05D9"/>
    <w:rsid w:val="00511358"/>
    <w:rsid w:val="005156E1"/>
    <w:rsid w:val="00516944"/>
    <w:rsid w:val="00520DC8"/>
    <w:rsid w:val="00520FF6"/>
    <w:rsid w:val="005213DA"/>
    <w:rsid w:val="005217ED"/>
    <w:rsid w:val="0052634B"/>
    <w:rsid w:val="00527949"/>
    <w:rsid w:val="00535371"/>
    <w:rsid w:val="005361D9"/>
    <w:rsid w:val="00537768"/>
    <w:rsid w:val="00541C81"/>
    <w:rsid w:val="00541FDE"/>
    <w:rsid w:val="00550132"/>
    <w:rsid w:val="00550559"/>
    <w:rsid w:val="00553794"/>
    <w:rsid w:val="005538AD"/>
    <w:rsid w:val="00553CAD"/>
    <w:rsid w:val="00555168"/>
    <w:rsid w:val="00561157"/>
    <w:rsid w:val="005612B4"/>
    <w:rsid w:val="00562B78"/>
    <w:rsid w:val="00564BA1"/>
    <w:rsid w:val="005673EA"/>
    <w:rsid w:val="005674E5"/>
    <w:rsid w:val="00567528"/>
    <w:rsid w:val="0057156C"/>
    <w:rsid w:val="005723A6"/>
    <w:rsid w:val="00574CBA"/>
    <w:rsid w:val="00576E91"/>
    <w:rsid w:val="00577017"/>
    <w:rsid w:val="00583460"/>
    <w:rsid w:val="00583AE1"/>
    <w:rsid w:val="00590023"/>
    <w:rsid w:val="005905C6"/>
    <w:rsid w:val="00590752"/>
    <w:rsid w:val="0059637A"/>
    <w:rsid w:val="00597F0A"/>
    <w:rsid w:val="005A17B0"/>
    <w:rsid w:val="005B035A"/>
    <w:rsid w:val="005B231D"/>
    <w:rsid w:val="005B3A84"/>
    <w:rsid w:val="005B5E7B"/>
    <w:rsid w:val="005C0D5E"/>
    <w:rsid w:val="005C4C28"/>
    <w:rsid w:val="005C7005"/>
    <w:rsid w:val="005D52C8"/>
    <w:rsid w:val="005D5BDA"/>
    <w:rsid w:val="005D7705"/>
    <w:rsid w:val="005D7B82"/>
    <w:rsid w:val="005D7B83"/>
    <w:rsid w:val="005E306E"/>
    <w:rsid w:val="005E4EBA"/>
    <w:rsid w:val="005E5120"/>
    <w:rsid w:val="005E7721"/>
    <w:rsid w:val="005F005A"/>
    <w:rsid w:val="005F1A88"/>
    <w:rsid w:val="005F2154"/>
    <w:rsid w:val="005F31BE"/>
    <w:rsid w:val="00602E77"/>
    <w:rsid w:val="00605CC9"/>
    <w:rsid w:val="006139B2"/>
    <w:rsid w:val="00621815"/>
    <w:rsid w:val="00623A93"/>
    <w:rsid w:val="00623FE2"/>
    <w:rsid w:val="006265BA"/>
    <w:rsid w:val="00630664"/>
    <w:rsid w:val="00631069"/>
    <w:rsid w:val="006320C2"/>
    <w:rsid w:val="00636EDF"/>
    <w:rsid w:val="00637141"/>
    <w:rsid w:val="00653CF7"/>
    <w:rsid w:val="00656226"/>
    <w:rsid w:val="00656C6A"/>
    <w:rsid w:val="00666F73"/>
    <w:rsid w:val="00670520"/>
    <w:rsid w:val="00680E78"/>
    <w:rsid w:val="00682E76"/>
    <w:rsid w:val="0069060F"/>
    <w:rsid w:val="00691D57"/>
    <w:rsid w:val="00692442"/>
    <w:rsid w:val="00694745"/>
    <w:rsid w:val="006A03FD"/>
    <w:rsid w:val="006A0752"/>
    <w:rsid w:val="006A276F"/>
    <w:rsid w:val="006A2C7F"/>
    <w:rsid w:val="006A4B3B"/>
    <w:rsid w:val="006A6890"/>
    <w:rsid w:val="006C2AEE"/>
    <w:rsid w:val="006C2B9D"/>
    <w:rsid w:val="006C46AD"/>
    <w:rsid w:val="006C48BD"/>
    <w:rsid w:val="006D03D9"/>
    <w:rsid w:val="006D03E8"/>
    <w:rsid w:val="006D729D"/>
    <w:rsid w:val="006E0503"/>
    <w:rsid w:val="006E13B1"/>
    <w:rsid w:val="006E1D12"/>
    <w:rsid w:val="006E7F08"/>
    <w:rsid w:val="006F02A8"/>
    <w:rsid w:val="006F0F2B"/>
    <w:rsid w:val="00701D4E"/>
    <w:rsid w:val="00706005"/>
    <w:rsid w:val="00710381"/>
    <w:rsid w:val="00710892"/>
    <w:rsid w:val="007122CF"/>
    <w:rsid w:val="0071405D"/>
    <w:rsid w:val="007204E1"/>
    <w:rsid w:val="00720EC3"/>
    <w:rsid w:val="00721AB7"/>
    <w:rsid w:val="007226F6"/>
    <w:rsid w:val="0072535B"/>
    <w:rsid w:val="007263FC"/>
    <w:rsid w:val="00727DE0"/>
    <w:rsid w:val="00735069"/>
    <w:rsid w:val="007350E0"/>
    <w:rsid w:val="00737885"/>
    <w:rsid w:val="00737BF8"/>
    <w:rsid w:val="0074328C"/>
    <w:rsid w:val="007443EF"/>
    <w:rsid w:val="0074645F"/>
    <w:rsid w:val="00746698"/>
    <w:rsid w:val="00756B1D"/>
    <w:rsid w:val="00756C40"/>
    <w:rsid w:val="00757DFD"/>
    <w:rsid w:val="00762EF7"/>
    <w:rsid w:val="00763CD9"/>
    <w:rsid w:val="00763FFD"/>
    <w:rsid w:val="00772DB9"/>
    <w:rsid w:val="00776515"/>
    <w:rsid w:val="00777884"/>
    <w:rsid w:val="00777946"/>
    <w:rsid w:val="00777974"/>
    <w:rsid w:val="00782BC9"/>
    <w:rsid w:val="0078534E"/>
    <w:rsid w:val="00787D1F"/>
    <w:rsid w:val="007906F4"/>
    <w:rsid w:val="007948C9"/>
    <w:rsid w:val="007975A3"/>
    <w:rsid w:val="007A013F"/>
    <w:rsid w:val="007A09EA"/>
    <w:rsid w:val="007B0566"/>
    <w:rsid w:val="007B432D"/>
    <w:rsid w:val="007C374F"/>
    <w:rsid w:val="007D31A6"/>
    <w:rsid w:val="007D6739"/>
    <w:rsid w:val="007D72C3"/>
    <w:rsid w:val="007D7E83"/>
    <w:rsid w:val="007E7B85"/>
    <w:rsid w:val="007F0B72"/>
    <w:rsid w:val="007F33CB"/>
    <w:rsid w:val="007F58CF"/>
    <w:rsid w:val="007F5A66"/>
    <w:rsid w:val="00803CCF"/>
    <w:rsid w:val="0080771F"/>
    <w:rsid w:val="00807E3B"/>
    <w:rsid w:val="00810D1F"/>
    <w:rsid w:val="00810EA7"/>
    <w:rsid w:val="00813C1C"/>
    <w:rsid w:val="00823AA1"/>
    <w:rsid w:val="008240E6"/>
    <w:rsid w:val="008279E0"/>
    <w:rsid w:val="00827A23"/>
    <w:rsid w:val="008307A6"/>
    <w:rsid w:val="00834B34"/>
    <w:rsid w:val="00834C6D"/>
    <w:rsid w:val="00837E6D"/>
    <w:rsid w:val="0084787E"/>
    <w:rsid w:val="00847AFA"/>
    <w:rsid w:val="00850503"/>
    <w:rsid w:val="00850E03"/>
    <w:rsid w:val="00852784"/>
    <w:rsid w:val="00853C88"/>
    <w:rsid w:val="00862F45"/>
    <w:rsid w:val="008638F8"/>
    <w:rsid w:val="00863E77"/>
    <w:rsid w:val="008809D4"/>
    <w:rsid w:val="00891B09"/>
    <w:rsid w:val="00892398"/>
    <w:rsid w:val="00893833"/>
    <w:rsid w:val="00895AC5"/>
    <w:rsid w:val="00895E95"/>
    <w:rsid w:val="008962F7"/>
    <w:rsid w:val="0089646E"/>
    <w:rsid w:val="00897E82"/>
    <w:rsid w:val="008A1A93"/>
    <w:rsid w:val="008A3AD0"/>
    <w:rsid w:val="008A4A78"/>
    <w:rsid w:val="008A50E6"/>
    <w:rsid w:val="008B24BA"/>
    <w:rsid w:val="008B4F14"/>
    <w:rsid w:val="008C13C0"/>
    <w:rsid w:val="008C3A82"/>
    <w:rsid w:val="008C4580"/>
    <w:rsid w:val="008D3460"/>
    <w:rsid w:val="008D4E6E"/>
    <w:rsid w:val="008D669E"/>
    <w:rsid w:val="008E213F"/>
    <w:rsid w:val="008E2DF0"/>
    <w:rsid w:val="008E3C75"/>
    <w:rsid w:val="008E3DE0"/>
    <w:rsid w:val="008E3DE6"/>
    <w:rsid w:val="008E5C7D"/>
    <w:rsid w:val="008E604B"/>
    <w:rsid w:val="008E6E33"/>
    <w:rsid w:val="008E7A7E"/>
    <w:rsid w:val="008F1C7D"/>
    <w:rsid w:val="00900FC1"/>
    <w:rsid w:val="00904E5B"/>
    <w:rsid w:val="00907A72"/>
    <w:rsid w:val="00910605"/>
    <w:rsid w:val="00910D82"/>
    <w:rsid w:val="0091550D"/>
    <w:rsid w:val="00915E8B"/>
    <w:rsid w:val="00920F3A"/>
    <w:rsid w:val="00922FA4"/>
    <w:rsid w:val="00923FAF"/>
    <w:rsid w:val="009264E2"/>
    <w:rsid w:val="00927587"/>
    <w:rsid w:val="00930F40"/>
    <w:rsid w:val="00933D38"/>
    <w:rsid w:val="009419B9"/>
    <w:rsid w:val="00943F0A"/>
    <w:rsid w:val="00947633"/>
    <w:rsid w:val="00951A2F"/>
    <w:rsid w:val="00952C0F"/>
    <w:rsid w:val="009550D0"/>
    <w:rsid w:val="009601CB"/>
    <w:rsid w:val="009610C9"/>
    <w:rsid w:val="009618E7"/>
    <w:rsid w:val="00961F03"/>
    <w:rsid w:val="009650DE"/>
    <w:rsid w:val="0096611A"/>
    <w:rsid w:val="00966F8D"/>
    <w:rsid w:val="0097028E"/>
    <w:rsid w:val="00970D3C"/>
    <w:rsid w:val="009723A3"/>
    <w:rsid w:val="00975850"/>
    <w:rsid w:val="009778AF"/>
    <w:rsid w:val="009806B7"/>
    <w:rsid w:val="009833EC"/>
    <w:rsid w:val="00994678"/>
    <w:rsid w:val="009A25BA"/>
    <w:rsid w:val="009A2A1F"/>
    <w:rsid w:val="009A4BD3"/>
    <w:rsid w:val="009B0FCB"/>
    <w:rsid w:val="009B4818"/>
    <w:rsid w:val="009B564B"/>
    <w:rsid w:val="009C04DA"/>
    <w:rsid w:val="009C3E41"/>
    <w:rsid w:val="009C5335"/>
    <w:rsid w:val="009C648F"/>
    <w:rsid w:val="009C6D5F"/>
    <w:rsid w:val="009D16E7"/>
    <w:rsid w:val="009E1E68"/>
    <w:rsid w:val="009E3434"/>
    <w:rsid w:val="009E57F3"/>
    <w:rsid w:val="009E6497"/>
    <w:rsid w:val="009F5C54"/>
    <w:rsid w:val="009F63F6"/>
    <w:rsid w:val="009F67D6"/>
    <w:rsid w:val="00A01053"/>
    <w:rsid w:val="00A01B7A"/>
    <w:rsid w:val="00A06793"/>
    <w:rsid w:val="00A105EF"/>
    <w:rsid w:val="00A10BD9"/>
    <w:rsid w:val="00A11DCC"/>
    <w:rsid w:val="00A145D1"/>
    <w:rsid w:val="00A1591E"/>
    <w:rsid w:val="00A166E4"/>
    <w:rsid w:val="00A2051C"/>
    <w:rsid w:val="00A24EC4"/>
    <w:rsid w:val="00A41A3F"/>
    <w:rsid w:val="00A438AF"/>
    <w:rsid w:val="00A50387"/>
    <w:rsid w:val="00A50EAF"/>
    <w:rsid w:val="00A51880"/>
    <w:rsid w:val="00A647C2"/>
    <w:rsid w:val="00A6731E"/>
    <w:rsid w:val="00A724EE"/>
    <w:rsid w:val="00A74187"/>
    <w:rsid w:val="00A7627C"/>
    <w:rsid w:val="00A8054C"/>
    <w:rsid w:val="00A9145E"/>
    <w:rsid w:val="00A920DC"/>
    <w:rsid w:val="00A92394"/>
    <w:rsid w:val="00A96AED"/>
    <w:rsid w:val="00A9740F"/>
    <w:rsid w:val="00A97A54"/>
    <w:rsid w:val="00AA29BB"/>
    <w:rsid w:val="00AA2BA6"/>
    <w:rsid w:val="00AA6527"/>
    <w:rsid w:val="00AA674A"/>
    <w:rsid w:val="00AA6B3E"/>
    <w:rsid w:val="00AA761E"/>
    <w:rsid w:val="00AB6E5F"/>
    <w:rsid w:val="00AC5E86"/>
    <w:rsid w:val="00AC6514"/>
    <w:rsid w:val="00AD3EB0"/>
    <w:rsid w:val="00AD4AB4"/>
    <w:rsid w:val="00AD5DD4"/>
    <w:rsid w:val="00AD64A1"/>
    <w:rsid w:val="00AD7AA8"/>
    <w:rsid w:val="00AE1C8E"/>
    <w:rsid w:val="00AE37C9"/>
    <w:rsid w:val="00AE69E4"/>
    <w:rsid w:val="00AF268E"/>
    <w:rsid w:val="00AF31C9"/>
    <w:rsid w:val="00AF5022"/>
    <w:rsid w:val="00AF6B42"/>
    <w:rsid w:val="00AF6BFF"/>
    <w:rsid w:val="00B01013"/>
    <w:rsid w:val="00B015D2"/>
    <w:rsid w:val="00B028E8"/>
    <w:rsid w:val="00B04B32"/>
    <w:rsid w:val="00B06791"/>
    <w:rsid w:val="00B13E58"/>
    <w:rsid w:val="00B16DEC"/>
    <w:rsid w:val="00B223AA"/>
    <w:rsid w:val="00B22DDF"/>
    <w:rsid w:val="00B23593"/>
    <w:rsid w:val="00B302FE"/>
    <w:rsid w:val="00B323A2"/>
    <w:rsid w:val="00B33246"/>
    <w:rsid w:val="00B3531D"/>
    <w:rsid w:val="00B454BF"/>
    <w:rsid w:val="00B524B7"/>
    <w:rsid w:val="00B53004"/>
    <w:rsid w:val="00B54F8A"/>
    <w:rsid w:val="00B5569E"/>
    <w:rsid w:val="00B5674B"/>
    <w:rsid w:val="00B5726C"/>
    <w:rsid w:val="00B6133A"/>
    <w:rsid w:val="00B61CFB"/>
    <w:rsid w:val="00B6544A"/>
    <w:rsid w:val="00B67943"/>
    <w:rsid w:val="00B714B5"/>
    <w:rsid w:val="00B71646"/>
    <w:rsid w:val="00B7397E"/>
    <w:rsid w:val="00B73CFE"/>
    <w:rsid w:val="00B73E89"/>
    <w:rsid w:val="00B76003"/>
    <w:rsid w:val="00B77569"/>
    <w:rsid w:val="00B81F18"/>
    <w:rsid w:val="00B850F3"/>
    <w:rsid w:val="00B85A3E"/>
    <w:rsid w:val="00B91BE6"/>
    <w:rsid w:val="00B950FE"/>
    <w:rsid w:val="00BA2837"/>
    <w:rsid w:val="00BA2AF0"/>
    <w:rsid w:val="00BA3EDD"/>
    <w:rsid w:val="00BB0BB4"/>
    <w:rsid w:val="00BB3B86"/>
    <w:rsid w:val="00BC305F"/>
    <w:rsid w:val="00BC32DC"/>
    <w:rsid w:val="00BC6BE9"/>
    <w:rsid w:val="00BD26C2"/>
    <w:rsid w:val="00BD4055"/>
    <w:rsid w:val="00BE1531"/>
    <w:rsid w:val="00BF06EE"/>
    <w:rsid w:val="00BF3225"/>
    <w:rsid w:val="00BF4137"/>
    <w:rsid w:val="00BF5357"/>
    <w:rsid w:val="00C014A0"/>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36D0E"/>
    <w:rsid w:val="00C41DB3"/>
    <w:rsid w:val="00C45141"/>
    <w:rsid w:val="00C4524A"/>
    <w:rsid w:val="00C472AC"/>
    <w:rsid w:val="00C546F2"/>
    <w:rsid w:val="00C554CD"/>
    <w:rsid w:val="00C5563C"/>
    <w:rsid w:val="00C5778D"/>
    <w:rsid w:val="00C61306"/>
    <w:rsid w:val="00C64379"/>
    <w:rsid w:val="00C7694C"/>
    <w:rsid w:val="00C80919"/>
    <w:rsid w:val="00C80CE8"/>
    <w:rsid w:val="00C84909"/>
    <w:rsid w:val="00C84A55"/>
    <w:rsid w:val="00C913FA"/>
    <w:rsid w:val="00C9157A"/>
    <w:rsid w:val="00C93C70"/>
    <w:rsid w:val="00C96E2E"/>
    <w:rsid w:val="00CA2930"/>
    <w:rsid w:val="00CB02F4"/>
    <w:rsid w:val="00CB53E9"/>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CF4EE9"/>
    <w:rsid w:val="00D016F8"/>
    <w:rsid w:val="00D02907"/>
    <w:rsid w:val="00D0438F"/>
    <w:rsid w:val="00D061A6"/>
    <w:rsid w:val="00D10FB4"/>
    <w:rsid w:val="00D12989"/>
    <w:rsid w:val="00D1502E"/>
    <w:rsid w:val="00D21E6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87BF5"/>
    <w:rsid w:val="00D93263"/>
    <w:rsid w:val="00D94FE1"/>
    <w:rsid w:val="00D96A77"/>
    <w:rsid w:val="00DA1DBB"/>
    <w:rsid w:val="00DA22A2"/>
    <w:rsid w:val="00DA3900"/>
    <w:rsid w:val="00DB134F"/>
    <w:rsid w:val="00DB2CBF"/>
    <w:rsid w:val="00DB45D8"/>
    <w:rsid w:val="00DB74C6"/>
    <w:rsid w:val="00DC065C"/>
    <w:rsid w:val="00DC1A6F"/>
    <w:rsid w:val="00DC2CA4"/>
    <w:rsid w:val="00DC4F72"/>
    <w:rsid w:val="00DC5097"/>
    <w:rsid w:val="00DC5C28"/>
    <w:rsid w:val="00DC7727"/>
    <w:rsid w:val="00DD400C"/>
    <w:rsid w:val="00DD5E1F"/>
    <w:rsid w:val="00DE2E64"/>
    <w:rsid w:val="00DE60A1"/>
    <w:rsid w:val="00DE6AD9"/>
    <w:rsid w:val="00DE7E07"/>
    <w:rsid w:val="00DF1C7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7F19"/>
    <w:rsid w:val="00E452B2"/>
    <w:rsid w:val="00E5603C"/>
    <w:rsid w:val="00E609F9"/>
    <w:rsid w:val="00E60F82"/>
    <w:rsid w:val="00E61352"/>
    <w:rsid w:val="00E6260F"/>
    <w:rsid w:val="00E6597A"/>
    <w:rsid w:val="00E668D5"/>
    <w:rsid w:val="00E6693A"/>
    <w:rsid w:val="00E6755A"/>
    <w:rsid w:val="00E7380B"/>
    <w:rsid w:val="00E76D80"/>
    <w:rsid w:val="00E77EAB"/>
    <w:rsid w:val="00E87397"/>
    <w:rsid w:val="00E878DC"/>
    <w:rsid w:val="00E90B7F"/>
    <w:rsid w:val="00E914AE"/>
    <w:rsid w:val="00E93FD4"/>
    <w:rsid w:val="00E97695"/>
    <w:rsid w:val="00EA08C3"/>
    <w:rsid w:val="00EA3DBE"/>
    <w:rsid w:val="00EA3E78"/>
    <w:rsid w:val="00EA59B8"/>
    <w:rsid w:val="00EA7E11"/>
    <w:rsid w:val="00EC02DB"/>
    <w:rsid w:val="00EC0352"/>
    <w:rsid w:val="00EC4FE3"/>
    <w:rsid w:val="00EC53E4"/>
    <w:rsid w:val="00EC7090"/>
    <w:rsid w:val="00EC7538"/>
    <w:rsid w:val="00ED0944"/>
    <w:rsid w:val="00ED2D10"/>
    <w:rsid w:val="00ED7725"/>
    <w:rsid w:val="00ED7D13"/>
    <w:rsid w:val="00EE042A"/>
    <w:rsid w:val="00EE5F46"/>
    <w:rsid w:val="00EE62A5"/>
    <w:rsid w:val="00EF585B"/>
    <w:rsid w:val="00F00239"/>
    <w:rsid w:val="00F01EA4"/>
    <w:rsid w:val="00F02478"/>
    <w:rsid w:val="00F07ADB"/>
    <w:rsid w:val="00F10FEA"/>
    <w:rsid w:val="00F11748"/>
    <w:rsid w:val="00F162F5"/>
    <w:rsid w:val="00F20535"/>
    <w:rsid w:val="00F238AA"/>
    <w:rsid w:val="00F2565E"/>
    <w:rsid w:val="00F31398"/>
    <w:rsid w:val="00F42621"/>
    <w:rsid w:val="00F42A76"/>
    <w:rsid w:val="00F44513"/>
    <w:rsid w:val="00F4722C"/>
    <w:rsid w:val="00F60026"/>
    <w:rsid w:val="00F60039"/>
    <w:rsid w:val="00F6022E"/>
    <w:rsid w:val="00F61766"/>
    <w:rsid w:val="00F62C84"/>
    <w:rsid w:val="00F642C6"/>
    <w:rsid w:val="00F8068E"/>
    <w:rsid w:val="00F840B0"/>
    <w:rsid w:val="00F9303F"/>
    <w:rsid w:val="00F9358E"/>
    <w:rsid w:val="00FA1381"/>
    <w:rsid w:val="00FB1A43"/>
    <w:rsid w:val="00FB59EA"/>
    <w:rsid w:val="00FC4FFD"/>
    <w:rsid w:val="00FD0545"/>
    <w:rsid w:val="00FD6337"/>
    <w:rsid w:val="00FE09C8"/>
    <w:rsid w:val="00FE17BF"/>
    <w:rsid w:val="00FE5F66"/>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 w:type="character" w:customStyle="1" w:styleId="af">
    <w:name w:val="未处理的提及"/>
    <w:uiPriority w:val="99"/>
    <w:semiHidden/>
    <w:unhideWhenUsed/>
    <w:rsid w:val="00462B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291</Words>
  <Characters>1665</Characters>
  <Application>Microsoft Office Word</Application>
  <DocSecurity>4</DocSecurity>
  <Lines>13</Lines>
  <Paragraphs>3</Paragraphs>
  <ScaleCrop>false</ScaleCrop>
  <Company>MSHF</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2021-07-28T16:19:00Z</dcterms:created>
  <dcterms:modified xsi:type="dcterms:W3CDTF">2021-07-28T16:19:00Z</dcterms:modified>
</cp:coreProperties>
</file>