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AF" w:rsidRDefault="00366B0C">
      <w:pPr>
        <w:jc w:val="center"/>
        <w:rPr>
          <w:rFonts w:ascii="仿宋" w:eastAsia="仿宋" w:hAnsi="仿宋"/>
          <w:kern w:val="0"/>
          <w:sz w:val="32"/>
          <w:szCs w:val="32"/>
        </w:rPr>
      </w:pPr>
      <w:r>
        <w:rPr>
          <w:rFonts w:ascii="仿宋" w:eastAsia="仿宋" w:hAnsi="仿宋" w:hint="eastAsia"/>
          <w:kern w:val="0"/>
          <w:sz w:val="32"/>
          <w:szCs w:val="32"/>
        </w:rPr>
        <w:t>长盛基金管理有限公司</w:t>
      </w:r>
    </w:p>
    <w:p w:rsidR="00095CAF" w:rsidRDefault="00366B0C">
      <w:pPr>
        <w:jc w:val="center"/>
        <w:rPr>
          <w:rFonts w:ascii="仿宋" w:eastAsia="仿宋" w:hAnsi="仿宋"/>
          <w:kern w:val="0"/>
          <w:sz w:val="32"/>
          <w:szCs w:val="32"/>
        </w:rPr>
      </w:pPr>
      <w:r>
        <w:rPr>
          <w:rFonts w:ascii="仿宋" w:eastAsia="仿宋" w:hAnsi="仿宋" w:hint="eastAsia"/>
          <w:kern w:val="0"/>
          <w:sz w:val="32"/>
          <w:szCs w:val="32"/>
        </w:rPr>
        <w:t>关于旗下由中国银行股份有限公司托管的26只公募基金引入侧袋机制并修改基金合同等法律文件的公告</w:t>
      </w:r>
    </w:p>
    <w:p w:rsidR="00095CAF" w:rsidRDefault="00095CAF">
      <w:pPr>
        <w:jc w:val="center"/>
        <w:rPr>
          <w:rFonts w:ascii="仿宋" w:eastAsia="仿宋" w:hAnsi="仿宋"/>
          <w:kern w:val="0"/>
          <w:sz w:val="32"/>
          <w:szCs w:val="32"/>
        </w:rPr>
      </w:pPr>
    </w:p>
    <w:p w:rsidR="00095CAF" w:rsidRDefault="00366B0C">
      <w:pPr>
        <w:spacing w:line="360" w:lineRule="auto"/>
        <w:ind w:firstLineChars="200" w:firstLine="420"/>
      </w:pPr>
      <w:r>
        <w:rPr>
          <w:rFonts w:hint="eastAsia"/>
        </w:rPr>
        <w:t>根据《中华人民共和国证券投资基金法》、《公开募集证券投资基金运作管理办法》、《公开募集证券投资基金侧袋机制指引（试行）》（以下简称“《侧袋机制指引》”）等法律法规的规定及各基金基金合同、招募说明书及其更新的约定，经与基金托管人中国银行股份有限公司协商一致，并向中国证监会备案，长盛基金管理有限公司（以下简称“本公司”或“基金管理人”）对旗下</w:t>
      </w:r>
      <w:r>
        <w:rPr>
          <w:rFonts w:hint="eastAsia"/>
        </w:rPr>
        <w:t>26</w:t>
      </w:r>
      <w:r>
        <w:rPr>
          <w:rFonts w:hint="eastAsia"/>
        </w:rPr>
        <w:t>只基金（包括：长盛城镇化主题混合型证券投资基金、长盛高端装备制造灵活配置混合型证券投资基金、长盛可转债债券型证券投资基金、长盛同智优势成长混合型证券投资基金</w:t>
      </w:r>
      <w:r>
        <w:rPr>
          <w:rFonts w:hint="eastAsia"/>
        </w:rPr>
        <w:t>(LOF)</w:t>
      </w:r>
      <w:r>
        <w:rPr>
          <w:rFonts w:hint="eastAsia"/>
        </w:rPr>
        <w:t>、长盛盛琪一年期定期开放债券型证券投资基金、长盛稳益</w:t>
      </w:r>
      <w:r>
        <w:rPr>
          <w:rFonts w:hint="eastAsia"/>
        </w:rPr>
        <w:t>6</w:t>
      </w:r>
      <w:r>
        <w:rPr>
          <w:rFonts w:hint="eastAsia"/>
        </w:rPr>
        <w:t>个月定期开放债券型证券投资基金、长盛同盛成长优选灵活配置混合型证券投资基金（</w:t>
      </w:r>
      <w:r>
        <w:rPr>
          <w:rFonts w:hint="eastAsia"/>
        </w:rPr>
        <w:t>LOF</w:t>
      </w:r>
      <w:r>
        <w:rPr>
          <w:rFonts w:hint="eastAsia"/>
        </w:rPr>
        <w:t>）、长盛盛辉混合型证券投资基金、长盛生态环境主题灵活配置混合型证券投资基金、长盛养老健康产业灵活配置混合型证券投资基金、长盛环球景气行业大盘精选混合型证券投资基金、长盛研发回报混合型证券投资基金、长盛信息安全量化策略灵活配置混合型证券投资基金、长盛转型升级主题灵活配置混合型证券投资基金、长盛中小盘精选混合型证券投资基金、长盛新兴成长主题灵活配置混合型证券投资基金、长盛量化多策略灵活配置混合型证券投资基金、长盛多因子策略优选股票型证券投资基金、长盛同鑫行业配置混合型证券投资基金、长盛同享灵活配置混合型证券投资基金、长盛电子信息产业混合型证券投资基金、长盛电子信息主题灵活配置混合型证券投资基金、长盛安逸纯债债券型证券投资基金、长盛互联网</w:t>
      </w:r>
      <w:r>
        <w:rPr>
          <w:rFonts w:hint="eastAsia"/>
        </w:rPr>
        <w:t>+</w:t>
      </w:r>
      <w:r>
        <w:rPr>
          <w:rFonts w:hint="eastAsia"/>
        </w:rPr>
        <w:t>主题灵活配置混合型证券投资基金、长盛医疗行业量化配置股票型证券投资基金、长盛龙头双核驱动混合型证券投资基金）的基金合同等法律文件进行修改，本次修改将自</w:t>
      </w:r>
      <w:r>
        <w:rPr>
          <w:rFonts w:hint="eastAsia"/>
        </w:rPr>
        <w:t>2021</w:t>
      </w:r>
      <w:r>
        <w:rPr>
          <w:rFonts w:hint="eastAsia"/>
        </w:rPr>
        <w:t>年</w:t>
      </w:r>
      <w:r w:rsidR="00E51495">
        <w:rPr>
          <w:rFonts w:hint="eastAsia"/>
        </w:rPr>
        <w:t>7</w:t>
      </w:r>
      <w:r>
        <w:rPr>
          <w:rFonts w:hint="eastAsia"/>
        </w:rPr>
        <w:t>月</w:t>
      </w:r>
      <w:r w:rsidR="00E51495">
        <w:rPr>
          <w:rFonts w:hint="eastAsia"/>
        </w:rPr>
        <w:t>26</w:t>
      </w:r>
      <w:r>
        <w:rPr>
          <w:rFonts w:hint="eastAsia"/>
        </w:rPr>
        <w:t>日起正式生效。现将相关事项公告如下：</w:t>
      </w:r>
    </w:p>
    <w:p w:rsidR="00095CAF" w:rsidRDefault="00366B0C">
      <w:pPr>
        <w:spacing w:line="360" w:lineRule="auto"/>
        <w:ind w:firstLineChars="200" w:firstLine="422"/>
        <w:rPr>
          <w:b/>
        </w:rPr>
      </w:pPr>
      <w:r>
        <w:rPr>
          <w:rFonts w:hint="eastAsia"/>
          <w:b/>
        </w:rPr>
        <w:t>一、基金合同修改的具体内容</w:t>
      </w:r>
    </w:p>
    <w:p w:rsidR="00095CAF" w:rsidRDefault="00366B0C">
      <w:pPr>
        <w:spacing w:line="360" w:lineRule="auto"/>
        <w:ind w:firstLineChars="200" w:firstLine="422"/>
        <w:rPr>
          <w:b/>
        </w:rPr>
      </w:pPr>
      <w:r>
        <w:rPr>
          <w:rFonts w:hint="eastAsia"/>
          <w:b/>
        </w:rPr>
        <w:t>1</w:t>
      </w:r>
      <w:r>
        <w:rPr>
          <w:rFonts w:hint="eastAsia"/>
          <w:b/>
        </w:rPr>
        <w:t>、“释义”章节</w:t>
      </w:r>
    </w:p>
    <w:p w:rsidR="00095CAF" w:rsidRDefault="00366B0C">
      <w:pPr>
        <w:spacing w:line="360" w:lineRule="auto"/>
        <w:ind w:firstLineChars="200" w:firstLine="422"/>
        <w:rPr>
          <w:b/>
        </w:rPr>
      </w:pPr>
      <w:r>
        <w:rPr>
          <w:rFonts w:hint="eastAsia"/>
          <w:b/>
        </w:rPr>
        <w:t>“释义”章节增加如下释义内容：</w:t>
      </w:r>
    </w:p>
    <w:p w:rsidR="00095CAF" w:rsidRDefault="00366B0C">
      <w:pPr>
        <w:spacing w:line="360" w:lineRule="auto"/>
        <w:ind w:firstLineChars="200" w:firstLine="420"/>
      </w:pPr>
      <w:r>
        <w:rPr>
          <w:rFonts w:hint="eastAsia"/>
        </w:rPr>
        <w:t>“侧袋机制：指将基金投资组合中的特定资产从原有账户分离至一个专门账户进行处置清算，目的在于有效隔离并化解风险，确保投资者得到公平对待，属于流动性风险管理工具。</w:t>
      </w:r>
      <w:r>
        <w:rPr>
          <w:rFonts w:hint="eastAsia"/>
        </w:rPr>
        <w:lastRenderedPageBreak/>
        <w:t>侧袋机制实施期间，原有账户称为主袋账户，专门账户称为侧袋账户</w:t>
      </w:r>
    </w:p>
    <w:p w:rsidR="00095CAF" w:rsidRDefault="00366B0C">
      <w:pPr>
        <w:spacing w:line="360" w:lineRule="auto"/>
        <w:ind w:firstLineChars="200" w:firstLine="420"/>
      </w:pPr>
      <w:r>
        <w:rPr>
          <w:rFonts w:hint="eastAsia"/>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095CAF" w:rsidRDefault="00366B0C">
      <w:pPr>
        <w:spacing w:line="360" w:lineRule="auto"/>
        <w:ind w:firstLineChars="200" w:firstLine="422"/>
        <w:rPr>
          <w:b/>
        </w:rPr>
      </w:pPr>
      <w:r>
        <w:rPr>
          <w:b/>
        </w:rPr>
        <w:t>2</w:t>
      </w:r>
      <w:r>
        <w:rPr>
          <w:rFonts w:hint="eastAsia"/>
          <w:b/>
        </w:rPr>
        <w:t>、“基金份额的申购与赎回”章节</w:t>
      </w:r>
    </w:p>
    <w:p w:rsidR="00095CAF" w:rsidRDefault="00366B0C">
      <w:pPr>
        <w:spacing w:line="360" w:lineRule="auto"/>
        <w:ind w:firstLineChars="200" w:firstLine="422"/>
        <w:rPr>
          <w:b/>
        </w:rPr>
      </w:pPr>
      <w:r>
        <w:rPr>
          <w:rFonts w:hint="eastAsia"/>
          <w:b/>
        </w:rPr>
        <w:t>“基金份额的申购与赎回”章节增加“实施侧袋机制期间本基金的申购与赎回”的内容：</w:t>
      </w:r>
    </w:p>
    <w:p w:rsidR="00095CAF" w:rsidRDefault="00366B0C">
      <w:pPr>
        <w:spacing w:line="360" w:lineRule="auto"/>
        <w:ind w:firstLineChars="200" w:firstLine="420"/>
      </w:pPr>
      <w:r>
        <w:rPr>
          <w:rFonts w:hint="eastAsia"/>
        </w:rPr>
        <w:t>“本基金实施侧袋机制的，本基金的申购和赎回安排详见招募说明书或相关公告。”</w:t>
      </w:r>
    </w:p>
    <w:p w:rsidR="00095CAF" w:rsidRDefault="00366B0C">
      <w:pPr>
        <w:spacing w:line="360" w:lineRule="auto"/>
        <w:ind w:firstLineChars="200" w:firstLine="422"/>
        <w:rPr>
          <w:b/>
        </w:rPr>
      </w:pPr>
      <w:r>
        <w:rPr>
          <w:b/>
        </w:rPr>
        <w:t>3</w:t>
      </w:r>
      <w:r>
        <w:rPr>
          <w:rFonts w:hint="eastAsia"/>
          <w:b/>
        </w:rPr>
        <w:t>、“基金份额持有人大会”章节</w:t>
      </w:r>
    </w:p>
    <w:p w:rsidR="00095CAF" w:rsidRDefault="00366B0C">
      <w:pPr>
        <w:spacing w:line="360" w:lineRule="auto"/>
        <w:ind w:firstLineChars="200" w:firstLine="422"/>
        <w:rPr>
          <w:b/>
        </w:rPr>
      </w:pPr>
      <w:r>
        <w:rPr>
          <w:rFonts w:hint="eastAsia"/>
          <w:b/>
        </w:rPr>
        <w:t>“基金份额持有人大会”章节增加“实施侧袋机制期间基金份额持有人大会的特殊约定”的内容：</w:t>
      </w:r>
    </w:p>
    <w:p w:rsidR="00095CAF" w:rsidRDefault="00366B0C">
      <w:pPr>
        <w:spacing w:line="360" w:lineRule="auto"/>
        <w:ind w:firstLineChars="200"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095CAF" w:rsidRDefault="00366B0C">
      <w:pPr>
        <w:spacing w:line="360" w:lineRule="auto"/>
        <w:ind w:firstLineChars="200" w:firstLine="420"/>
      </w:pPr>
      <w:r>
        <w:rPr>
          <w:rFonts w:hint="eastAsia"/>
        </w:rPr>
        <w:t>1</w:t>
      </w:r>
      <w:r>
        <w:rPr>
          <w:rFonts w:hint="eastAsia"/>
        </w:rPr>
        <w:t>、基金份额持有人行使提议权、召集权、提名权所需单独或合计代表相关基金份额</w:t>
      </w:r>
      <w:r>
        <w:rPr>
          <w:rFonts w:hint="eastAsia"/>
        </w:rPr>
        <w:t xml:space="preserve"> 10%</w:t>
      </w:r>
      <w:r>
        <w:rPr>
          <w:rFonts w:hint="eastAsia"/>
        </w:rPr>
        <w:t>以上（含</w:t>
      </w:r>
      <w:r>
        <w:rPr>
          <w:rFonts w:hint="eastAsia"/>
        </w:rPr>
        <w:t xml:space="preserve"> 10%</w:t>
      </w:r>
      <w:r>
        <w:rPr>
          <w:rFonts w:hint="eastAsia"/>
        </w:rPr>
        <w:t>）；</w:t>
      </w:r>
    </w:p>
    <w:p w:rsidR="00095CAF" w:rsidRDefault="00366B0C">
      <w:pPr>
        <w:spacing w:line="360" w:lineRule="auto"/>
        <w:ind w:firstLineChars="200" w:firstLine="420"/>
      </w:pPr>
      <w:r>
        <w:rPr>
          <w:rFonts w:hint="eastAsia"/>
        </w:rPr>
        <w:t>2</w:t>
      </w:r>
      <w:r>
        <w:rPr>
          <w:rFonts w:hint="eastAsia"/>
        </w:rPr>
        <w:t>、现场开会的到会者在权益登记日代表的基金份额不少于本基金在权益登记日相关基金份额的二分之一（含二分之一）；</w:t>
      </w:r>
    </w:p>
    <w:p w:rsidR="00095CAF" w:rsidRDefault="00366B0C">
      <w:pPr>
        <w:spacing w:line="360" w:lineRule="auto"/>
        <w:ind w:firstLineChars="200" w:firstLine="420"/>
      </w:pPr>
      <w:r>
        <w:rPr>
          <w:rFonts w:hint="eastAsia"/>
        </w:rPr>
        <w:t>3</w:t>
      </w:r>
      <w:r>
        <w:rPr>
          <w:rFonts w:hint="eastAsia"/>
        </w:rPr>
        <w:t>、通讯开会的直接出具书面意见或授权他人代表出具书面意见的基金份额持有人所持有的基金份额不小于在权益登记日相关基金份额的二分之一（含二分之一）；</w:t>
      </w:r>
    </w:p>
    <w:p w:rsidR="00095CAF" w:rsidRDefault="00366B0C">
      <w:pPr>
        <w:spacing w:line="360" w:lineRule="auto"/>
        <w:ind w:firstLineChars="200" w:firstLine="420"/>
      </w:pPr>
      <w:r>
        <w:rPr>
          <w:rFonts w:hint="eastAsia"/>
        </w:rPr>
        <w:t>4</w:t>
      </w:r>
      <w:r>
        <w:rPr>
          <w:rFonts w:hint="eastAsia"/>
        </w:rPr>
        <w:t>、在参与基金份额持有人大会投票的基金份额持有人所持有的基金份额小于在权益登记日相关基金份额的二分之一、召集人在原公告的基金份额持有人大会召开时间的</w:t>
      </w:r>
      <w:r>
        <w:rPr>
          <w:rFonts w:hint="eastAsia"/>
        </w:rPr>
        <w:t xml:space="preserve"> 3 </w:t>
      </w:r>
      <w:r>
        <w:rPr>
          <w:rFonts w:hint="eastAsia"/>
        </w:rPr>
        <w:t>个月以后、</w:t>
      </w:r>
      <w:r>
        <w:rPr>
          <w:rFonts w:hint="eastAsia"/>
        </w:rPr>
        <w:t xml:space="preserve">6 </w:t>
      </w:r>
      <w:r>
        <w:rPr>
          <w:rFonts w:hint="eastAsia"/>
        </w:rPr>
        <w:t>个月以内就原定审议事项重新召集的基金份额持有人大会应当有代表三分之一以上（含三分之一）相关基金份额的持有人参与或授权他人参与基金份额持有人大会投票；</w:t>
      </w:r>
    </w:p>
    <w:p w:rsidR="00095CAF" w:rsidRDefault="00366B0C">
      <w:pPr>
        <w:spacing w:line="360" w:lineRule="auto"/>
        <w:ind w:firstLineChars="200" w:firstLine="420"/>
      </w:pPr>
      <w:r>
        <w:rPr>
          <w:rFonts w:hint="eastAsia"/>
        </w:rPr>
        <w:t>5</w:t>
      </w:r>
      <w:r>
        <w:rPr>
          <w:rFonts w:hint="eastAsia"/>
        </w:rPr>
        <w:t>、现场开会由出席大会的基金份额持有人和代理人所持表决权的</w:t>
      </w:r>
      <w:r>
        <w:rPr>
          <w:rFonts w:hint="eastAsia"/>
        </w:rPr>
        <w:t xml:space="preserve"> 50%</w:t>
      </w:r>
      <w:r>
        <w:rPr>
          <w:rFonts w:hint="eastAsia"/>
        </w:rPr>
        <w:t>以上（含</w:t>
      </w:r>
      <w:r>
        <w:rPr>
          <w:rFonts w:hint="eastAsia"/>
        </w:rPr>
        <w:t xml:space="preserve"> 50%</w:t>
      </w:r>
      <w:r>
        <w:rPr>
          <w:rFonts w:hint="eastAsia"/>
        </w:rPr>
        <w:t>）选举产生一名基金份额持有人作为该次基金份额持有人大会的主持人；</w:t>
      </w:r>
    </w:p>
    <w:p w:rsidR="00095CAF" w:rsidRDefault="00366B0C">
      <w:pPr>
        <w:spacing w:line="360" w:lineRule="auto"/>
        <w:ind w:firstLineChars="200" w:firstLine="420"/>
      </w:pPr>
      <w:r>
        <w:rPr>
          <w:rFonts w:hint="eastAsia"/>
        </w:rPr>
        <w:t>6</w:t>
      </w:r>
      <w:r>
        <w:rPr>
          <w:rFonts w:hint="eastAsia"/>
        </w:rPr>
        <w:t>、一般决议须经参加大会的基金份额持有人或其代理人所持表决权的二分之一以上（含二分之一）通过；</w:t>
      </w:r>
    </w:p>
    <w:p w:rsidR="00095CAF" w:rsidRDefault="00366B0C">
      <w:pPr>
        <w:spacing w:line="360" w:lineRule="auto"/>
        <w:ind w:firstLineChars="200" w:firstLine="420"/>
      </w:pPr>
      <w:r>
        <w:rPr>
          <w:rFonts w:hint="eastAsia"/>
        </w:rPr>
        <w:t>7</w:t>
      </w:r>
      <w:r>
        <w:rPr>
          <w:rFonts w:hint="eastAsia"/>
        </w:rPr>
        <w:t>、特别决议应当经参加大会的基金份额持有人或其代理人所持表决权的三分之二以上</w:t>
      </w:r>
      <w:r>
        <w:rPr>
          <w:rFonts w:hint="eastAsia"/>
        </w:rPr>
        <w:lastRenderedPageBreak/>
        <w:t>（含三分之二）通过。</w:t>
      </w:r>
    </w:p>
    <w:p w:rsidR="00095CAF" w:rsidRDefault="00366B0C">
      <w:pPr>
        <w:spacing w:line="360" w:lineRule="auto"/>
        <w:ind w:firstLineChars="200" w:firstLine="420"/>
      </w:pPr>
      <w:r>
        <w:rPr>
          <w:rFonts w:hint="eastAsia"/>
        </w:rPr>
        <w:t>同一主侧袋账户内的每份基金份额具有平等的表决权。”</w:t>
      </w:r>
    </w:p>
    <w:p w:rsidR="00095CAF" w:rsidRDefault="00366B0C">
      <w:pPr>
        <w:spacing w:line="360" w:lineRule="auto"/>
        <w:ind w:firstLineChars="200" w:firstLine="422"/>
        <w:rPr>
          <w:b/>
        </w:rPr>
      </w:pPr>
      <w:r>
        <w:rPr>
          <w:b/>
        </w:rPr>
        <w:t>4</w:t>
      </w:r>
      <w:r>
        <w:rPr>
          <w:rFonts w:hint="eastAsia"/>
          <w:b/>
        </w:rPr>
        <w:t>、“基金的投资”章节</w:t>
      </w:r>
    </w:p>
    <w:p w:rsidR="00095CAF" w:rsidRDefault="00366B0C">
      <w:pPr>
        <w:spacing w:line="360" w:lineRule="auto"/>
        <w:ind w:firstLineChars="200" w:firstLine="422"/>
      </w:pPr>
      <w:r>
        <w:rPr>
          <w:rFonts w:hint="eastAsia"/>
          <w:b/>
        </w:rPr>
        <w:t>“基金的投资”章节增加“侧袋机制的实施和投资运作安排”的内容：</w:t>
      </w:r>
    </w:p>
    <w:p w:rsidR="00095CAF" w:rsidRDefault="00366B0C">
      <w:pPr>
        <w:spacing w:line="360" w:lineRule="auto"/>
        <w:ind w:firstLineChars="200"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095CAF" w:rsidRDefault="00366B0C">
      <w:pPr>
        <w:spacing w:line="360" w:lineRule="auto"/>
        <w:ind w:firstLineChars="200" w:firstLine="420"/>
      </w:pPr>
      <w:r>
        <w:rPr>
          <w:rFonts w:hint="eastAsia"/>
        </w:rPr>
        <w:t>侧袋机制实施期间，本部分约定的投资组合比例、投资策略、组合限制、业绩比较基准、风险收益特征等约定仅适用于主袋账户。</w:t>
      </w:r>
    </w:p>
    <w:p w:rsidR="00095CAF" w:rsidRDefault="00366B0C">
      <w:pPr>
        <w:spacing w:line="360" w:lineRule="auto"/>
        <w:ind w:firstLineChars="200" w:firstLine="420"/>
      </w:pPr>
      <w:r>
        <w:rPr>
          <w:rFonts w:hint="eastAsia"/>
        </w:rPr>
        <w:t>侧袋账户的实施条件、实施程序、运作安排、投资安排、特定资产的处置变现和支付等对投资者权益有重大影响的事项详见招募说明书的规定。”</w:t>
      </w:r>
      <w:r>
        <w:rPr>
          <w:rFonts w:hint="eastAsia"/>
        </w:rPr>
        <w:t xml:space="preserve"> </w:t>
      </w:r>
    </w:p>
    <w:p w:rsidR="00095CAF" w:rsidRDefault="00366B0C">
      <w:pPr>
        <w:spacing w:line="360" w:lineRule="auto"/>
        <w:ind w:firstLineChars="200" w:firstLine="422"/>
        <w:rPr>
          <w:b/>
        </w:rPr>
      </w:pPr>
      <w:r>
        <w:rPr>
          <w:b/>
        </w:rPr>
        <w:t>5</w:t>
      </w:r>
      <w:r>
        <w:rPr>
          <w:rFonts w:hint="eastAsia"/>
          <w:b/>
        </w:rPr>
        <w:t>、“基金资产估值”章节</w:t>
      </w:r>
    </w:p>
    <w:p w:rsidR="00095CAF" w:rsidRDefault="00366B0C">
      <w:pPr>
        <w:spacing w:line="360" w:lineRule="auto"/>
        <w:ind w:firstLineChars="200" w:firstLine="420"/>
      </w:pPr>
      <w:r>
        <w:rPr>
          <w:rFonts w:hint="eastAsia"/>
        </w:rPr>
        <w:t>（</w:t>
      </w:r>
      <w:r>
        <w:rPr>
          <w:rFonts w:hint="eastAsia"/>
        </w:rPr>
        <w:t>1</w:t>
      </w:r>
      <w:r>
        <w:rPr>
          <w:rFonts w:hint="eastAsia"/>
        </w:rPr>
        <w:t>）“暂停估值的情形”项下原文为：“当前一估值日基金资产净值</w:t>
      </w:r>
      <w:r>
        <w:rPr>
          <w:rFonts w:hint="eastAsia"/>
        </w:rPr>
        <w:t xml:space="preserve"> 50%</w:t>
      </w:r>
      <w:r>
        <w:rPr>
          <w:rFonts w:hint="eastAsia"/>
        </w:rPr>
        <w:t>以上的资产出现无可参考的活跃市场价格且采用估值技术仍导致公允价值存在重大不确定性时，经与基金托管人协商确认后，基金管理人应当暂停估值”</w:t>
      </w:r>
    </w:p>
    <w:p w:rsidR="00095CAF" w:rsidRDefault="00366B0C">
      <w:pPr>
        <w:spacing w:line="360" w:lineRule="auto"/>
        <w:ind w:firstLineChars="200" w:firstLine="420"/>
      </w:pPr>
      <w:r>
        <w:rPr>
          <w:rFonts w:hint="eastAsia"/>
        </w:rPr>
        <w:t>修改为：“当特定资产占前一估值日基金资产净值</w:t>
      </w:r>
      <w:r>
        <w:t>50%</w:t>
      </w:r>
      <w:r>
        <w:rPr>
          <w:rFonts w:hint="eastAsia"/>
        </w:rPr>
        <w:t>以上时，经与基金托管人协商确认后，基金管理人应当暂停估值”</w:t>
      </w:r>
    </w:p>
    <w:p w:rsidR="00095CAF" w:rsidRDefault="00366B0C">
      <w:pPr>
        <w:spacing w:line="360" w:lineRule="auto"/>
        <w:ind w:firstLineChars="200" w:firstLine="420"/>
      </w:pPr>
      <w:r>
        <w:rPr>
          <w:rFonts w:hint="eastAsia"/>
        </w:rPr>
        <w:t>（</w:t>
      </w:r>
      <w:r>
        <w:rPr>
          <w:rFonts w:hint="eastAsia"/>
        </w:rPr>
        <w:t>2</w:t>
      </w:r>
      <w:r>
        <w:rPr>
          <w:rFonts w:hint="eastAsia"/>
        </w:rPr>
        <w:t>）增加“实施侧袋机制期间的基金资产估值”的内容：</w:t>
      </w:r>
    </w:p>
    <w:p w:rsidR="00095CAF" w:rsidRDefault="00366B0C">
      <w:pPr>
        <w:spacing w:line="360" w:lineRule="auto"/>
        <w:ind w:firstLineChars="200" w:firstLine="420"/>
      </w:pPr>
      <w:r>
        <w:rPr>
          <w:rFonts w:hint="eastAsia"/>
        </w:rPr>
        <w:t>“本基金实施侧袋机制的，应根据本部分的约定对主袋账户资产进行估值并披露主袋账户的基金净值信息，暂停披露侧袋账户份额净值。”</w:t>
      </w:r>
    </w:p>
    <w:p w:rsidR="00095CAF" w:rsidRDefault="00366B0C">
      <w:pPr>
        <w:spacing w:line="360" w:lineRule="auto"/>
        <w:ind w:firstLineChars="200" w:firstLine="422"/>
        <w:rPr>
          <w:b/>
        </w:rPr>
      </w:pPr>
      <w:r>
        <w:rPr>
          <w:b/>
        </w:rPr>
        <w:t>6</w:t>
      </w:r>
      <w:r>
        <w:rPr>
          <w:rFonts w:hint="eastAsia"/>
          <w:b/>
        </w:rPr>
        <w:t>、“基金费用与税收”章节</w:t>
      </w:r>
    </w:p>
    <w:p w:rsidR="00095CAF" w:rsidRDefault="00366B0C">
      <w:pPr>
        <w:spacing w:line="360" w:lineRule="auto"/>
        <w:ind w:firstLineChars="200" w:firstLine="422"/>
        <w:rPr>
          <w:b/>
        </w:rPr>
      </w:pPr>
      <w:r>
        <w:rPr>
          <w:rFonts w:hint="eastAsia"/>
          <w:b/>
        </w:rPr>
        <w:t>“基金费用与税收”章节增加“实施侧袋机制期间的基金费用”的内容：</w:t>
      </w:r>
    </w:p>
    <w:p w:rsidR="00095CAF" w:rsidRDefault="00366B0C">
      <w:pPr>
        <w:spacing w:line="360" w:lineRule="auto"/>
        <w:ind w:firstLineChars="200"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095CAF" w:rsidRDefault="00366B0C">
      <w:pPr>
        <w:spacing w:line="360" w:lineRule="auto"/>
        <w:ind w:firstLineChars="200" w:firstLine="422"/>
        <w:rPr>
          <w:b/>
        </w:rPr>
      </w:pPr>
      <w:r>
        <w:rPr>
          <w:b/>
        </w:rPr>
        <w:t>7</w:t>
      </w:r>
      <w:r>
        <w:rPr>
          <w:rFonts w:hint="eastAsia"/>
          <w:b/>
        </w:rPr>
        <w:t>、“基金的收益与分配”章节</w:t>
      </w:r>
    </w:p>
    <w:p w:rsidR="00095CAF" w:rsidRDefault="00366B0C">
      <w:pPr>
        <w:spacing w:line="360" w:lineRule="auto"/>
        <w:ind w:firstLineChars="200" w:firstLine="422"/>
        <w:rPr>
          <w:b/>
        </w:rPr>
      </w:pPr>
      <w:r>
        <w:rPr>
          <w:rFonts w:hint="eastAsia"/>
          <w:b/>
        </w:rPr>
        <w:t>“基金的收益与分配”章节增加“实施侧袋机制期间的收益分配”的内容：</w:t>
      </w:r>
    </w:p>
    <w:p w:rsidR="00095CAF" w:rsidRDefault="00366B0C">
      <w:pPr>
        <w:spacing w:line="360" w:lineRule="auto"/>
        <w:ind w:firstLineChars="200" w:firstLine="420"/>
      </w:pPr>
      <w:r>
        <w:rPr>
          <w:rFonts w:hint="eastAsia"/>
        </w:rPr>
        <w:t>“本基金实施侧袋机制的，侧袋账户不进行收益分配，详见招募说明书的规定。”</w:t>
      </w:r>
    </w:p>
    <w:p w:rsidR="00095CAF" w:rsidRDefault="00366B0C">
      <w:pPr>
        <w:spacing w:line="360" w:lineRule="auto"/>
        <w:ind w:firstLineChars="200" w:firstLine="422"/>
        <w:rPr>
          <w:b/>
        </w:rPr>
      </w:pPr>
      <w:r>
        <w:rPr>
          <w:b/>
        </w:rPr>
        <w:t>8</w:t>
      </w:r>
      <w:r>
        <w:rPr>
          <w:rFonts w:hint="eastAsia"/>
          <w:b/>
        </w:rPr>
        <w:t>、“基金的信息披露”章节</w:t>
      </w:r>
    </w:p>
    <w:p w:rsidR="00095CAF" w:rsidRDefault="00366B0C">
      <w:pPr>
        <w:spacing w:line="360" w:lineRule="auto"/>
        <w:ind w:firstLineChars="200" w:firstLine="422"/>
        <w:rPr>
          <w:b/>
        </w:rPr>
      </w:pPr>
      <w:r>
        <w:rPr>
          <w:rFonts w:hint="eastAsia"/>
          <w:b/>
        </w:rPr>
        <w:t>“基金的信息披露”章节增加“实施侧袋机制期间的信息披露”的内容：</w:t>
      </w:r>
    </w:p>
    <w:p w:rsidR="00095CAF" w:rsidRDefault="00366B0C">
      <w:pPr>
        <w:spacing w:line="360" w:lineRule="auto"/>
        <w:ind w:firstLineChars="200" w:firstLine="420"/>
      </w:pPr>
      <w:r>
        <w:rPr>
          <w:rFonts w:hint="eastAsia"/>
        </w:rPr>
        <w:t>“本基金实施侧袋机制的，相关信息披露义务人应当根据法律法规、基金合同和招募说明书的规定进行信息披露，详见招募说明书的规定。”</w:t>
      </w:r>
    </w:p>
    <w:p w:rsidR="00095CAF" w:rsidRDefault="00366B0C">
      <w:pPr>
        <w:spacing w:line="360" w:lineRule="auto"/>
        <w:ind w:firstLineChars="200" w:firstLine="422"/>
        <w:rPr>
          <w:b/>
        </w:rPr>
      </w:pPr>
      <w:r>
        <w:rPr>
          <w:rFonts w:hint="eastAsia"/>
          <w:b/>
        </w:rPr>
        <w:t>二、其他事项</w:t>
      </w:r>
    </w:p>
    <w:p w:rsidR="00095CAF" w:rsidRDefault="00366B0C">
      <w:pPr>
        <w:spacing w:line="360" w:lineRule="auto"/>
        <w:ind w:firstLineChars="200" w:firstLine="420"/>
      </w:pPr>
      <w:r>
        <w:rPr>
          <w:rFonts w:hint="eastAsia"/>
        </w:rPr>
        <w:t>本次修改系因相关法律法规发生变动而进行的修改，由基金管理人和基金托管人协商后修改，对原有基金份额持有人的利益无实质不利影响，无需召开基金份额持有人大会。上述基金修改后的基金合同自</w:t>
      </w:r>
      <w:r>
        <w:rPr>
          <w:rFonts w:hint="eastAsia"/>
        </w:rPr>
        <w:t>2021</w:t>
      </w:r>
      <w:r>
        <w:rPr>
          <w:rFonts w:hint="eastAsia"/>
        </w:rPr>
        <w:t>年</w:t>
      </w:r>
      <w:r w:rsidR="00E51495">
        <w:rPr>
          <w:rFonts w:hint="eastAsia"/>
        </w:rPr>
        <w:t>7</w:t>
      </w:r>
      <w:r>
        <w:rPr>
          <w:rFonts w:hint="eastAsia"/>
        </w:rPr>
        <w:t>月</w:t>
      </w:r>
      <w:r w:rsidR="00E51495">
        <w:rPr>
          <w:rFonts w:hint="eastAsia"/>
        </w:rPr>
        <w:t>26</w:t>
      </w:r>
      <w:r>
        <w:rPr>
          <w:rFonts w:hint="eastAsia"/>
        </w:rPr>
        <w:t>日起生效，基金管理人已履行了规定程序，符合相关法律法规的规定及各基金基金合同的约定。根据修改的基金合同，基金管理人将更新相关基金的托管协议、招募说明书（更新）及基金产品资料概要（更新）相关内容，并揭示风险。本次修订后的基金合同、托管协议、招募说明书和基金产品资料概要将在本公司网站（</w:t>
      </w:r>
      <w:r>
        <w:t>https://www.csfunds.com.cn</w:t>
      </w:r>
      <w:r>
        <w:rPr>
          <w:rFonts w:hint="eastAsia"/>
        </w:rPr>
        <w:t>）及中国证监会基金电子披露网站（</w:t>
      </w:r>
      <w:r>
        <w:t>http://eid.csrc.gov.cn/fund</w:t>
      </w:r>
      <w:r>
        <w:rPr>
          <w:rFonts w:hint="eastAsia"/>
        </w:rPr>
        <w:t>）发布。敬请投资人关注。</w:t>
      </w:r>
    </w:p>
    <w:p w:rsidR="00095CAF" w:rsidRDefault="00366B0C">
      <w:pPr>
        <w:spacing w:line="360" w:lineRule="auto"/>
        <w:ind w:firstLineChars="200" w:firstLine="420"/>
      </w:pPr>
      <w:r>
        <w:rPr>
          <w:rFonts w:hint="eastAsia"/>
        </w:rPr>
        <w:t>投资人可登录本公司网站（</w:t>
      </w:r>
      <w:r>
        <w:rPr>
          <w:rFonts w:hint="eastAsia"/>
        </w:rPr>
        <w:t>https://www.csfunds.com.cn</w:t>
      </w:r>
      <w:r>
        <w:rPr>
          <w:rFonts w:hint="eastAsia"/>
        </w:rPr>
        <w:t>）或拨打客户服务电话（</w:t>
      </w:r>
      <w:r>
        <w:rPr>
          <w:rFonts w:hint="eastAsia"/>
        </w:rPr>
        <w:t>400-888-2666</w:t>
      </w:r>
      <w:r>
        <w:rPr>
          <w:rFonts w:hint="eastAsia"/>
        </w:rPr>
        <w:t>）咨询相关事宜。</w:t>
      </w:r>
    </w:p>
    <w:p w:rsidR="00095CAF" w:rsidRDefault="00366B0C">
      <w:pPr>
        <w:spacing w:line="360" w:lineRule="auto"/>
        <w:ind w:firstLineChars="200" w:firstLine="422"/>
      </w:pPr>
      <w:r>
        <w:rPr>
          <w:rFonts w:hint="eastAsia"/>
          <w:b/>
        </w:rPr>
        <w:t>风险提示：</w:t>
      </w:r>
      <w:r>
        <w:rPr>
          <w:rFonts w:hint="eastAsia"/>
        </w:rPr>
        <w:t>本基金管理人承诺以恪尽职守、诚实信用、谨慎勤勉的原则管理和运用基金资产，但不保证投资于基金一定盈利，也不保证最低收益。销售机构根据法规要求对投资者类别、风险承受能力和基金的风险等级进行划分，并提出适当性匹配意见。投资人在投资基金前应当认真阅读基金合同、基金招募说明书（更新）、基金产品资料概要（更新）等信息披露文件，自主判断基金的投资价值，自主做出投资决策，自行承担投资风险。基金的过往业绩及其净值高低并不预示其未来业绩表现。本基金管理人所管理的其他基金的业绩并不构成对本基金业绩表现的保证。本基金管理人提醒投资人基金投资的“买者自负”原则，在做出投资决策后，基金运营状况与基金净值变化引致的投资风险，由投资人自行负担。</w:t>
      </w:r>
    </w:p>
    <w:p w:rsidR="00095CAF" w:rsidRDefault="00095CAF">
      <w:pPr>
        <w:spacing w:line="360" w:lineRule="auto"/>
        <w:ind w:firstLineChars="200" w:firstLine="420"/>
      </w:pPr>
    </w:p>
    <w:p w:rsidR="00095CAF" w:rsidRDefault="00366B0C">
      <w:pPr>
        <w:spacing w:line="360" w:lineRule="auto"/>
        <w:ind w:firstLineChars="200" w:firstLine="420"/>
      </w:pPr>
      <w:r>
        <w:rPr>
          <w:rFonts w:hint="eastAsia"/>
        </w:rPr>
        <w:t>特此公告。</w:t>
      </w:r>
    </w:p>
    <w:p w:rsidR="00095CAF" w:rsidRDefault="00095CAF">
      <w:pPr>
        <w:spacing w:line="360" w:lineRule="auto"/>
        <w:jc w:val="right"/>
      </w:pPr>
    </w:p>
    <w:p w:rsidR="00095CAF" w:rsidRDefault="00366B0C">
      <w:pPr>
        <w:spacing w:line="360" w:lineRule="auto"/>
        <w:jc w:val="right"/>
      </w:pPr>
      <w:r>
        <w:rPr>
          <w:rFonts w:hint="eastAsia"/>
        </w:rPr>
        <w:t>长盛基金管理有限公司</w:t>
      </w:r>
    </w:p>
    <w:p w:rsidR="00095CAF" w:rsidRDefault="00366B0C">
      <w:pPr>
        <w:spacing w:line="360" w:lineRule="auto"/>
        <w:jc w:val="right"/>
      </w:pPr>
      <w:r>
        <w:rPr>
          <w:rFonts w:hint="eastAsia"/>
        </w:rPr>
        <w:t>2021</w:t>
      </w:r>
      <w:r>
        <w:rPr>
          <w:rFonts w:hint="eastAsia"/>
        </w:rPr>
        <w:t>年</w:t>
      </w:r>
      <w:r w:rsidR="00E51495">
        <w:rPr>
          <w:rFonts w:hint="eastAsia"/>
        </w:rPr>
        <w:t>7</w:t>
      </w:r>
      <w:r>
        <w:rPr>
          <w:rFonts w:hint="eastAsia"/>
        </w:rPr>
        <w:t>月</w:t>
      </w:r>
      <w:r w:rsidR="00E51495">
        <w:rPr>
          <w:rFonts w:hint="eastAsia"/>
        </w:rPr>
        <w:t>26</w:t>
      </w:r>
      <w:r>
        <w:rPr>
          <w:rFonts w:hint="eastAsia"/>
        </w:rPr>
        <w:t>日</w:t>
      </w:r>
    </w:p>
    <w:p w:rsidR="00095CAF" w:rsidRDefault="00095CAF">
      <w:pPr>
        <w:jc w:val="center"/>
      </w:pPr>
      <w:bookmarkStart w:id="0" w:name="_GoBack"/>
      <w:bookmarkEnd w:id="0"/>
    </w:p>
    <w:sectPr w:rsidR="00095CAF" w:rsidSect="003E53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C4D" w:rsidRDefault="00FA1C4D" w:rsidP="000579C3">
      <w:r>
        <w:separator/>
      </w:r>
    </w:p>
  </w:endnote>
  <w:endnote w:type="continuationSeparator" w:id="0">
    <w:p w:rsidR="00FA1C4D" w:rsidRDefault="00FA1C4D" w:rsidP="000579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C4D" w:rsidRDefault="00FA1C4D" w:rsidP="000579C3">
      <w:r>
        <w:separator/>
      </w:r>
    </w:p>
  </w:footnote>
  <w:footnote w:type="continuationSeparator" w:id="0">
    <w:p w:rsidR="00FA1C4D" w:rsidRDefault="00FA1C4D" w:rsidP="000579C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iways">
    <w15:presenceInfo w15:providerId="None" w15:userId="hiways"/>
  </w15:person>
  <w15:person w15:author="Xuxin">
    <w15:presenceInfo w15:providerId="None" w15:userId="Xux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38AF"/>
    <w:rsid w:val="000579C3"/>
    <w:rsid w:val="00095CAF"/>
    <w:rsid w:val="00177061"/>
    <w:rsid w:val="001C158F"/>
    <w:rsid w:val="001D7DDA"/>
    <w:rsid w:val="00210DA4"/>
    <w:rsid w:val="00252FCE"/>
    <w:rsid w:val="00366B0C"/>
    <w:rsid w:val="003B1F36"/>
    <w:rsid w:val="003C4EAF"/>
    <w:rsid w:val="003E53D9"/>
    <w:rsid w:val="0040265D"/>
    <w:rsid w:val="004D4203"/>
    <w:rsid w:val="004D4256"/>
    <w:rsid w:val="0057666F"/>
    <w:rsid w:val="006D0613"/>
    <w:rsid w:val="007104EA"/>
    <w:rsid w:val="007C4356"/>
    <w:rsid w:val="007F38AF"/>
    <w:rsid w:val="008374F7"/>
    <w:rsid w:val="00841208"/>
    <w:rsid w:val="009011E3"/>
    <w:rsid w:val="009B18B4"/>
    <w:rsid w:val="00A04432"/>
    <w:rsid w:val="00A772B6"/>
    <w:rsid w:val="00AE265B"/>
    <w:rsid w:val="00D46667"/>
    <w:rsid w:val="00DB6F23"/>
    <w:rsid w:val="00E47BDF"/>
    <w:rsid w:val="00E51495"/>
    <w:rsid w:val="00FA1C4D"/>
    <w:rsid w:val="127053EC"/>
    <w:rsid w:val="19B879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3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E53D9"/>
    <w:rPr>
      <w:sz w:val="18"/>
      <w:szCs w:val="18"/>
    </w:rPr>
  </w:style>
  <w:style w:type="paragraph" w:styleId="a4">
    <w:name w:val="footer"/>
    <w:basedOn w:val="a"/>
    <w:link w:val="Char0"/>
    <w:uiPriority w:val="99"/>
    <w:unhideWhenUsed/>
    <w:rsid w:val="003E53D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E53D9"/>
    <w:pPr>
      <w:pBdr>
        <w:bottom w:val="single" w:sz="6" w:space="1" w:color="auto"/>
      </w:pBdr>
      <w:tabs>
        <w:tab w:val="center" w:pos="4153"/>
        <w:tab w:val="right" w:pos="8306"/>
      </w:tabs>
      <w:snapToGrid w:val="0"/>
      <w:jc w:val="center"/>
    </w:pPr>
    <w:rPr>
      <w:sz w:val="18"/>
      <w:szCs w:val="18"/>
    </w:rPr>
  </w:style>
  <w:style w:type="paragraph" w:customStyle="1" w:styleId="Style3">
    <w:name w:val="_Style 3"/>
    <w:basedOn w:val="a"/>
    <w:rsid w:val="003E53D9"/>
    <w:rPr>
      <w:rFonts w:ascii="Times New Roman" w:eastAsia="宋体" w:hAnsi="Times New Roman" w:cs="Arial Unicode MS"/>
      <w:szCs w:val="20"/>
      <w:lang w:bidi="bo-CN"/>
    </w:rPr>
  </w:style>
  <w:style w:type="character" w:customStyle="1" w:styleId="Char1">
    <w:name w:val="页眉 Char"/>
    <w:basedOn w:val="a0"/>
    <w:link w:val="a5"/>
    <w:uiPriority w:val="99"/>
    <w:qFormat/>
    <w:rsid w:val="003E53D9"/>
    <w:rPr>
      <w:sz w:val="18"/>
      <w:szCs w:val="18"/>
    </w:rPr>
  </w:style>
  <w:style w:type="character" w:customStyle="1" w:styleId="Char0">
    <w:name w:val="页脚 Char"/>
    <w:basedOn w:val="a0"/>
    <w:link w:val="a4"/>
    <w:uiPriority w:val="99"/>
    <w:qFormat/>
    <w:rsid w:val="003E53D9"/>
    <w:rPr>
      <w:sz w:val="18"/>
      <w:szCs w:val="18"/>
    </w:rPr>
  </w:style>
  <w:style w:type="character" w:customStyle="1" w:styleId="Char">
    <w:name w:val="批注框文本 Char"/>
    <w:basedOn w:val="a0"/>
    <w:link w:val="a3"/>
    <w:uiPriority w:val="99"/>
    <w:semiHidden/>
    <w:rsid w:val="003E53D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Style3">
    <w:name w:val="_Style 3"/>
    <w:basedOn w:val="a"/>
    <w:rPr>
      <w:rFonts w:ascii="Times New Roman" w:eastAsia="宋体" w:hAnsi="Times New Roman" w:cs="Arial Unicode MS"/>
      <w:szCs w:val="20"/>
      <w:lang w:bidi="bo-CN"/>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2961</Characters>
  <Application>Microsoft Office Word</Application>
  <DocSecurity>4</DocSecurity>
  <Lines>24</Lines>
  <Paragraphs>6</Paragraphs>
  <ScaleCrop>false</ScaleCrop>
  <Company>Microsoft</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傅鹏</dc:creator>
  <cp:lastModifiedBy>ZHONGM</cp:lastModifiedBy>
  <cp:revision>2</cp:revision>
  <dcterms:created xsi:type="dcterms:W3CDTF">2021-07-25T16:03:00Z</dcterms:created>
  <dcterms:modified xsi:type="dcterms:W3CDTF">2021-07-25T16:03:00Z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CD043FBDFCD3477593F17652F895E841</vt:lpwstr>
  </property>
</Properties>
</file>