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20" w:rsidRDefault="009C63D5" w:rsidP="008A7620">
      <w:pPr>
        <w:jc w:val="center"/>
        <w:rPr>
          <w:rFonts w:ascii="黑体" w:eastAsia="黑体"/>
          <w:b/>
          <w:sz w:val="44"/>
        </w:rPr>
      </w:pPr>
      <w:r w:rsidRPr="009C63D5">
        <w:rPr>
          <w:rFonts w:ascii="黑体" w:eastAsia="黑体" w:hint="eastAsia"/>
          <w:b/>
          <w:sz w:val="44"/>
        </w:rPr>
        <w:t>东兴基金管理有限公司关于根据《公开募集证券投资基金侧袋机制指引(试行)》修订旗下部分基金基金合同及托管协议的公告</w:t>
      </w:r>
    </w:p>
    <w:p w:rsidR="00182903" w:rsidRDefault="00182903">
      <w:pPr>
        <w:rPr>
          <w:rFonts w:ascii="仿宋_GB2312" w:eastAsia="仿宋_GB2312"/>
          <w:sz w:val="32"/>
        </w:rPr>
      </w:pPr>
    </w:p>
    <w:p w:rsidR="001E2572" w:rsidRDefault="009C63D5" w:rsidP="008A7620">
      <w:pPr>
        <w:ind w:rightChars="-40" w:right="-84" w:firstLineChars="200" w:firstLine="640"/>
        <w:rPr>
          <w:rFonts w:ascii="仿宋_GB2312" w:eastAsia="仿宋_GB2312" w:hAnsi="宋体"/>
          <w:sz w:val="32"/>
          <w:szCs w:val="32"/>
        </w:rPr>
      </w:pPr>
      <w:r w:rsidRPr="008A7620">
        <w:rPr>
          <w:rFonts w:ascii="仿宋_GB2312" w:eastAsia="仿宋_GB2312" w:hAnsi="宋体"/>
          <w:sz w:val="32"/>
        </w:rPr>
        <w:t>根据《中华人民共和国证券法》、《中华人民共和国证券投资基金法》、《公开募集证券投资基金信息披露管理办法》、《公开募集证券投资基金侧袋机制指引 (试行)》等法律法规及各基金基金合同的规定，经与各基金托管人协商一致，并 向中国证监会备案</w:t>
      </w:r>
      <w:r>
        <w:rPr>
          <w:rFonts w:ascii="仿宋_GB2312" w:eastAsia="仿宋_GB2312" w:hAnsi="宋体" w:hint="eastAsia"/>
          <w:sz w:val="32"/>
        </w:rPr>
        <w:t>，东兴基金管理有限公司（以下简称“基金管理人”）对旗下部分基金</w:t>
      </w:r>
      <w:r w:rsidRPr="009C63D5">
        <w:rPr>
          <w:rFonts w:ascii="仿宋_GB2312" w:eastAsia="仿宋_GB2312" w:hAnsi="宋体" w:hint="eastAsia"/>
          <w:sz w:val="32"/>
        </w:rPr>
        <w:t>的基金合同</w:t>
      </w:r>
      <w:bookmarkStart w:id="0" w:name="_GoBack"/>
      <w:bookmarkEnd w:id="0"/>
      <w:r w:rsidRPr="009C63D5">
        <w:rPr>
          <w:rFonts w:ascii="仿宋_GB2312" w:eastAsia="仿宋_GB2312" w:hAnsi="宋体" w:hint="eastAsia"/>
          <w:sz w:val="32"/>
        </w:rPr>
        <w:t>等法律文件进行修订</w:t>
      </w:r>
      <w:r w:rsidR="008A7620">
        <w:rPr>
          <w:rFonts w:ascii="仿宋_GB2312" w:eastAsia="仿宋_GB2312" w:hAnsi="宋体" w:hint="eastAsia"/>
          <w:sz w:val="32"/>
        </w:rPr>
        <w:t>。</w:t>
      </w:r>
      <w:r w:rsidRPr="009C63D5">
        <w:rPr>
          <w:rFonts w:ascii="仿宋_GB2312" w:eastAsia="仿宋_GB2312" w:hAnsi="宋体" w:hint="eastAsia"/>
          <w:sz w:val="32"/>
        </w:rPr>
        <w:t xml:space="preserve">本次修订不改变基金的投资目标及风险收益特征，修订后的基金合同和托管协议将自 2021 年 </w:t>
      </w:r>
      <w:r w:rsidR="008F1372">
        <w:rPr>
          <w:rFonts w:ascii="仿宋_GB2312" w:eastAsia="仿宋_GB2312" w:hAnsi="宋体" w:hint="eastAsia"/>
          <w:sz w:val="32"/>
        </w:rPr>
        <w:t>7</w:t>
      </w:r>
      <w:r w:rsidRPr="009C63D5">
        <w:rPr>
          <w:rFonts w:ascii="仿宋_GB2312" w:eastAsia="仿宋_GB2312" w:hAnsi="宋体" w:hint="eastAsia"/>
          <w:sz w:val="32"/>
        </w:rPr>
        <w:t xml:space="preserve">月 </w:t>
      </w:r>
      <w:r w:rsidR="008F1372">
        <w:rPr>
          <w:rFonts w:ascii="仿宋_GB2312" w:eastAsia="仿宋_GB2312" w:hAnsi="宋体" w:hint="eastAsia"/>
          <w:sz w:val="32"/>
        </w:rPr>
        <w:t>23</w:t>
      </w:r>
      <w:r w:rsidR="008F1372" w:rsidRPr="009C63D5">
        <w:rPr>
          <w:rFonts w:ascii="仿宋_GB2312" w:eastAsia="仿宋_GB2312" w:hAnsi="宋体" w:hint="eastAsia"/>
          <w:sz w:val="32"/>
        </w:rPr>
        <w:t xml:space="preserve"> </w:t>
      </w:r>
      <w:r w:rsidRPr="009C63D5">
        <w:rPr>
          <w:rFonts w:ascii="仿宋_GB2312" w:eastAsia="仿宋_GB2312" w:hAnsi="宋体" w:hint="eastAsia"/>
          <w:sz w:val="32"/>
        </w:rPr>
        <w:t>日起正式生效。现将基金合同、托管协议、招募说明书（更新）修订的有关情况说明如下</w:t>
      </w:r>
      <w:r w:rsidR="001E2572" w:rsidRPr="001E2572">
        <w:rPr>
          <w:rFonts w:ascii="仿宋_GB2312" w:eastAsia="仿宋_GB2312" w:hAnsi="宋体" w:hint="eastAsia"/>
          <w:sz w:val="32"/>
          <w:szCs w:val="32"/>
        </w:rPr>
        <w:t>。</w:t>
      </w:r>
    </w:p>
    <w:p w:rsidR="009C63D5" w:rsidRPr="008A7620" w:rsidRDefault="009C63D5" w:rsidP="008A7620">
      <w:pPr>
        <w:ind w:rightChars="-40" w:right="-84" w:firstLine="640"/>
        <w:rPr>
          <w:rFonts w:ascii="仿宋_GB2312" w:eastAsia="仿宋_GB2312" w:hAnsi="宋体"/>
          <w:sz w:val="32"/>
          <w:szCs w:val="32"/>
        </w:rPr>
      </w:pPr>
      <w:r w:rsidRPr="009C63D5">
        <w:rPr>
          <w:rFonts w:ascii="仿宋_GB2312" w:eastAsia="仿宋_GB2312" w:hAnsi="宋体" w:hint="eastAsia"/>
          <w:sz w:val="32"/>
          <w:szCs w:val="32"/>
        </w:rPr>
        <w:t>一、</w:t>
      </w:r>
      <w:r w:rsidRPr="008A7620">
        <w:rPr>
          <w:rFonts w:ascii="仿宋_GB2312" w:eastAsia="仿宋_GB2312" w:hAnsi="宋体" w:hint="eastAsia"/>
          <w:sz w:val="32"/>
          <w:szCs w:val="32"/>
        </w:rPr>
        <w:t>本次修订基金范围</w:t>
      </w:r>
    </w:p>
    <w:p w:rsidR="009C63D5" w:rsidRPr="008A7620" w:rsidRDefault="009C63D5" w:rsidP="008A7620">
      <w:pPr>
        <w:ind w:firstLine="640"/>
        <w:rPr>
          <w:rFonts w:ascii="仿宋_GB2312" w:eastAsia="仿宋_GB2312" w:hAnsi="宋体"/>
          <w:sz w:val="32"/>
          <w:szCs w:val="32"/>
        </w:rPr>
      </w:pPr>
      <w:r w:rsidRPr="008A7620">
        <w:rPr>
          <w:rFonts w:ascii="仿宋_GB2312" w:eastAsia="仿宋_GB2312" w:hAnsi="宋体"/>
          <w:sz w:val="32"/>
          <w:szCs w:val="32"/>
        </w:rPr>
        <w:t>本次修订涉及基金管理人旗下</w:t>
      </w:r>
      <w:r w:rsidRPr="008A7620">
        <w:rPr>
          <w:rFonts w:ascii="仿宋_GB2312" w:eastAsia="仿宋_GB2312" w:hAnsi="宋体" w:hint="eastAsia"/>
          <w:sz w:val="32"/>
          <w:szCs w:val="32"/>
        </w:rPr>
        <w:t>12只公募基金，详细名单见本公告的附表。</w:t>
      </w:r>
    </w:p>
    <w:p w:rsidR="009C63D5" w:rsidRDefault="009C63D5" w:rsidP="001E2572">
      <w:pPr>
        <w:ind w:rightChars="-40" w:right="-84" w:firstLineChars="200" w:firstLine="640"/>
        <w:rPr>
          <w:rFonts w:ascii="仿宋_GB2312" w:eastAsia="仿宋_GB2312" w:hAnsi="宋体"/>
          <w:sz w:val="32"/>
          <w:szCs w:val="32"/>
        </w:rPr>
      </w:pPr>
      <w:r>
        <w:rPr>
          <w:rFonts w:ascii="仿宋_GB2312" w:eastAsia="仿宋_GB2312" w:hAnsi="宋体" w:hint="eastAsia"/>
          <w:sz w:val="32"/>
          <w:szCs w:val="32"/>
        </w:rPr>
        <w:t>二、本次修订的主要内容</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基金合同相关修订内容如下：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（一）在基金合同“释义”增加侧袋机制和特定资产的释义，具体内容如下：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侧袋机制：指将基金投资组合中的特定资产从原有账户</w:t>
      </w:r>
      <w:r w:rsidRPr="005C4775">
        <w:rPr>
          <w:rFonts w:ascii="仿宋_GB2312" w:eastAsia="仿宋_GB2312" w:hAnsi="宋体" w:hint="eastAsia"/>
          <w:sz w:val="32"/>
        </w:rPr>
        <w:lastRenderedPageBreak/>
        <w:t>分离至一个专门账户进行处置清算，目的在于有效隔离并化解风险，确保投资者得到公平对待，属于流动性风险管理工具。侧袋机制实施期间，原有账户称为主袋账户，专门账户称为侧袋账户</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（二）在基金合同“基金份额的申购与赎回” 增加实施侧袋机制期间基金的申购与赎回条款，具体内容如下：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实施侧袋机制期间本基金的申购与赎回</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本基金实施侧袋机制的，本基金的申购和赎回安排详见招募说明书或相关公告。</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（三）在基金合同“基金份额持有人大会” 增加实施侧袋机制期间基金份额持有人大会的特殊约定条款，具体内容如下：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lastRenderedPageBreak/>
        <w:t>1、基金份额持有人行使提议权、召集权、提名权所需单独或合计代表相关基金份额10%以上（含10%）；</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2、现场开会的到会者在权益登记日代表的基金份额不少于本基金在权益登记日相关基金份额的二分之一（含二分之一）；</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3、通讯开会的直接出具表决意见或授权他人代表出具表决意见的基金份额持有人所持有的基金份额不小于在权益登记日相关基金份额的二分之一（含二分之一）；</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5、现场开会由出席大会的基金份额持有人和代理人所持表决权的50%以上（含50%）选举产生一名基金份额持有人作为该次基金份额持有人大会的主持人；</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6、一般决议须经参加大会的基金份额持有人或其代理人所持表决权的二分之一以上（含二分之一）通过；</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7、特别决议应当经参加大会的基金份额持有人或其代理人所持表决权的三分之二以上（含三分之二）通过。</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同一主侧袋账户内的每份基金份额具有平等的表决权。</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（四）在基金合同“基金的投资”增加侧袋机制的实施和投资运作安排条款，具体内容如下：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侧袋机制的实施和投资运作安排</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侧袋机制实施期间，本部分约定的投资组合比例、投资策略、组合限制、业绩比较基准、风险收益特征等约定仅适用于主袋账户。</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侧袋账户的实施条件、实施程序、运作安排、投资安排、特定资产的处置变现和支付等对投资者权益有重大影响的事项详见招募说明书的规定。</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（五）将基金合同“基金资产估值”中“暂停估值的情形”的如下内容：</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“当前一估值日基金资产净值50%以上的资产出现无可参考的活跃市场价格且采用估值技术仍导致公允价值存在重大不确定性时，经与基金托管人协商确认后，基金管理人应当暂停估值；”</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修改为：</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“当特定资产占前一估值日基金资产净值50%以上的，经与基金托管人协商确认后，基金管理人应当暂停估值”</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（六）在基金合同“基金资产估值”中增加实施侧袋机制期间的基金资产估值条款，具体内容如下：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实施侧袋机制期间的基金资产估值</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本基金实施侧袋机制的，应根据本部分的约定对主袋账户资产进行估值并披露主袋账户的基金净值信息，暂停披露侧袋账户份额净值。</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（七）在基金合同“基金费用与税收”增加实施侧袋机制期间的基金费用条款，具体内容如下：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实施侧袋机制期间的基金费用</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本基金实施侧袋机制的，与侧袋账户有关的费用可以从侧袋账户中列支，但应待侧袋账户资产变现后方可列支，有关费用可酌情收取或减免，但不得收取管理费，详见招募说明书的规定。</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 xml:space="preserve">（八）在基金合同“基金的收益与分配”增加实施侧袋机制期间的收益分配条款，具体内容如下：   </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 xml:space="preserve"> 实施侧袋机制期间的收益分配</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本基金实施侧袋机制的，侧袋账户不进行收益分配，详见招募说明书的规定。</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（九）在基金合同“基金的信息披露”增加实施侧袋机制期间的信息披露条款，具体内容如下：</w:t>
      </w:r>
    </w:p>
    <w:p w:rsidR="005C4775" w:rsidRP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实施侧袋机制期间的信息披露</w:t>
      </w:r>
    </w:p>
    <w:p w:rsidR="005C4775" w:rsidRDefault="005C4775" w:rsidP="005C4775">
      <w:pPr>
        <w:ind w:firstLineChars="200" w:firstLine="640"/>
        <w:rPr>
          <w:rFonts w:ascii="仿宋_GB2312" w:eastAsia="仿宋_GB2312" w:hAnsi="宋体"/>
          <w:sz w:val="32"/>
        </w:rPr>
      </w:pPr>
      <w:r w:rsidRPr="005C4775">
        <w:rPr>
          <w:rFonts w:ascii="仿宋_GB2312" w:eastAsia="仿宋_GB2312" w:hAnsi="宋体" w:hint="eastAsia"/>
          <w:sz w:val="32"/>
        </w:rPr>
        <w:t>本基金实施侧袋机制的，相关信息披露义务人应当根据法律法规、基金合同和招募说明书的规定进行信息披露，详见招募说明书的规定。</w:t>
      </w:r>
    </w:p>
    <w:p w:rsidR="005C4775" w:rsidRDefault="005C4775" w:rsidP="005C4775">
      <w:pPr>
        <w:spacing w:line="360" w:lineRule="auto"/>
        <w:ind w:firstLineChars="200" w:firstLine="640"/>
        <w:rPr>
          <w:rFonts w:ascii="仿宋_GB2312" w:eastAsia="仿宋_GB2312" w:hAnsi="宋体"/>
          <w:sz w:val="32"/>
        </w:rPr>
      </w:pPr>
      <w:r w:rsidRPr="005C4775">
        <w:rPr>
          <w:rFonts w:ascii="仿宋_GB2312" w:eastAsia="仿宋_GB2312" w:hAnsi="宋体" w:hint="eastAsia"/>
          <w:sz w:val="32"/>
        </w:rPr>
        <w:t>（十）托管协议</w:t>
      </w:r>
      <w:r>
        <w:rPr>
          <w:rFonts w:ascii="仿宋_GB2312" w:eastAsia="仿宋_GB2312" w:hAnsi="宋体" w:hint="eastAsia"/>
          <w:sz w:val="32"/>
        </w:rPr>
        <w:t>、招募说明书（更新）</w:t>
      </w:r>
      <w:r w:rsidRPr="005C4775">
        <w:rPr>
          <w:rFonts w:ascii="仿宋_GB2312" w:eastAsia="仿宋_GB2312" w:hAnsi="宋体" w:hint="eastAsia"/>
          <w:sz w:val="32"/>
        </w:rPr>
        <w:t>涉及上述内容的条款一并调整。</w:t>
      </w:r>
    </w:p>
    <w:p w:rsidR="009C63D5" w:rsidRPr="008A7620" w:rsidRDefault="009C63D5" w:rsidP="005C4775">
      <w:pPr>
        <w:spacing w:line="360" w:lineRule="auto"/>
        <w:ind w:firstLineChars="200" w:firstLine="640"/>
        <w:rPr>
          <w:rFonts w:ascii="仿宋_GB2312" w:eastAsia="仿宋_GB2312" w:hAnsi="宋体"/>
          <w:sz w:val="32"/>
        </w:rPr>
      </w:pPr>
      <w:r w:rsidRPr="008A7620">
        <w:rPr>
          <w:rFonts w:ascii="仿宋_GB2312" w:eastAsia="仿宋_GB2312" w:hAnsi="宋体" w:hint="eastAsia"/>
          <w:sz w:val="32"/>
        </w:rPr>
        <w:t>三</w:t>
      </w:r>
      <w:r w:rsidR="0062492D" w:rsidRPr="008A7620">
        <w:rPr>
          <w:rFonts w:ascii="仿宋_GB2312" w:eastAsia="仿宋_GB2312" w:hAnsi="宋体" w:hint="eastAsia"/>
          <w:sz w:val="32"/>
        </w:rPr>
        <w:t>、</w:t>
      </w:r>
      <w:r w:rsidRPr="008A7620">
        <w:rPr>
          <w:rFonts w:ascii="仿宋_GB2312" w:eastAsia="仿宋_GB2312" w:hAnsi="宋体" w:hint="eastAsia"/>
          <w:sz w:val="32"/>
        </w:rPr>
        <w:t>本次修订已履行了规定的程序，符合相关法律法规的规定及基金合同的约定，无需召开基金份额持有人大会。</w:t>
      </w:r>
      <w:r w:rsidRPr="008A7620">
        <w:rPr>
          <w:rFonts w:ascii="仿宋_GB2312" w:eastAsia="仿宋_GB2312" w:hAnsi="宋体" w:hint="eastAsia"/>
          <w:sz w:val="32"/>
        </w:rPr>
        <w:cr/>
      </w:r>
      <w:r w:rsidR="008A7620">
        <w:rPr>
          <w:rFonts w:ascii="仿宋_GB2312" w:eastAsia="仿宋_GB2312" w:hAnsi="宋体" w:hint="eastAsia"/>
          <w:sz w:val="32"/>
        </w:rPr>
        <w:t xml:space="preserve">    </w:t>
      </w:r>
      <w:r w:rsidRPr="008A7620">
        <w:rPr>
          <w:rFonts w:ascii="仿宋_GB2312" w:eastAsia="仿宋_GB2312" w:hAnsi="宋体" w:hint="eastAsia"/>
          <w:sz w:val="32"/>
        </w:rPr>
        <w:t xml:space="preserve">上述修改自 2021 年 </w:t>
      </w:r>
      <w:r w:rsidR="008F1372">
        <w:rPr>
          <w:rFonts w:ascii="仿宋_GB2312" w:eastAsia="仿宋_GB2312" w:hAnsi="宋体" w:hint="eastAsia"/>
          <w:sz w:val="32"/>
        </w:rPr>
        <w:t>7</w:t>
      </w:r>
      <w:r w:rsidRPr="008A7620">
        <w:rPr>
          <w:rFonts w:ascii="仿宋_GB2312" w:eastAsia="仿宋_GB2312" w:hAnsi="宋体" w:hint="eastAsia"/>
          <w:sz w:val="32"/>
        </w:rPr>
        <w:t xml:space="preserve">月 </w:t>
      </w:r>
      <w:r w:rsidR="008F1372">
        <w:rPr>
          <w:rFonts w:ascii="仿宋_GB2312" w:eastAsia="仿宋_GB2312" w:hAnsi="宋体" w:hint="eastAsia"/>
          <w:sz w:val="32"/>
        </w:rPr>
        <w:t>23</w:t>
      </w:r>
      <w:r w:rsidR="008F1372" w:rsidRPr="008A7620">
        <w:rPr>
          <w:rFonts w:ascii="仿宋_GB2312" w:eastAsia="仿宋_GB2312" w:hAnsi="宋体" w:hint="eastAsia"/>
          <w:sz w:val="32"/>
        </w:rPr>
        <w:t xml:space="preserve"> </w:t>
      </w:r>
      <w:r w:rsidRPr="008A7620">
        <w:rPr>
          <w:rFonts w:ascii="仿宋_GB2312" w:eastAsia="仿宋_GB2312" w:hAnsi="宋体" w:hint="eastAsia"/>
          <w:sz w:val="32"/>
        </w:rPr>
        <w:t>日起生效。相关基金的基金合同、托管协议全文将</w:t>
      </w:r>
      <w:r w:rsidR="00D21869" w:rsidRPr="00D21869">
        <w:rPr>
          <w:rFonts w:ascii="仿宋_GB2312" w:eastAsia="仿宋_GB2312" w:hAnsi="宋体"/>
          <w:sz w:val="32"/>
        </w:rPr>
        <w:t>与本公告同日</w:t>
      </w:r>
      <w:r w:rsidRPr="008A7620">
        <w:rPr>
          <w:rFonts w:ascii="仿宋_GB2312" w:eastAsia="仿宋_GB2312" w:hAnsi="宋体" w:hint="eastAsia"/>
          <w:sz w:val="32"/>
        </w:rPr>
        <w:t>在本公司网站（</w:t>
      </w:r>
      <w:r w:rsidR="00D27B2B" w:rsidRPr="00D27B2B">
        <w:rPr>
          <w:rFonts w:ascii="仿宋_GB2312" w:eastAsia="仿宋_GB2312" w:hAnsi="宋体"/>
          <w:sz w:val="32"/>
        </w:rPr>
        <w:t>www.dxamc.cn</w:t>
      </w:r>
      <w:r w:rsidRPr="008A7620">
        <w:rPr>
          <w:rFonts w:ascii="仿宋_GB2312" w:eastAsia="仿宋_GB2312" w:hAnsi="宋体" w:hint="eastAsia"/>
          <w:sz w:val="32"/>
        </w:rPr>
        <w:t>）和中国证监会基金电子披露网站（http://eid.csrc.gov.cn/fund）披露，供投资者查阅。</w:t>
      </w:r>
      <w:r w:rsidRPr="008A7620">
        <w:rPr>
          <w:rFonts w:ascii="仿宋_GB2312" w:eastAsia="仿宋_GB2312" w:hAnsi="宋体" w:hint="eastAsia"/>
          <w:sz w:val="32"/>
        </w:rPr>
        <w:cr/>
      </w:r>
      <w:r w:rsidR="008A7620">
        <w:rPr>
          <w:rFonts w:ascii="仿宋_GB2312" w:eastAsia="仿宋_GB2312" w:hAnsi="宋体" w:hint="eastAsia"/>
          <w:sz w:val="32"/>
        </w:rPr>
        <w:t xml:space="preserve">    </w:t>
      </w:r>
      <w:r w:rsidRPr="008A7620">
        <w:rPr>
          <w:rFonts w:ascii="仿宋_GB2312" w:eastAsia="仿宋_GB2312" w:hAnsi="宋体" w:hint="eastAsia"/>
          <w:sz w:val="32"/>
        </w:rPr>
        <w:t>基金管理人将在届时更新基金招募说明书时一并更新相关内容，揭示相关风险，并依照《公开募集证券投资基金信息披露管理办法》的有关规定在规定媒介上公告。</w:t>
      </w:r>
    </w:p>
    <w:p w:rsidR="00EF5B4A" w:rsidRDefault="00EF5B4A" w:rsidP="00E15F2F">
      <w:pPr>
        <w:ind w:rightChars="-40" w:right="-84" w:firstLineChars="200" w:firstLine="640"/>
        <w:jc w:val="left"/>
        <w:rPr>
          <w:rFonts w:ascii="仿宋_GB2312" w:eastAsia="仿宋_GB2312" w:hAnsi="宋体"/>
          <w:sz w:val="32"/>
        </w:rPr>
      </w:pPr>
    </w:p>
    <w:p w:rsidR="001255C6" w:rsidRPr="00EF5B4A" w:rsidRDefault="008A7620" w:rsidP="00EF5B4A">
      <w:pPr>
        <w:ind w:rightChars="-40" w:right="-84" w:firstLineChars="200" w:firstLine="643"/>
        <w:jc w:val="left"/>
        <w:rPr>
          <w:rFonts w:ascii="仿宋_GB2312" w:eastAsia="仿宋_GB2312" w:hAnsi="宋体"/>
          <w:b/>
          <w:sz w:val="32"/>
        </w:rPr>
      </w:pPr>
      <w:r>
        <w:rPr>
          <w:rFonts w:ascii="仿宋_GB2312" w:eastAsia="仿宋_GB2312" w:hAnsi="宋体" w:hint="eastAsia"/>
          <w:b/>
          <w:sz w:val="32"/>
        </w:rPr>
        <w:t>四</w:t>
      </w:r>
      <w:r w:rsidR="001255C6" w:rsidRPr="00EF5B4A">
        <w:rPr>
          <w:rFonts w:ascii="仿宋_GB2312" w:eastAsia="仿宋_GB2312" w:hAnsi="宋体" w:hint="eastAsia"/>
          <w:b/>
          <w:sz w:val="32"/>
        </w:rPr>
        <w:t>、其他事项</w:t>
      </w:r>
    </w:p>
    <w:p w:rsidR="001255C6" w:rsidRPr="001255C6" w:rsidRDefault="001255C6" w:rsidP="001255C6">
      <w:pPr>
        <w:ind w:rightChars="-40" w:right="-84" w:firstLine="640"/>
        <w:jc w:val="left"/>
        <w:rPr>
          <w:rFonts w:ascii="仿宋_GB2312" w:eastAsia="仿宋_GB2312" w:hAnsi="宋体"/>
          <w:sz w:val="32"/>
          <w:szCs w:val="22"/>
        </w:rPr>
      </w:pPr>
      <w:r w:rsidRPr="001255C6">
        <w:rPr>
          <w:rFonts w:ascii="仿宋_GB2312" w:eastAsia="仿宋_GB2312" w:hAnsi="宋体" w:hint="eastAsia"/>
          <w:sz w:val="32"/>
          <w:szCs w:val="22"/>
        </w:rPr>
        <w:t>1.</w:t>
      </w:r>
      <w:r w:rsidR="00C77ECF" w:rsidRPr="001255C6">
        <w:rPr>
          <w:rFonts w:ascii="仿宋_GB2312" w:eastAsia="仿宋_GB2312" w:hAnsi="宋体" w:hint="eastAsia"/>
          <w:sz w:val="32"/>
          <w:szCs w:val="22"/>
        </w:rPr>
        <w:t>投资者</w:t>
      </w:r>
      <w:r w:rsidRPr="001255C6">
        <w:rPr>
          <w:rFonts w:ascii="仿宋_GB2312" w:eastAsia="仿宋_GB2312" w:hAnsi="宋体" w:hint="eastAsia"/>
          <w:sz w:val="32"/>
          <w:szCs w:val="22"/>
        </w:rPr>
        <w:t>可通过以下途径咨询有关详情</w:t>
      </w:r>
    </w:p>
    <w:p w:rsidR="00182903" w:rsidRPr="001255C6" w:rsidRDefault="00C77ECF" w:rsidP="001255C6">
      <w:pPr>
        <w:ind w:firstLine="640"/>
        <w:rPr>
          <w:rFonts w:ascii="仿宋_GB2312" w:eastAsia="仿宋_GB2312" w:hAnsi="宋体"/>
          <w:sz w:val="32"/>
          <w:szCs w:val="22"/>
        </w:rPr>
      </w:pPr>
      <w:r w:rsidRPr="001255C6">
        <w:rPr>
          <w:rFonts w:ascii="仿宋_GB2312" w:eastAsia="仿宋_GB2312" w:hAnsi="宋体" w:hint="eastAsia"/>
          <w:sz w:val="32"/>
          <w:szCs w:val="22"/>
        </w:rPr>
        <w:t>登录本公司网站（</w:t>
      </w:r>
      <w:r w:rsidR="00D27B2B" w:rsidRPr="00D27B2B">
        <w:rPr>
          <w:rFonts w:ascii="仿宋_GB2312" w:eastAsia="仿宋_GB2312" w:hAnsi="宋体"/>
          <w:sz w:val="32"/>
          <w:szCs w:val="22"/>
        </w:rPr>
        <w:t>www.dxamc.cn</w:t>
      </w:r>
      <w:r w:rsidRPr="001255C6">
        <w:rPr>
          <w:rFonts w:ascii="仿宋_GB2312" w:eastAsia="仿宋_GB2312" w:hAnsi="宋体" w:hint="eastAsia"/>
          <w:sz w:val="32"/>
          <w:szCs w:val="22"/>
        </w:rPr>
        <w:t>）或拨打本公司客户服务电话（</w:t>
      </w:r>
      <w:r w:rsidR="008A7620" w:rsidRPr="008A7620">
        <w:rPr>
          <w:rFonts w:ascii="仿宋_GB2312" w:eastAsia="仿宋_GB2312" w:hAnsi="宋体"/>
          <w:sz w:val="32"/>
          <w:szCs w:val="22"/>
        </w:rPr>
        <w:t>400-670-1800</w:t>
      </w:r>
      <w:r w:rsidRPr="001255C6">
        <w:rPr>
          <w:rFonts w:ascii="仿宋_GB2312" w:eastAsia="仿宋_GB2312" w:hAnsi="宋体" w:hint="eastAsia"/>
          <w:sz w:val="32"/>
          <w:szCs w:val="22"/>
        </w:rPr>
        <w:t>）了解相关事宜。</w:t>
      </w:r>
    </w:p>
    <w:p w:rsidR="001255C6" w:rsidRDefault="001255C6" w:rsidP="001770EE">
      <w:pPr>
        <w:ind w:rightChars="-40" w:right="-84" w:firstLineChars="200" w:firstLine="643"/>
        <w:rPr>
          <w:rFonts w:ascii="仿宋_GB2312" w:eastAsia="仿宋_GB2312" w:hAnsi="宋体"/>
          <w:b/>
          <w:sz w:val="32"/>
          <w:szCs w:val="22"/>
        </w:rPr>
      </w:pPr>
      <w:r>
        <w:rPr>
          <w:rFonts w:ascii="仿宋_GB2312" w:eastAsia="仿宋_GB2312" w:hAnsi="宋体" w:hint="eastAsia"/>
          <w:b/>
          <w:sz w:val="32"/>
          <w:szCs w:val="22"/>
        </w:rPr>
        <w:t>2.</w:t>
      </w:r>
      <w:r w:rsidR="006A3770" w:rsidRPr="00E15F2F">
        <w:rPr>
          <w:rFonts w:ascii="仿宋_GB2312" w:eastAsia="仿宋_GB2312" w:hAnsi="宋体" w:hint="eastAsia"/>
          <w:b/>
          <w:sz w:val="32"/>
          <w:szCs w:val="22"/>
        </w:rPr>
        <w:t>风险提示：</w:t>
      </w:r>
    </w:p>
    <w:p w:rsidR="00182903" w:rsidRDefault="00DD3866" w:rsidP="001255C6">
      <w:pPr>
        <w:ind w:rightChars="-40" w:right="-84" w:firstLineChars="200" w:firstLine="640"/>
        <w:rPr>
          <w:rFonts w:ascii="仿宋_GB2312" w:eastAsia="仿宋_GB2312" w:hAnsi="宋体"/>
          <w:sz w:val="32"/>
        </w:rPr>
      </w:pPr>
      <w:r w:rsidRPr="00DD3866">
        <w:rPr>
          <w:rFonts w:ascii="仿宋_GB2312" w:eastAsia="仿宋_GB2312" w:hAnsi="宋体" w:hint="eastAsia"/>
          <w:sz w:val="32"/>
          <w:szCs w:val="22"/>
        </w:rPr>
        <w:t>基金投资有风险，决策须谨慎，投资者在投资基金前应认真阅读《基金合同》和《招募说明书》</w:t>
      </w:r>
      <w:r w:rsidR="007326EC">
        <w:rPr>
          <w:rFonts w:ascii="仿宋_GB2312" w:eastAsia="仿宋_GB2312" w:hAnsi="宋体" w:hint="eastAsia"/>
          <w:sz w:val="32"/>
          <w:szCs w:val="22"/>
        </w:rPr>
        <w:t>（更新）</w:t>
      </w:r>
      <w:r w:rsidRPr="00DD3866">
        <w:rPr>
          <w:rFonts w:ascii="仿宋_GB2312" w:eastAsia="仿宋_GB2312" w:hAnsi="宋体" w:hint="eastAsia"/>
          <w:sz w:val="32"/>
          <w:szCs w:val="22"/>
        </w:rPr>
        <w:t>等基金法律文件，自主做出投资决策，自行承担投资风险。</w:t>
      </w:r>
      <w:r w:rsidR="006A3770">
        <w:rPr>
          <w:rFonts w:ascii="仿宋_GB2312" w:eastAsia="仿宋_GB2312" w:hAnsi="宋体" w:hint="eastAsia"/>
          <w:sz w:val="32"/>
          <w:szCs w:val="22"/>
        </w:rPr>
        <w:t>本基金管理人承诺以诚实信用、勤勉尽责的原则管理和运用基金资产，但不保证基金一定盈利，也不保证最低收益。基金的过往业绩并不预示其未来表现，基金管理人管理的其他基金的业绩并不构成基金业绩表现的保证。</w:t>
      </w:r>
    </w:p>
    <w:p w:rsidR="00182903" w:rsidRDefault="006A3770">
      <w:pPr>
        <w:ind w:rightChars="-40" w:right="-84" w:firstLineChars="200" w:firstLine="640"/>
        <w:rPr>
          <w:rFonts w:ascii="仿宋_GB2312" w:eastAsia="仿宋_GB2312" w:hAnsi="宋体"/>
          <w:sz w:val="32"/>
        </w:rPr>
      </w:pPr>
      <w:r>
        <w:rPr>
          <w:rFonts w:ascii="仿宋_GB2312" w:eastAsia="仿宋_GB2312" w:hAnsi="宋体" w:hint="eastAsia"/>
          <w:sz w:val="32"/>
        </w:rPr>
        <w:t>特此公告</w:t>
      </w:r>
    </w:p>
    <w:p w:rsidR="00182903" w:rsidRDefault="00182903">
      <w:pPr>
        <w:ind w:rightChars="-40" w:right="-84"/>
        <w:rPr>
          <w:rFonts w:ascii="仿宋_GB2312" w:eastAsia="仿宋_GB2312" w:hAnsi="宋体"/>
          <w:sz w:val="32"/>
        </w:rPr>
      </w:pPr>
    </w:p>
    <w:p w:rsidR="00182903" w:rsidRDefault="006A3770">
      <w:pPr>
        <w:ind w:rightChars="26" w:right="55"/>
        <w:jc w:val="right"/>
        <w:rPr>
          <w:rFonts w:ascii="仿宋_GB2312" w:eastAsia="仿宋_GB2312" w:hAnsi="宋体"/>
          <w:sz w:val="32"/>
        </w:rPr>
      </w:pPr>
      <w:r>
        <w:rPr>
          <w:rFonts w:ascii="仿宋_GB2312" w:eastAsia="仿宋_GB2312" w:hAnsi="宋体" w:hint="eastAsia"/>
          <w:sz w:val="32"/>
        </w:rPr>
        <w:t>东兴</w:t>
      </w:r>
      <w:r w:rsidR="008A7620">
        <w:rPr>
          <w:rFonts w:ascii="仿宋_GB2312" w:eastAsia="仿宋_GB2312" w:hAnsi="宋体" w:hint="eastAsia"/>
          <w:sz w:val="32"/>
        </w:rPr>
        <w:t>基金管理</w:t>
      </w:r>
      <w:r>
        <w:rPr>
          <w:rFonts w:ascii="仿宋_GB2312" w:eastAsia="仿宋_GB2312" w:hAnsi="宋体" w:hint="eastAsia"/>
          <w:sz w:val="32"/>
        </w:rPr>
        <w:t>有限公司</w:t>
      </w:r>
    </w:p>
    <w:p w:rsidR="00182903" w:rsidRDefault="00DD7FBF">
      <w:pPr>
        <w:ind w:rightChars="26" w:right="55"/>
        <w:jc w:val="right"/>
        <w:rPr>
          <w:rFonts w:ascii="仿宋_GB2312" w:eastAsia="仿宋_GB2312" w:hAnsi="仿宋_GB2312"/>
          <w:sz w:val="32"/>
        </w:rPr>
      </w:pPr>
      <w:r>
        <w:rPr>
          <w:rFonts w:ascii="仿宋_GB2312" w:eastAsia="仿宋_GB2312" w:hint="eastAsia"/>
          <w:sz w:val="32"/>
        </w:rPr>
        <w:t>202</w:t>
      </w:r>
      <w:r w:rsidR="001255C6">
        <w:rPr>
          <w:rFonts w:ascii="仿宋_GB2312" w:eastAsia="仿宋_GB2312" w:hint="eastAsia"/>
          <w:sz w:val="32"/>
        </w:rPr>
        <w:t>1</w:t>
      </w:r>
      <w:r w:rsidRPr="00E15F2F">
        <w:rPr>
          <w:rFonts w:ascii="仿宋_GB2312" w:eastAsia="仿宋_GB2312" w:hAnsi="仿宋_GB2312" w:hint="eastAsia"/>
          <w:sz w:val="32"/>
        </w:rPr>
        <w:t>年</w:t>
      </w:r>
      <w:r w:rsidR="008F1372">
        <w:rPr>
          <w:rFonts w:ascii="仿宋_GB2312" w:eastAsia="仿宋_GB2312" w:hAnsi="仿宋_GB2312" w:hint="eastAsia"/>
          <w:sz w:val="32"/>
        </w:rPr>
        <w:t>7</w:t>
      </w:r>
      <w:r w:rsidRPr="00E15F2F">
        <w:rPr>
          <w:rFonts w:ascii="仿宋_GB2312" w:eastAsia="仿宋_GB2312" w:hAnsi="仿宋_GB2312" w:hint="eastAsia"/>
          <w:sz w:val="32"/>
        </w:rPr>
        <w:t>月</w:t>
      </w:r>
      <w:r w:rsidR="008F1372">
        <w:rPr>
          <w:rFonts w:ascii="仿宋_GB2312" w:eastAsia="仿宋_GB2312" w:hAnsi="仿宋_GB2312" w:hint="eastAsia"/>
          <w:sz w:val="32"/>
        </w:rPr>
        <w:t>23</w:t>
      </w:r>
      <w:r w:rsidR="004E4ED9" w:rsidRPr="00E15F2F">
        <w:rPr>
          <w:rFonts w:ascii="仿宋_GB2312" w:eastAsia="仿宋_GB2312" w:hAnsi="仿宋_GB2312" w:hint="eastAsia"/>
          <w:sz w:val="32"/>
        </w:rPr>
        <w:t>日</w:t>
      </w:r>
    </w:p>
    <w:p w:rsidR="008A7620" w:rsidRDefault="008A7620">
      <w:pPr>
        <w:widowControl/>
        <w:jc w:val="left"/>
        <w:rPr>
          <w:rFonts w:ascii="仿宋_GB2312" w:eastAsia="仿宋_GB2312" w:hAnsi="仿宋_GB2312"/>
          <w:sz w:val="32"/>
        </w:rPr>
      </w:pPr>
      <w:r>
        <w:rPr>
          <w:rFonts w:ascii="仿宋_GB2312" w:eastAsia="仿宋_GB2312" w:hAnsi="仿宋_GB2312"/>
          <w:sz w:val="32"/>
        </w:rPr>
        <w:br w:type="page"/>
      </w:r>
    </w:p>
    <w:tbl>
      <w:tblPr>
        <w:tblStyle w:val="aa"/>
        <w:tblpPr w:leftFromText="180" w:rightFromText="180" w:vertAnchor="page" w:horzAnchor="margin" w:tblpY="2660"/>
        <w:tblW w:w="0" w:type="auto"/>
        <w:tblLook w:val="04A0"/>
      </w:tblPr>
      <w:tblGrid>
        <w:gridCol w:w="817"/>
        <w:gridCol w:w="4394"/>
        <w:gridCol w:w="3311"/>
      </w:tblGrid>
      <w:tr w:rsidR="008A7620" w:rsidTr="00AC73A5">
        <w:tc>
          <w:tcPr>
            <w:tcW w:w="817" w:type="dxa"/>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序号</w:t>
            </w:r>
          </w:p>
        </w:tc>
        <w:tc>
          <w:tcPr>
            <w:tcW w:w="4394" w:type="dxa"/>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基金全称</w:t>
            </w:r>
          </w:p>
        </w:tc>
        <w:tc>
          <w:tcPr>
            <w:tcW w:w="3311" w:type="dxa"/>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托管人</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1</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东兴改革精选灵活配置混合型证券投资基金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中国农业银行股份有限公司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2</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东兴蓝海财富灵活配置混合型证券投资基金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中国农业银行股份有限公司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3</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东兴兴利债券型证券投资基金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中国农业银行股份有限公司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4</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东兴兴福一年定期开放债券型证券投资基金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中泰证券股份有限公司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5</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东兴兴财短债债券型证券投资基金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招商银行股份有限公司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6</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东兴鑫远三年定期开放债券型证券投资基金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招商银行股份有限公司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7</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东兴未来价值灵活配置混合型证券投资基金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兴业银行股份有限公司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8</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东兴量化优享灵活配置混合型证券投资基金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兴业银行股份有限公司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9</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东兴兴瑞一年定期开放债券型证券投资基金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中国民生银行股份有限公司</w:t>
            </w:r>
          </w:p>
        </w:tc>
      </w:tr>
      <w:tr w:rsidR="00A30EC0" w:rsidTr="00FE16D5">
        <w:tc>
          <w:tcPr>
            <w:tcW w:w="817" w:type="dxa"/>
            <w:vAlign w:val="bottom"/>
          </w:tcPr>
          <w:p w:rsidR="00A30EC0" w:rsidRPr="005B5737" w:rsidRDefault="00A30EC0" w:rsidP="00A30EC0">
            <w:pPr>
              <w:ind w:rightChars="26" w:right="55"/>
              <w:jc w:val="center"/>
              <w:rPr>
                <w:rFonts w:ascii="仿宋_GB2312" w:eastAsia="仿宋_GB2312" w:hAnsi="宋体"/>
                <w:szCs w:val="21"/>
              </w:rPr>
            </w:pPr>
            <w:r w:rsidRPr="005B5737">
              <w:rPr>
                <w:rFonts w:ascii="仿宋_GB2312" w:eastAsia="仿宋_GB2312" w:hAnsi="宋体"/>
                <w:szCs w:val="21"/>
              </w:rPr>
              <w:t>10</w:t>
            </w:r>
          </w:p>
        </w:tc>
        <w:tc>
          <w:tcPr>
            <w:tcW w:w="4394" w:type="dxa"/>
          </w:tcPr>
          <w:p w:rsidR="00A30EC0" w:rsidRPr="00A30EC0" w:rsidRDefault="00A30EC0" w:rsidP="00A30EC0">
            <w:pPr>
              <w:jc w:val="center"/>
              <w:rPr>
                <w:rFonts w:ascii="仿宋_GB2312" w:eastAsia="仿宋_GB2312" w:hAnsi="宋体"/>
                <w:szCs w:val="21"/>
              </w:rPr>
            </w:pPr>
            <w:r w:rsidRPr="00A30EC0">
              <w:rPr>
                <w:rFonts w:ascii="仿宋_GB2312" w:eastAsia="仿宋_GB2312" w:hAnsi="宋体" w:hint="eastAsia"/>
                <w:szCs w:val="21"/>
              </w:rPr>
              <w:t>东兴中证消费50指数证券投资基金</w:t>
            </w:r>
          </w:p>
        </w:tc>
        <w:tc>
          <w:tcPr>
            <w:tcW w:w="3311" w:type="dxa"/>
          </w:tcPr>
          <w:p w:rsidR="00A30EC0" w:rsidRPr="00A30EC0" w:rsidRDefault="00A30EC0" w:rsidP="00A30EC0">
            <w:pPr>
              <w:jc w:val="center"/>
              <w:rPr>
                <w:rFonts w:ascii="仿宋_GB2312" w:eastAsia="仿宋_GB2312" w:hAnsi="宋体"/>
                <w:szCs w:val="21"/>
              </w:rPr>
            </w:pPr>
            <w:r w:rsidRPr="00A30EC0">
              <w:rPr>
                <w:rFonts w:ascii="仿宋_GB2312" w:eastAsia="仿宋_GB2312" w:hAnsi="宋体" w:hint="eastAsia"/>
                <w:szCs w:val="21"/>
              </w:rPr>
              <w:t>浙商银行股份有限公司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1</w:t>
            </w:r>
            <w:r w:rsidRPr="005B5737">
              <w:rPr>
                <w:rFonts w:ascii="仿宋_GB2312" w:eastAsia="仿宋_GB2312" w:hAnsi="宋体" w:hint="eastAsia"/>
                <w:szCs w:val="21"/>
              </w:rPr>
              <w:t>1</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东兴品牌精选灵活配置混合型证券投资基金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上海浦东发展银行股份有限公司</w:t>
            </w:r>
          </w:p>
        </w:tc>
      </w:tr>
      <w:tr w:rsidR="008A7620" w:rsidTr="00AC73A5">
        <w:tc>
          <w:tcPr>
            <w:tcW w:w="817"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12</w:t>
            </w:r>
          </w:p>
        </w:tc>
        <w:tc>
          <w:tcPr>
            <w:tcW w:w="4394"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东兴兴晟混合型证券投资基金</w:t>
            </w:r>
          </w:p>
        </w:tc>
        <w:tc>
          <w:tcPr>
            <w:tcW w:w="3311" w:type="dxa"/>
            <w:vAlign w:val="bottom"/>
          </w:tcPr>
          <w:p w:rsidR="008A7620" w:rsidRPr="005B5737" w:rsidRDefault="008A7620" w:rsidP="00AC73A5">
            <w:pPr>
              <w:ind w:rightChars="26" w:right="55"/>
              <w:jc w:val="center"/>
              <w:rPr>
                <w:rFonts w:ascii="仿宋_GB2312" w:eastAsia="仿宋_GB2312" w:hAnsi="宋体"/>
                <w:szCs w:val="21"/>
              </w:rPr>
            </w:pPr>
            <w:r w:rsidRPr="005B5737">
              <w:rPr>
                <w:rFonts w:ascii="仿宋_GB2312" w:eastAsia="仿宋_GB2312" w:hAnsi="宋体"/>
                <w:szCs w:val="21"/>
              </w:rPr>
              <w:t>浙商银行股份有限公司</w:t>
            </w:r>
          </w:p>
        </w:tc>
      </w:tr>
    </w:tbl>
    <w:p w:rsidR="008A7620" w:rsidRDefault="00AC73A5" w:rsidP="008A7620">
      <w:pPr>
        <w:ind w:rightChars="26" w:right="55"/>
        <w:jc w:val="left"/>
        <w:rPr>
          <w:rFonts w:ascii="仿宋_GB2312" w:eastAsia="仿宋_GB2312" w:hAnsi="宋体"/>
          <w:sz w:val="32"/>
        </w:rPr>
      </w:pPr>
      <w:r w:rsidRPr="00AC73A5">
        <w:rPr>
          <w:rFonts w:ascii="仿宋_GB2312" w:eastAsia="仿宋_GB2312" w:hAnsi="宋体" w:hint="eastAsia"/>
          <w:sz w:val="32"/>
        </w:rPr>
        <w:t>附：本次修改的基金名单</w:t>
      </w:r>
      <w:r w:rsidRPr="00AC73A5">
        <w:rPr>
          <w:rFonts w:ascii="仿宋_GB2312" w:eastAsia="仿宋_GB2312" w:hAnsi="宋体" w:hint="eastAsia"/>
          <w:sz w:val="32"/>
        </w:rPr>
        <w:cr/>
      </w:r>
    </w:p>
    <w:p w:rsidR="008A7620" w:rsidRPr="008A7620" w:rsidRDefault="008A7620" w:rsidP="00D27B2B">
      <w:pPr>
        <w:widowControl/>
        <w:jc w:val="left"/>
        <w:rPr>
          <w:rFonts w:ascii="仿宋_GB2312" w:eastAsia="仿宋_GB2312" w:hAnsi="宋体"/>
          <w:sz w:val="32"/>
        </w:rPr>
      </w:pPr>
    </w:p>
    <w:sectPr w:rsidR="008A7620" w:rsidRPr="008A7620" w:rsidSect="0018290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74A81" w16cid:durableId="223828A3"/>
  <w16cid:commentId w16cid:paraId="11E6885F" w16cid:durableId="22377F3E"/>
  <w16cid:commentId w16cid:paraId="684B0930" w16cid:durableId="223780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4DD" w:rsidRDefault="00F674DD" w:rsidP="00696629">
      <w:r>
        <w:separator/>
      </w:r>
    </w:p>
  </w:endnote>
  <w:endnote w:type="continuationSeparator" w:id="0">
    <w:p w:rsidR="00F674DD" w:rsidRDefault="00F674DD" w:rsidP="00696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4DD" w:rsidRDefault="00F674DD" w:rsidP="00696629">
      <w:r>
        <w:separator/>
      </w:r>
    </w:p>
  </w:footnote>
  <w:footnote w:type="continuationSeparator" w:id="0">
    <w:p w:rsidR="00F674DD" w:rsidRDefault="00F674DD" w:rsidP="00696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73AD66"/>
    <w:multiLevelType w:val="singleLevel"/>
    <w:tmpl w:val="B073AD66"/>
    <w:lvl w:ilvl="0">
      <w:start w:val="2"/>
      <w:numFmt w:val="decimal"/>
      <w:suff w:val="nothing"/>
      <w:lvlText w:val="%1、"/>
      <w:lvlJc w:val="left"/>
    </w:lvl>
  </w:abstractNum>
  <w:abstractNum w:abstractNumId="1">
    <w:nsid w:val="0A72581F"/>
    <w:multiLevelType w:val="hybridMultilevel"/>
    <w:tmpl w:val="7740695C"/>
    <w:lvl w:ilvl="0" w:tplc="CB36863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2064250"/>
    <w:multiLevelType w:val="hybridMultilevel"/>
    <w:tmpl w:val="96A6F0C2"/>
    <w:lvl w:ilvl="0" w:tplc="EA787DF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8997FE8"/>
    <w:multiLevelType w:val="hybridMultilevel"/>
    <w:tmpl w:val="07EE709C"/>
    <w:lvl w:ilvl="0" w:tplc="D79C3C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玉丰">
    <w15:presenceInfo w15:providerId="None" w15:userId="王玉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2043CF"/>
    <w:rsid w:val="000069CB"/>
    <w:rsid w:val="00036E96"/>
    <w:rsid w:val="00101AD2"/>
    <w:rsid w:val="001255C6"/>
    <w:rsid w:val="0014255D"/>
    <w:rsid w:val="00146A0D"/>
    <w:rsid w:val="001770EE"/>
    <w:rsid w:val="00182903"/>
    <w:rsid w:val="00194156"/>
    <w:rsid w:val="001E2572"/>
    <w:rsid w:val="002045E1"/>
    <w:rsid w:val="002405A2"/>
    <w:rsid w:val="002721C6"/>
    <w:rsid w:val="002E2A10"/>
    <w:rsid w:val="002E5374"/>
    <w:rsid w:val="00306C34"/>
    <w:rsid w:val="00311781"/>
    <w:rsid w:val="003472D9"/>
    <w:rsid w:val="00372EDD"/>
    <w:rsid w:val="003A34F9"/>
    <w:rsid w:val="0042674B"/>
    <w:rsid w:val="004421EB"/>
    <w:rsid w:val="00471912"/>
    <w:rsid w:val="004E4ED9"/>
    <w:rsid w:val="00536898"/>
    <w:rsid w:val="00587BAC"/>
    <w:rsid w:val="005B5737"/>
    <w:rsid w:val="005C4775"/>
    <w:rsid w:val="0062492D"/>
    <w:rsid w:val="00685EB9"/>
    <w:rsid w:val="00686671"/>
    <w:rsid w:val="00696629"/>
    <w:rsid w:val="006A3770"/>
    <w:rsid w:val="006D4A0A"/>
    <w:rsid w:val="006D7F10"/>
    <w:rsid w:val="006F792D"/>
    <w:rsid w:val="00723D3B"/>
    <w:rsid w:val="007323FA"/>
    <w:rsid w:val="007326EC"/>
    <w:rsid w:val="00755749"/>
    <w:rsid w:val="007A7FB8"/>
    <w:rsid w:val="00863183"/>
    <w:rsid w:val="008645A0"/>
    <w:rsid w:val="00871F6F"/>
    <w:rsid w:val="008809A7"/>
    <w:rsid w:val="008A54D2"/>
    <w:rsid w:val="008A7620"/>
    <w:rsid w:val="008C0F5A"/>
    <w:rsid w:val="008F1372"/>
    <w:rsid w:val="009141E1"/>
    <w:rsid w:val="0093267C"/>
    <w:rsid w:val="009B1B0B"/>
    <w:rsid w:val="009C63D5"/>
    <w:rsid w:val="00A30EC0"/>
    <w:rsid w:val="00A32C9B"/>
    <w:rsid w:val="00A47C01"/>
    <w:rsid w:val="00A5661B"/>
    <w:rsid w:val="00A97BE8"/>
    <w:rsid w:val="00AC73A5"/>
    <w:rsid w:val="00B331DA"/>
    <w:rsid w:val="00B4741A"/>
    <w:rsid w:val="00B70491"/>
    <w:rsid w:val="00B8496A"/>
    <w:rsid w:val="00BB3632"/>
    <w:rsid w:val="00BD78F5"/>
    <w:rsid w:val="00C15288"/>
    <w:rsid w:val="00C20084"/>
    <w:rsid w:val="00C65FE3"/>
    <w:rsid w:val="00C77ECF"/>
    <w:rsid w:val="00C80CFE"/>
    <w:rsid w:val="00D21869"/>
    <w:rsid w:val="00D27B2B"/>
    <w:rsid w:val="00DB3A18"/>
    <w:rsid w:val="00DD3866"/>
    <w:rsid w:val="00DD6119"/>
    <w:rsid w:val="00DD7FBF"/>
    <w:rsid w:val="00E15F2F"/>
    <w:rsid w:val="00E6445E"/>
    <w:rsid w:val="00EE58B6"/>
    <w:rsid w:val="00EF5B4A"/>
    <w:rsid w:val="00F674DD"/>
    <w:rsid w:val="00FE494F"/>
    <w:rsid w:val="00FF2EE8"/>
    <w:rsid w:val="028E7C17"/>
    <w:rsid w:val="1F2105EA"/>
    <w:rsid w:val="252043CF"/>
    <w:rsid w:val="31C647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20"/>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182903"/>
    <w:rPr>
      <w:color w:val="000000"/>
      <w:sz w:val="24"/>
      <w:szCs w:val="24"/>
    </w:rPr>
  </w:style>
  <w:style w:type="paragraph" w:styleId="a3">
    <w:name w:val="header"/>
    <w:basedOn w:val="a"/>
    <w:link w:val="Char"/>
    <w:rsid w:val="00696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6629"/>
    <w:rPr>
      <w:rFonts w:ascii="Calibri" w:hAnsi="Calibri"/>
      <w:kern w:val="2"/>
      <w:sz w:val="18"/>
      <w:szCs w:val="18"/>
    </w:rPr>
  </w:style>
  <w:style w:type="paragraph" w:styleId="a4">
    <w:name w:val="footer"/>
    <w:basedOn w:val="a"/>
    <w:link w:val="Char0"/>
    <w:rsid w:val="00696629"/>
    <w:pPr>
      <w:tabs>
        <w:tab w:val="center" w:pos="4153"/>
        <w:tab w:val="right" w:pos="8306"/>
      </w:tabs>
      <w:snapToGrid w:val="0"/>
      <w:jc w:val="left"/>
    </w:pPr>
    <w:rPr>
      <w:sz w:val="18"/>
      <w:szCs w:val="18"/>
    </w:rPr>
  </w:style>
  <w:style w:type="character" w:customStyle="1" w:styleId="Char0">
    <w:name w:val="页脚 Char"/>
    <w:basedOn w:val="a0"/>
    <w:link w:val="a4"/>
    <w:rsid w:val="00696629"/>
    <w:rPr>
      <w:rFonts w:ascii="Calibri" w:hAnsi="Calibri"/>
      <w:kern w:val="2"/>
      <w:sz w:val="18"/>
      <w:szCs w:val="18"/>
    </w:rPr>
  </w:style>
  <w:style w:type="paragraph" w:styleId="a5">
    <w:name w:val="Balloon Text"/>
    <w:basedOn w:val="a"/>
    <w:link w:val="Char1"/>
    <w:rsid w:val="00696629"/>
    <w:rPr>
      <w:sz w:val="18"/>
      <w:szCs w:val="18"/>
    </w:rPr>
  </w:style>
  <w:style w:type="character" w:customStyle="1" w:styleId="Char1">
    <w:name w:val="批注框文本 Char"/>
    <w:basedOn w:val="a0"/>
    <w:link w:val="a5"/>
    <w:rsid w:val="00696629"/>
    <w:rPr>
      <w:rFonts w:ascii="Calibri" w:hAnsi="Calibri"/>
      <w:kern w:val="2"/>
      <w:sz w:val="18"/>
      <w:szCs w:val="18"/>
    </w:rPr>
  </w:style>
  <w:style w:type="paragraph" w:styleId="1">
    <w:name w:val="toc 1"/>
    <w:basedOn w:val="a"/>
    <w:next w:val="a"/>
    <w:autoRedefine/>
    <w:uiPriority w:val="39"/>
    <w:unhideWhenUsed/>
    <w:rsid w:val="00C20084"/>
    <w:pPr>
      <w:tabs>
        <w:tab w:val="right" w:leader="dot" w:pos="8296"/>
      </w:tabs>
      <w:spacing w:line="360" w:lineRule="auto"/>
    </w:pPr>
    <w:rPr>
      <w:rFonts w:ascii="仿宋_GB2312" w:eastAsia="仿宋_GB2312" w:hAnsi="宋体"/>
      <w:b/>
      <w:sz w:val="32"/>
    </w:rPr>
  </w:style>
  <w:style w:type="character" w:styleId="a6">
    <w:name w:val="annotation reference"/>
    <w:basedOn w:val="a0"/>
    <w:semiHidden/>
    <w:unhideWhenUsed/>
    <w:rsid w:val="00311781"/>
    <w:rPr>
      <w:sz w:val="21"/>
      <w:szCs w:val="21"/>
    </w:rPr>
  </w:style>
  <w:style w:type="paragraph" w:styleId="a7">
    <w:name w:val="annotation text"/>
    <w:basedOn w:val="a"/>
    <w:link w:val="Char2"/>
    <w:semiHidden/>
    <w:unhideWhenUsed/>
    <w:rsid w:val="00311781"/>
    <w:pPr>
      <w:jc w:val="left"/>
    </w:pPr>
  </w:style>
  <w:style w:type="character" w:customStyle="1" w:styleId="Char2">
    <w:name w:val="批注文字 Char"/>
    <w:basedOn w:val="a0"/>
    <w:link w:val="a7"/>
    <w:semiHidden/>
    <w:rsid w:val="00311781"/>
    <w:rPr>
      <w:rFonts w:ascii="Calibri" w:hAnsi="Calibri"/>
      <w:kern w:val="2"/>
      <w:sz w:val="21"/>
    </w:rPr>
  </w:style>
  <w:style w:type="paragraph" w:styleId="a8">
    <w:name w:val="annotation subject"/>
    <w:basedOn w:val="a7"/>
    <w:next w:val="a7"/>
    <w:link w:val="Char3"/>
    <w:semiHidden/>
    <w:unhideWhenUsed/>
    <w:rsid w:val="00311781"/>
    <w:rPr>
      <w:b/>
      <w:bCs/>
    </w:rPr>
  </w:style>
  <w:style w:type="character" w:customStyle="1" w:styleId="Char3">
    <w:name w:val="批注主题 Char"/>
    <w:basedOn w:val="Char2"/>
    <w:link w:val="a8"/>
    <w:semiHidden/>
    <w:rsid w:val="00311781"/>
    <w:rPr>
      <w:rFonts w:ascii="Calibri" w:hAnsi="Calibri"/>
      <w:b/>
      <w:bCs/>
      <w:kern w:val="2"/>
      <w:sz w:val="21"/>
    </w:rPr>
  </w:style>
  <w:style w:type="paragraph" w:styleId="a9">
    <w:name w:val="List Paragraph"/>
    <w:basedOn w:val="a"/>
    <w:uiPriority w:val="99"/>
    <w:rsid w:val="001E2572"/>
    <w:pPr>
      <w:ind w:firstLineChars="200" w:firstLine="420"/>
    </w:pPr>
  </w:style>
  <w:style w:type="table" w:styleId="aa">
    <w:name w:val="Table Grid"/>
    <w:basedOn w:val="a1"/>
    <w:unhideWhenUsed/>
    <w:rsid w:val="008A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89067">
      <w:bodyDiv w:val="1"/>
      <w:marLeft w:val="0"/>
      <w:marRight w:val="0"/>
      <w:marTop w:val="0"/>
      <w:marBottom w:val="0"/>
      <w:divBdr>
        <w:top w:val="none" w:sz="0" w:space="0" w:color="auto"/>
        <w:left w:val="none" w:sz="0" w:space="0" w:color="auto"/>
        <w:bottom w:val="none" w:sz="0" w:space="0" w:color="auto"/>
        <w:right w:val="none" w:sz="0" w:space="0" w:color="auto"/>
      </w:divBdr>
    </w:div>
    <w:div w:id="601761735">
      <w:bodyDiv w:val="1"/>
      <w:marLeft w:val="0"/>
      <w:marRight w:val="0"/>
      <w:marTop w:val="0"/>
      <w:marBottom w:val="0"/>
      <w:divBdr>
        <w:top w:val="none" w:sz="0" w:space="0" w:color="auto"/>
        <w:left w:val="none" w:sz="0" w:space="0" w:color="auto"/>
        <w:bottom w:val="none" w:sz="0" w:space="0" w:color="auto"/>
        <w:right w:val="none" w:sz="0" w:space="0" w:color="auto"/>
      </w:divBdr>
    </w:div>
    <w:div w:id="620453687">
      <w:bodyDiv w:val="1"/>
      <w:marLeft w:val="0"/>
      <w:marRight w:val="0"/>
      <w:marTop w:val="0"/>
      <w:marBottom w:val="0"/>
      <w:divBdr>
        <w:top w:val="none" w:sz="0" w:space="0" w:color="auto"/>
        <w:left w:val="none" w:sz="0" w:space="0" w:color="auto"/>
        <w:bottom w:val="none" w:sz="0" w:space="0" w:color="auto"/>
        <w:right w:val="none" w:sz="0" w:space="0" w:color="auto"/>
      </w:divBdr>
    </w:div>
    <w:div w:id="772633175">
      <w:bodyDiv w:val="1"/>
      <w:marLeft w:val="0"/>
      <w:marRight w:val="0"/>
      <w:marTop w:val="0"/>
      <w:marBottom w:val="0"/>
      <w:divBdr>
        <w:top w:val="none" w:sz="0" w:space="0" w:color="auto"/>
        <w:left w:val="none" w:sz="0" w:space="0" w:color="auto"/>
        <w:bottom w:val="none" w:sz="0" w:space="0" w:color="auto"/>
        <w:right w:val="none" w:sz="0" w:space="0" w:color="auto"/>
      </w:divBdr>
    </w:div>
    <w:div w:id="950434234">
      <w:bodyDiv w:val="1"/>
      <w:marLeft w:val="0"/>
      <w:marRight w:val="0"/>
      <w:marTop w:val="0"/>
      <w:marBottom w:val="0"/>
      <w:divBdr>
        <w:top w:val="none" w:sz="0" w:space="0" w:color="auto"/>
        <w:left w:val="none" w:sz="0" w:space="0" w:color="auto"/>
        <w:bottom w:val="none" w:sz="0" w:space="0" w:color="auto"/>
        <w:right w:val="none" w:sz="0" w:space="0" w:color="auto"/>
      </w:divBdr>
    </w:div>
    <w:div w:id="960309199">
      <w:bodyDiv w:val="1"/>
      <w:marLeft w:val="0"/>
      <w:marRight w:val="0"/>
      <w:marTop w:val="0"/>
      <w:marBottom w:val="0"/>
      <w:divBdr>
        <w:top w:val="none" w:sz="0" w:space="0" w:color="auto"/>
        <w:left w:val="none" w:sz="0" w:space="0" w:color="auto"/>
        <w:bottom w:val="none" w:sz="0" w:space="0" w:color="auto"/>
        <w:right w:val="none" w:sz="0" w:space="0" w:color="auto"/>
      </w:divBdr>
    </w:div>
    <w:div w:id="1167013849">
      <w:bodyDiv w:val="1"/>
      <w:marLeft w:val="0"/>
      <w:marRight w:val="0"/>
      <w:marTop w:val="0"/>
      <w:marBottom w:val="0"/>
      <w:divBdr>
        <w:top w:val="none" w:sz="0" w:space="0" w:color="auto"/>
        <w:left w:val="none" w:sz="0" w:space="0" w:color="auto"/>
        <w:bottom w:val="none" w:sz="0" w:space="0" w:color="auto"/>
        <w:right w:val="none" w:sz="0" w:space="0" w:color="auto"/>
      </w:divBdr>
    </w:div>
    <w:div w:id="1261375884">
      <w:bodyDiv w:val="1"/>
      <w:marLeft w:val="0"/>
      <w:marRight w:val="0"/>
      <w:marTop w:val="0"/>
      <w:marBottom w:val="0"/>
      <w:divBdr>
        <w:top w:val="none" w:sz="0" w:space="0" w:color="auto"/>
        <w:left w:val="none" w:sz="0" w:space="0" w:color="auto"/>
        <w:bottom w:val="none" w:sz="0" w:space="0" w:color="auto"/>
        <w:right w:val="none" w:sz="0" w:space="0" w:color="auto"/>
      </w:divBdr>
    </w:div>
    <w:div w:id="177859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2875</Characters>
  <Application>Microsoft Office Word</Application>
  <DocSecurity>4</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刘世杰</dc:creator>
  <cp:lastModifiedBy>ZHONGM</cp:lastModifiedBy>
  <cp:revision>2</cp:revision>
  <dcterms:created xsi:type="dcterms:W3CDTF">2021-07-22T16:03:00Z</dcterms:created>
  <dcterms:modified xsi:type="dcterms:W3CDTF">2021-07-22T16:03:00Z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