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C2" w:rsidRDefault="00C168C2"/>
    <w:p w:rsidR="002332C1" w:rsidRDefault="002332C1" w:rsidP="002332C1">
      <w:pPr>
        <w:jc w:val="center"/>
        <w:rPr>
          <w:rFonts w:ascii="宋体" w:eastAsia="宋体" w:hAnsi="宋体"/>
          <w:b/>
          <w:sz w:val="28"/>
        </w:rPr>
      </w:pPr>
      <w:r w:rsidRPr="002332C1">
        <w:rPr>
          <w:rFonts w:ascii="宋体" w:eastAsia="宋体" w:hAnsi="宋体" w:hint="eastAsia"/>
          <w:b/>
          <w:sz w:val="28"/>
        </w:rPr>
        <w:t>博时裕丰纯债3个月定期开放债券型发起式证券投资基金分红公告</w:t>
      </w:r>
    </w:p>
    <w:p w:rsidR="002332C1" w:rsidRDefault="002332C1" w:rsidP="002332C1">
      <w:pPr>
        <w:jc w:val="center"/>
        <w:rPr>
          <w:rFonts w:ascii="宋体" w:eastAsia="宋体" w:hAnsi="宋体"/>
          <w:b/>
          <w:sz w:val="24"/>
        </w:rPr>
      </w:pPr>
      <w:r w:rsidRPr="002332C1">
        <w:rPr>
          <w:rFonts w:ascii="宋体" w:eastAsia="宋体" w:hAnsi="宋体" w:hint="eastAsia"/>
          <w:b/>
          <w:sz w:val="24"/>
        </w:rPr>
        <w:t>公告送出日期：</w:t>
      </w:r>
      <w:r w:rsidRPr="002332C1">
        <w:rPr>
          <w:rFonts w:ascii="宋体" w:eastAsia="宋体" w:hAnsi="宋体"/>
          <w:b/>
          <w:sz w:val="24"/>
        </w:rPr>
        <w:t>2021年7月23日</w:t>
      </w:r>
    </w:p>
    <w:p w:rsidR="002332C1" w:rsidRDefault="002332C1" w:rsidP="002332C1">
      <w:pPr>
        <w:jc w:val="center"/>
        <w:rPr>
          <w:rFonts w:ascii="宋体" w:eastAsia="宋体" w:hAnsi="宋体"/>
          <w:b/>
          <w:sz w:val="24"/>
        </w:rPr>
      </w:pPr>
    </w:p>
    <w:p w:rsidR="002332C1" w:rsidRDefault="002332C1" w:rsidP="002332C1">
      <w:pPr>
        <w:pStyle w:val="3"/>
        <w:rPr>
          <w:rFonts w:ascii="宋体" w:eastAsia="宋体" w:hAnsi="宋体"/>
          <w:sz w:val="21"/>
        </w:rPr>
      </w:pPr>
      <w:r>
        <w:rPr>
          <w:rFonts w:ascii="宋体" w:eastAsia="宋体" w:hAnsi="宋体"/>
          <w:sz w:val="21"/>
        </w:rPr>
        <w:t>1 公告基本信息</w:t>
      </w:r>
    </w:p>
    <w:tbl>
      <w:tblPr>
        <w:tblStyle w:val="a3"/>
        <w:tblW w:w="0" w:type="auto"/>
        <w:tblLook w:val="04A0"/>
      </w:tblPr>
      <w:tblGrid>
        <w:gridCol w:w="2840"/>
        <w:gridCol w:w="2841"/>
        <w:gridCol w:w="2841"/>
      </w:tblGrid>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基金名称</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博时裕丰纯债</w:t>
            </w:r>
            <w:r>
              <w:rPr>
                <w:rFonts w:ascii="宋体" w:eastAsia="宋体" w:hAnsi="宋体"/>
              </w:rPr>
              <w:t>3个月定期开放债券型发起式证券投资基金</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基金简称</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博时裕丰</w:t>
            </w:r>
            <w:r>
              <w:rPr>
                <w:rFonts w:ascii="宋体" w:eastAsia="宋体" w:hAnsi="宋体"/>
              </w:rPr>
              <w:t>3个月定开债发起式</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基金主代码</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rPr>
              <w:t>002109</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基金合同生效日</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rPr>
              <w:t>2015年11月25日</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基金管理人名称</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博时基金管理有限公司</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基金托管人名称</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恒丰银行股份有限公司</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公告依据</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《中华人民共和国证券投资基金法》、《公开募集证券投资基金运作管理办法》、《博时裕丰纯债</w:t>
            </w:r>
            <w:r>
              <w:rPr>
                <w:rFonts w:ascii="宋体" w:eastAsia="宋体" w:hAnsi="宋体"/>
              </w:rPr>
              <w:t>3个月定期开放债券型发起式证券投资基金基金合同》、《博时裕丰纯债3个月定期开放债券型发起式证券投资基金招募说明书》等</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收益分配基准日</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rPr>
              <w:t>2021年7月16日</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有关年度分红次数的说明</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hint="eastAsia"/>
              </w:rPr>
              <w:t>本次分红为</w:t>
            </w:r>
            <w:r>
              <w:rPr>
                <w:rFonts w:ascii="宋体" w:eastAsia="宋体" w:hAnsi="宋体"/>
              </w:rPr>
              <w:t>2021年度的第3次分红</w:t>
            </w:r>
          </w:p>
        </w:tc>
      </w:tr>
      <w:tr w:rsidR="002332C1" w:rsidTr="002332C1">
        <w:tc>
          <w:tcPr>
            <w:tcW w:w="2840" w:type="dxa"/>
            <w:vMerge w:val="restart"/>
            <w:vAlign w:val="center"/>
          </w:tcPr>
          <w:p w:rsidR="002332C1" w:rsidRPr="002332C1" w:rsidRDefault="002332C1" w:rsidP="002332C1">
            <w:pPr>
              <w:rPr>
                <w:rFonts w:ascii="宋体" w:eastAsia="宋体" w:hAnsi="宋体"/>
              </w:rPr>
            </w:pPr>
            <w:r>
              <w:rPr>
                <w:rFonts w:ascii="宋体" w:eastAsia="宋体" w:hAnsi="宋体" w:hint="eastAsia"/>
              </w:rPr>
              <w:t>截止收益分配基准日的相关指标</w:t>
            </w:r>
          </w:p>
        </w:tc>
        <w:tc>
          <w:tcPr>
            <w:tcW w:w="2841" w:type="dxa"/>
            <w:vAlign w:val="center"/>
          </w:tcPr>
          <w:p w:rsidR="002332C1" w:rsidRPr="002332C1" w:rsidRDefault="002332C1" w:rsidP="002332C1">
            <w:pPr>
              <w:rPr>
                <w:rFonts w:ascii="宋体" w:eastAsia="宋体" w:hAnsi="宋体"/>
              </w:rPr>
            </w:pPr>
            <w:r>
              <w:rPr>
                <w:rFonts w:ascii="宋体" w:eastAsia="宋体" w:hAnsi="宋体" w:hint="eastAsia"/>
              </w:rPr>
              <w:t>基准日基金份额净值（单位：元）</w:t>
            </w:r>
          </w:p>
        </w:tc>
        <w:tc>
          <w:tcPr>
            <w:tcW w:w="2841" w:type="dxa"/>
            <w:vAlign w:val="center"/>
          </w:tcPr>
          <w:p w:rsidR="002332C1" w:rsidRPr="002332C1" w:rsidRDefault="002332C1" w:rsidP="002332C1">
            <w:pPr>
              <w:rPr>
                <w:rFonts w:ascii="宋体" w:eastAsia="宋体" w:hAnsi="宋体"/>
              </w:rPr>
            </w:pPr>
            <w:r>
              <w:rPr>
                <w:rFonts w:ascii="宋体" w:eastAsia="宋体" w:hAnsi="宋体"/>
              </w:rPr>
              <w:t>1.0076</w:t>
            </w:r>
          </w:p>
        </w:tc>
      </w:tr>
      <w:tr w:rsidR="002332C1" w:rsidTr="002332C1">
        <w:tc>
          <w:tcPr>
            <w:tcW w:w="2840" w:type="dxa"/>
            <w:vMerge/>
            <w:vAlign w:val="center"/>
          </w:tcPr>
          <w:p w:rsidR="002332C1" w:rsidRDefault="002332C1" w:rsidP="002332C1"/>
        </w:tc>
        <w:tc>
          <w:tcPr>
            <w:tcW w:w="2841" w:type="dxa"/>
            <w:vAlign w:val="center"/>
          </w:tcPr>
          <w:p w:rsidR="002332C1" w:rsidRPr="002332C1" w:rsidRDefault="002332C1" w:rsidP="002332C1">
            <w:pPr>
              <w:rPr>
                <w:rFonts w:ascii="宋体" w:eastAsia="宋体" w:hAnsi="宋体"/>
              </w:rPr>
            </w:pPr>
            <w:r>
              <w:rPr>
                <w:rFonts w:ascii="宋体" w:eastAsia="宋体" w:hAnsi="宋体" w:hint="eastAsia"/>
              </w:rPr>
              <w:t>基准日基金可供分配利润（单位：元）</w:t>
            </w:r>
          </w:p>
        </w:tc>
        <w:tc>
          <w:tcPr>
            <w:tcW w:w="2841" w:type="dxa"/>
            <w:vAlign w:val="center"/>
          </w:tcPr>
          <w:p w:rsidR="002332C1" w:rsidRPr="002332C1" w:rsidRDefault="002332C1" w:rsidP="002332C1">
            <w:pPr>
              <w:rPr>
                <w:rFonts w:ascii="宋体" w:eastAsia="宋体" w:hAnsi="宋体"/>
              </w:rPr>
            </w:pPr>
            <w:r>
              <w:rPr>
                <w:rFonts w:ascii="宋体" w:eastAsia="宋体" w:hAnsi="宋体"/>
              </w:rPr>
              <w:t>20,858,506.72</w:t>
            </w:r>
          </w:p>
        </w:tc>
      </w:tr>
      <w:tr w:rsidR="002332C1" w:rsidTr="002332C1">
        <w:tc>
          <w:tcPr>
            <w:tcW w:w="2840" w:type="dxa"/>
            <w:vMerge/>
            <w:vAlign w:val="center"/>
          </w:tcPr>
          <w:p w:rsidR="002332C1" w:rsidRDefault="002332C1" w:rsidP="002332C1"/>
        </w:tc>
        <w:tc>
          <w:tcPr>
            <w:tcW w:w="2841" w:type="dxa"/>
            <w:vAlign w:val="center"/>
          </w:tcPr>
          <w:p w:rsidR="002332C1" w:rsidRPr="002332C1" w:rsidRDefault="002332C1" w:rsidP="002332C1">
            <w:pPr>
              <w:rPr>
                <w:rFonts w:ascii="宋体" w:eastAsia="宋体" w:hAnsi="宋体"/>
              </w:rPr>
            </w:pPr>
            <w:r>
              <w:rPr>
                <w:rFonts w:ascii="宋体" w:eastAsia="宋体" w:hAnsi="宋体" w:hint="eastAsia"/>
              </w:rPr>
              <w:t>截止基准日按照基金合同约定的分红比例计算的应分配金额（单位：元）</w:t>
            </w:r>
          </w:p>
        </w:tc>
        <w:tc>
          <w:tcPr>
            <w:tcW w:w="2841" w:type="dxa"/>
            <w:vAlign w:val="center"/>
          </w:tcPr>
          <w:p w:rsidR="002332C1" w:rsidRPr="002332C1" w:rsidRDefault="002332C1" w:rsidP="002332C1">
            <w:pPr>
              <w:rPr>
                <w:rFonts w:ascii="宋体" w:eastAsia="宋体" w:hAnsi="宋体"/>
              </w:rPr>
            </w:pPr>
            <w:r>
              <w:rPr>
                <w:rFonts w:ascii="宋体" w:eastAsia="宋体" w:hAnsi="宋体"/>
              </w:rPr>
              <w:t>-</w:t>
            </w:r>
          </w:p>
        </w:tc>
      </w:tr>
      <w:tr w:rsidR="002332C1" w:rsidTr="002332C1">
        <w:tc>
          <w:tcPr>
            <w:tcW w:w="2840" w:type="dxa"/>
            <w:vAlign w:val="center"/>
          </w:tcPr>
          <w:p w:rsidR="002332C1" w:rsidRPr="002332C1" w:rsidRDefault="002332C1" w:rsidP="002332C1">
            <w:pPr>
              <w:rPr>
                <w:rFonts w:ascii="宋体" w:eastAsia="宋体" w:hAnsi="宋体"/>
              </w:rPr>
            </w:pPr>
            <w:r>
              <w:rPr>
                <w:rFonts w:ascii="宋体" w:eastAsia="宋体" w:hAnsi="宋体" w:hint="eastAsia"/>
              </w:rPr>
              <w:t>本次分红方案（单位：元</w:t>
            </w:r>
            <w:r>
              <w:rPr>
                <w:rFonts w:ascii="宋体" w:eastAsia="宋体" w:hAnsi="宋体"/>
              </w:rPr>
              <w:t>/10份基金份额）</w:t>
            </w:r>
          </w:p>
        </w:tc>
        <w:tc>
          <w:tcPr>
            <w:tcW w:w="5682" w:type="dxa"/>
            <w:gridSpan w:val="2"/>
            <w:vAlign w:val="center"/>
          </w:tcPr>
          <w:p w:rsidR="002332C1" w:rsidRPr="002332C1" w:rsidRDefault="002332C1" w:rsidP="002332C1">
            <w:pPr>
              <w:rPr>
                <w:rFonts w:ascii="宋体" w:eastAsia="宋体" w:hAnsi="宋体"/>
              </w:rPr>
            </w:pPr>
            <w:r>
              <w:rPr>
                <w:rFonts w:ascii="宋体" w:eastAsia="宋体" w:hAnsi="宋体"/>
              </w:rPr>
              <w:t>0.0700</w:t>
            </w:r>
          </w:p>
        </w:tc>
      </w:tr>
    </w:tbl>
    <w:p w:rsidR="002332C1" w:rsidRDefault="002332C1" w:rsidP="002332C1"/>
    <w:p w:rsidR="002332C1" w:rsidRDefault="002332C1" w:rsidP="002332C1">
      <w:pPr>
        <w:pStyle w:val="a4"/>
        <w:spacing w:before="0" w:beforeAutospacing="0" w:after="0" w:afterAutospacing="0" w:line="360" w:lineRule="auto"/>
        <w:ind w:firstLine="420"/>
        <w:divId w:val="993530367"/>
        <w:rPr>
          <w:sz w:val="21"/>
          <w:szCs w:val="21"/>
        </w:rPr>
      </w:pPr>
      <w:r w:rsidRPr="002332C1">
        <w:rPr>
          <w:rFonts w:hint="eastAsia"/>
          <w:sz w:val="21"/>
        </w:rPr>
        <w:t>注：</w:t>
      </w:r>
      <w:r>
        <w:rPr>
          <w:rFonts w:hint="eastAsia"/>
          <w:sz w:val="21"/>
          <w:szCs w:val="21"/>
        </w:rPr>
        <w:t> 本基金每10份基金份额发放红利0.0700元人民币 。 </w:t>
      </w:r>
    </w:p>
    <w:p w:rsidR="002332C1" w:rsidRDefault="002332C1" w:rsidP="002332C1">
      <w:pPr>
        <w:pStyle w:val="3"/>
        <w:divId w:val="993530367"/>
        <w:rPr>
          <w:rFonts w:ascii="宋体" w:eastAsia="宋体" w:hAnsi="宋体"/>
          <w:sz w:val="21"/>
        </w:rPr>
      </w:pPr>
      <w:r>
        <w:rPr>
          <w:rFonts w:ascii="宋体" w:eastAsia="宋体" w:hAnsi="宋体"/>
          <w:sz w:val="21"/>
        </w:rPr>
        <w:t>2 与分红相关的其他信息</w:t>
      </w:r>
    </w:p>
    <w:tbl>
      <w:tblPr>
        <w:tblStyle w:val="a3"/>
        <w:tblW w:w="0" w:type="auto"/>
        <w:tblLook w:val="04A0"/>
      </w:tblPr>
      <w:tblGrid>
        <w:gridCol w:w="2840"/>
        <w:gridCol w:w="5682"/>
      </w:tblGrid>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权益登记日</w:t>
            </w:r>
          </w:p>
        </w:tc>
        <w:tc>
          <w:tcPr>
            <w:tcW w:w="5682" w:type="dxa"/>
            <w:vAlign w:val="center"/>
          </w:tcPr>
          <w:p w:rsidR="002332C1" w:rsidRPr="002332C1" w:rsidRDefault="002332C1" w:rsidP="002332C1">
            <w:pPr>
              <w:rPr>
                <w:rFonts w:ascii="宋体" w:eastAsia="宋体" w:hAnsi="宋体"/>
              </w:rPr>
            </w:pPr>
            <w:r>
              <w:rPr>
                <w:rFonts w:ascii="宋体" w:eastAsia="宋体" w:hAnsi="宋体"/>
              </w:rPr>
              <w:t>2021年7月27日</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除息日</w:t>
            </w:r>
          </w:p>
        </w:tc>
        <w:tc>
          <w:tcPr>
            <w:tcW w:w="5682" w:type="dxa"/>
            <w:vAlign w:val="center"/>
          </w:tcPr>
          <w:p w:rsidR="002332C1" w:rsidRPr="002332C1" w:rsidRDefault="002332C1" w:rsidP="002332C1">
            <w:pPr>
              <w:rPr>
                <w:rFonts w:ascii="宋体" w:eastAsia="宋体" w:hAnsi="宋体"/>
              </w:rPr>
            </w:pPr>
            <w:r>
              <w:rPr>
                <w:rFonts w:ascii="宋体" w:eastAsia="宋体" w:hAnsi="宋体"/>
              </w:rPr>
              <w:t>2021年7月27日</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现金红利发放日</w:t>
            </w:r>
          </w:p>
        </w:tc>
        <w:tc>
          <w:tcPr>
            <w:tcW w:w="5682" w:type="dxa"/>
            <w:vAlign w:val="center"/>
          </w:tcPr>
          <w:p w:rsidR="002332C1" w:rsidRPr="002332C1" w:rsidRDefault="002332C1" w:rsidP="002332C1">
            <w:pPr>
              <w:rPr>
                <w:rFonts w:ascii="宋体" w:eastAsia="宋体" w:hAnsi="宋体"/>
              </w:rPr>
            </w:pPr>
            <w:r>
              <w:rPr>
                <w:rFonts w:ascii="宋体" w:eastAsia="宋体" w:hAnsi="宋体"/>
              </w:rPr>
              <w:t>2021年7月29日</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分红对象</w:t>
            </w:r>
          </w:p>
        </w:tc>
        <w:tc>
          <w:tcPr>
            <w:tcW w:w="5682" w:type="dxa"/>
            <w:vAlign w:val="center"/>
          </w:tcPr>
          <w:p w:rsidR="002332C1" w:rsidRPr="002332C1" w:rsidRDefault="002332C1" w:rsidP="002332C1">
            <w:pPr>
              <w:rPr>
                <w:rFonts w:ascii="宋体" w:eastAsia="宋体" w:hAnsi="宋体"/>
              </w:rPr>
            </w:pPr>
            <w:r>
              <w:rPr>
                <w:rFonts w:ascii="宋体" w:eastAsia="宋体" w:hAnsi="宋体" w:hint="eastAsia"/>
              </w:rPr>
              <w:t>权益登记日登记在册的本基金份额持有人</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红利再投资相关事项的说明</w:t>
            </w:r>
          </w:p>
        </w:tc>
        <w:tc>
          <w:tcPr>
            <w:tcW w:w="5682" w:type="dxa"/>
            <w:vAlign w:val="center"/>
          </w:tcPr>
          <w:p w:rsidR="002332C1" w:rsidRPr="002332C1" w:rsidRDefault="002332C1" w:rsidP="002332C1">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2021年7月27日的基金份额净值为计算基准确定再投资份额，红利再投资所转换的基金份额于2021年7月28日直接划入其基金账户，2021年7月29日起投资者可以查询、赎回。</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lastRenderedPageBreak/>
              <w:t>税收相关事项的说明</w:t>
            </w:r>
          </w:p>
        </w:tc>
        <w:tc>
          <w:tcPr>
            <w:tcW w:w="5682" w:type="dxa"/>
            <w:vAlign w:val="center"/>
          </w:tcPr>
          <w:p w:rsidR="002332C1" w:rsidRPr="002332C1" w:rsidRDefault="002332C1" w:rsidP="002332C1">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2332C1" w:rsidTr="002332C1">
        <w:trPr>
          <w:divId w:val="993530367"/>
        </w:trPr>
        <w:tc>
          <w:tcPr>
            <w:tcW w:w="2840" w:type="dxa"/>
            <w:vAlign w:val="center"/>
          </w:tcPr>
          <w:p w:rsidR="002332C1" w:rsidRPr="002332C1" w:rsidRDefault="002332C1" w:rsidP="002332C1">
            <w:pPr>
              <w:rPr>
                <w:rFonts w:ascii="宋体" w:eastAsia="宋体" w:hAnsi="宋体"/>
              </w:rPr>
            </w:pPr>
            <w:r>
              <w:rPr>
                <w:rFonts w:ascii="宋体" w:eastAsia="宋体" w:hAnsi="宋体" w:hint="eastAsia"/>
              </w:rPr>
              <w:t>费用相关事项的说明</w:t>
            </w:r>
          </w:p>
        </w:tc>
        <w:tc>
          <w:tcPr>
            <w:tcW w:w="5682" w:type="dxa"/>
            <w:vAlign w:val="center"/>
          </w:tcPr>
          <w:p w:rsidR="002332C1" w:rsidRPr="002332C1" w:rsidRDefault="002332C1" w:rsidP="002332C1">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2332C1" w:rsidRDefault="002332C1" w:rsidP="002332C1">
      <w:pPr>
        <w:divId w:val="993530367"/>
      </w:pPr>
    </w:p>
    <w:p w:rsidR="002332C1" w:rsidRDefault="002332C1" w:rsidP="002332C1">
      <w:pPr>
        <w:pStyle w:val="3"/>
        <w:divId w:val="993530367"/>
        <w:rPr>
          <w:rFonts w:ascii="宋体" w:eastAsia="宋体" w:hAnsi="宋体"/>
          <w:sz w:val="21"/>
        </w:rPr>
      </w:pPr>
      <w:r w:rsidRPr="002332C1">
        <w:rPr>
          <w:rFonts w:ascii="宋体" w:eastAsia="宋体" w:hAnsi="宋体" w:hint="eastAsia"/>
          <w:sz w:val="21"/>
        </w:rPr>
        <w:t>3 其他需要提示的事项</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（1）权益登记日申购或转换转入的基金份额不享有本次分红权益，赎回或转换转出的基金份额享有本次分红权益。 </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（2）对于未选择本基金具体分红方式的投资者，本基金默认的分红方式为现金红利方式。 </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2021年7月27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（4）若投资者选择红利再投资方式并在2021年7月27日申请赎回基金份额的，其账户余额（包括红利再投资份额）低于1份时，本基金将自动计算其分红收益，并与赎回款一起以现金形式支付。 </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（5）本基金份额持有人及希望了解本基金其他有关信息的投资者,可以登录本基金管理人网站（http://www.bosera.com）或拨打博时一线通95105568（免长途费）咨询相关事宜。 </w:t>
      </w:r>
    </w:p>
    <w:p w:rsidR="002332C1" w:rsidRDefault="002332C1">
      <w:pPr>
        <w:pStyle w:val="a4"/>
        <w:spacing w:before="0" w:beforeAutospacing="0" w:after="0" w:afterAutospacing="0" w:line="360" w:lineRule="auto"/>
        <w:ind w:firstLine="420"/>
        <w:divId w:val="2008630599"/>
        <w:rPr>
          <w:sz w:val="21"/>
          <w:szCs w:val="21"/>
        </w:rPr>
      </w:pPr>
      <w:r>
        <w:rPr>
          <w:rFonts w:hint="eastAsia"/>
          <w:sz w:val="21"/>
          <w:szCs w:val="21"/>
        </w:rPr>
        <w:t xml:space="preserve">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 </w:t>
      </w:r>
    </w:p>
    <w:p w:rsidR="002332C1" w:rsidRDefault="002332C1" w:rsidP="002332C1">
      <w:pPr>
        <w:pStyle w:val="a4"/>
        <w:spacing w:before="0" w:beforeAutospacing="0" w:after="0" w:afterAutospacing="0" w:line="360" w:lineRule="auto"/>
        <w:ind w:firstLine="420"/>
        <w:divId w:val="2008630599"/>
        <w:rPr>
          <w:sz w:val="21"/>
          <w:szCs w:val="21"/>
        </w:rPr>
      </w:pPr>
      <w:r>
        <w:rPr>
          <w:rFonts w:hint="eastAsia"/>
          <w:sz w:val="21"/>
          <w:szCs w:val="21"/>
        </w:rPr>
        <w:t xml:space="preserve">特此公告。 </w:t>
      </w:r>
    </w:p>
    <w:p w:rsidR="002332C1" w:rsidRDefault="002332C1" w:rsidP="002332C1">
      <w:pPr>
        <w:pStyle w:val="a4"/>
        <w:spacing w:before="0" w:beforeAutospacing="0" w:after="0" w:afterAutospacing="0" w:line="360" w:lineRule="auto"/>
        <w:ind w:firstLine="420"/>
        <w:divId w:val="2008630599"/>
        <w:rPr>
          <w:sz w:val="21"/>
          <w:szCs w:val="21"/>
        </w:rPr>
      </w:pPr>
    </w:p>
    <w:p w:rsidR="002332C1" w:rsidRDefault="002332C1" w:rsidP="002332C1">
      <w:pPr>
        <w:pStyle w:val="a4"/>
        <w:spacing w:before="0" w:beforeAutospacing="0" w:after="0" w:afterAutospacing="0" w:line="360" w:lineRule="auto"/>
        <w:ind w:firstLine="420"/>
        <w:divId w:val="2008630599"/>
        <w:rPr>
          <w:sz w:val="21"/>
          <w:szCs w:val="21"/>
        </w:rPr>
      </w:pPr>
    </w:p>
    <w:p w:rsidR="002332C1" w:rsidRDefault="002332C1" w:rsidP="002332C1">
      <w:pPr>
        <w:pStyle w:val="a4"/>
        <w:spacing w:before="0" w:beforeAutospacing="0" w:after="0" w:afterAutospacing="0" w:line="360" w:lineRule="auto"/>
        <w:ind w:firstLine="420"/>
        <w:divId w:val="2008630599"/>
        <w:rPr>
          <w:sz w:val="21"/>
          <w:szCs w:val="21"/>
        </w:rPr>
      </w:pPr>
    </w:p>
    <w:p w:rsidR="002332C1" w:rsidRDefault="002332C1" w:rsidP="002332C1">
      <w:pPr>
        <w:pStyle w:val="a4"/>
        <w:spacing w:before="0" w:beforeAutospacing="0" w:after="0" w:afterAutospacing="0" w:line="360" w:lineRule="auto"/>
        <w:ind w:firstLine="420"/>
        <w:jc w:val="right"/>
        <w:divId w:val="2008630599"/>
        <w:rPr>
          <w:sz w:val="21"/>
          <w:szCs w:val="21"/>
        </w:rPr>
      </w:pPr>
      <w:r w:rsidRPr="002332C1">
        <w:rPr>
          <w:rFonts w:hint="eastAsia"/>
          <w:sz w:val="21"/>
          <w:szCs w:val="21"/>
        </w:rPr>
        <w:lastRenderedPageBreak/>
        <w:t>博时基金管理有限公司</w:t>
      </w:r>
    </w:p>
    <w:p w:rsidR="002332C1" w:rsidRDefault="002332C1" w:rsidP="002332C1">
      <w:pPr>
        <w:pStyle w:val="a4"/>
        <w:spacing w:before="0" w:beforeAutospacing="0" w:after="0" w:afterAutospacing="0" w:line="360" w:lineRule="auto"/>
        <w:ind w:firstLine="420"/>
        <w:jc w:val="right"/>
        <w:divId w:val="2008630599"/>
        <w:rPr>
          <w:sz w:val="21"/>
          <w:szCs w:val="21"/>
        </w:rPr>
      </w:pPr>
      <w:r w:rsidRPr="002332C1">
        <w:rPr>
          <w:sz w:val="21"/>
          <w:szCs w:val="21"/>
        </w:rPr>
        <w:t>2021年7月23日</w:t>
      </w:r>
    </w:p>
    <w:p w:rsidR="002332C1" w:rsidRPr="002332C1" w:rsidRDefault="002332C1" w:rsidP="002332C1">
      <w:pPr>
        <w:pStyle w:val="a4"/>
        <w:spacing w:before="0" w:beforeAutospacing="0" w:after="0" w:afterAutospacing="0" w:line="360" w:lineRule="auto"/>
        <w:ind w:firstLine="420"/>
        <w:jc w:val="right"/>
        <w:divId w:val="2008630599"/>
        <w:rPr>
          <w:sz w:val="21"/>
          <w:szCs w:val="21"/>
        </w:rPr>
      </w:pPr>
    </w:p>
    <w:sectPr w:rsidR="002332C1" w:rsidRPr="002332C1" w:rsidSect="00A21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9B1" w:rsidRDefault="00C749B1" w:rsidP="00C749B1">
      <w:r>
        <w:separator/>
      </w:r>
    </w:p>
  </w:endnote>
  <w:endnote w:type="continuationSeparator" w:id="0">
    <w:p w:rsidR="00C749B1" w:rsidRDefault="00C749B1" w:rsidP="00C74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9B1" w:rsidRDefault="00C749B1" w:rsidP="00C749B1">
      <w:r>
        <w:separator/>
      </w:r>
    </w:p>
  </w:footnote>
  <w:footnote w:type="continuationSeparator" w:id="0">
    <w:p w:rsidR="00C749B1" w:rsidRDefault="00C749B1" w:rsidP="00C74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2C1"/>
    <w:rsid w:val="002332C1"/>
    <w:rsid w:val="00A21A1C"/>
    <w:rsid w:val="00C168C2"/>
    <w:rsid w:val="00C74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1C"/>
    <w:pPr>
      <w:widowControl w:val="0"/>
      <w:jc w:val="both"/>
    </w:pPr>
  </w:style>
  <w:style w:type="paragraph" w:styleId="3">
    <w:name w:val="heading 3"/>
    <w:basedOn w:val="a"/>
    <w:next w:val="a"/>
    <w:link w:val="3Char"/>
    <w:uiPriority w:val="9"/>
    <w:unhideWhenUsed/>
    <w:qFormat/>
    <w:rsid w:val="002332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332C1"/>
    <w:rPr>
      <w:b/>
      <w:bCs/>
      <w:sz w:val="32"/>
      <w:szCs w:val="32"/>
    </w:rPr>
  </w:style>
  <w:style w:type="table" w:styleId="a3">
    <w:name w:val="Table Grid"/>
    <w:basedOn w:val="a1"/>
    <w:uiPriority w:val="59"/>
    <w:rsid w:val="00233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332C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74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49B1"/>
    <w:rPr>
      <w:sz w:val="18"/>
      <w:szCs w:val="18"/>
    </w:rPr>
  </w:style>
  <w:style w:type="paragraph" w:styleId="a6">
    <w:name w:val="footer"/>
    <w:basedOn w:val="a"/>
    <w:link w:val="Char0"/>
    <w:uiPriority w:val="99"/>
    <w:semiHidden/>
    <w:unhideWhenUsed/>
    <w:rsid w:val="00C749B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749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332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332C1"/>
    <w:rPr>
      <w:b/>
      <w:bCs/>
      <w:sz w:val="32"/>
      <w:szCs w:val="32"/>
    </w:rPr>
  </w:style>
  <w:style w:type="table" w:styleId="a3">
    <w:name w:val="Table Grid"/>
    <w:basedOn w:val="a1"/>
    <w:uiPriority w:val="59"/>
    <w:rsid w:val="00233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332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3530367">
      <w:bodyDiv w:val="1"/>
      <w:marLeft w:val="0"/>
      <w:marRight w:val="0"/>
      <w:marTop w:val="0"/>
      <w:marBottom w:val="0"/>
      <w:divBdr>
        <w:top w:val="none" w:sz="0" w:space="0" w:color="auto"/>
        <w:left w:val="none" w:sz="0" w:space="0" w:color="auto"/>
        <w:bottom w:val="none" w:sz="0" w:space="0" w:color="auto"/>
        <w:right w:val="none" w:sz="0" w:space="0" w:color="auto"/>
      </w:divBdr>
      <w:divsChild>
        <w:div w:id="200863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4</DocSecurity>
  <Lines>11</Lines>
  <Paragraphs>3</Paragraphs>
  <ScaleCrop>false</ScaleCrop>
  <Company>mycompany</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2021-07-22T16:17:00Z</dcterms:created>
  <dcterms:modified xsi:type="dcterms:W3CDTF">2021-07-22T16:17:00Z</dcterms:modified>
</cp:coreProperties>
</file>