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50" w:rsidRDefault="00F17B98" w:rsidP="00A910E6">
      <w:pPr>
        <w:widowControl/>
        <w:adjustRightInd w:val="0"/>
        <w:snapToGrid w:val="0"/>
        <w:spacing w:beforeLines="100" w:afterLines="100"/>
        <w:jc w:val="center"/>
        <w:rPr>
          <w:rFonts w:eastAsia="宋体" w:cstheme="minorHAnsi"/>
          <w:b/>
          <w:color w:val="000000"/>
          <w:kern w:val="0"/>
          <w:sz w:val="28"/>
          <w:szCs w:val="28"/>
        </w:rPr>
      </w:pPr>
      <w:r>
        <w:rPr>
          <w:rFonts w:eastAsia="宋体" w:cstheme="minorHAnsi" w:hint="eastAsia"/>
          <w:b/>
          <w:color w:val="000000"/>
          <w:kern w:val="0"/>
          <w:sz w:val="28"/>
          <w:szCs w:val="28"/>
        </w:rPr>
        <w:t>中信保诚基金管理有限公司关于旗下部分基金增加侧袋机制并修改基金合同及托管协议的公告</w:t>
      </w: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根据《中华人民共和国证券投资基金法》、《公开募集证券投资基金运作管理办法》、《公开募集证券投资基金信息披露管理办法》、《公开募集证券投资基金侧袋机制指引（试行）》等法律法规的规定和各基金基金合同的约定，经与</w:t>
      </w:r>
      <w:r w:rsidR="004309C6">
        <w:rPr>
          <w:rFonts w:eastAsia="宋体" w:cstheme="minorHAnsi" w:hint="eastAsia"/>
          <w:kern w:val="0"/>
          <w:szCs w:val="21"/>
        </w:rPr>
        <w:t>各</w:t>
      </w:r>
      <w:r>
        <w:rPr>
          <w:rFonts w:eastAsia="宋体" w:cstheme="minorHAnsi" w:hint="eastAsia"/>
          <w:kern w:val="0"/>
          <w:szCs w:val="21"/>
        </w:rPr>
        <w:t>基金托管人协商一致，并报中国证监会备案，中信保诚基金管理有限公司（以下简称“本公司”或“基金管理人”）决定</w:t>
      </w:r>
      <w:bookmarkStart w:id="0" w:name="_GoBack"/>
      <w:bookmarkEnd w:id="0"/>
      <w:r>
        <w:rPr>
          <w:rFonts w:eastAsia="宋体" w:cstheme="minorHAnsi" w:hint="eastAsia"/>
          <w:kern w:val="0"/>
          <w:szCs w:val="21"/>
        </w:rPr>
        <w:t>自</w:t>
      </w:r>
      <w:r>
        <w:rPr>
          <w:rFonts w:eastAsia="宋体" w:cstheme="minorHAnsi" w:hint="eastAsia"/>
          <w:kern w:val="0"/>
          <w:szCs w:val="21"/>
        </w:rPr>
        <w:t>2021</w:t>
      </w:r>
      <w:r>
        <w:rPr>
          <w:rFonts w:eastAsia="宋体" w:cstheme="minorHAnsi" w:hint="eastAsia"/>
          <w:kern w:val="0"/>
          <w:szCs w:val="21"/>
        </w:rPr>
        <w:t>年</w:t>
      </w:r>
      <w:r w:rsidR="003E09FA">
        <w:rPr>
          <w:rFonts w:eastAsia="宋体" w:cstheme="minorHAnsi" w:hint="eastAsia"/>
          <w:kern w:val="0"/>
          <w:szCs w:val="21"/>
        </w:rPr>
        <w:t>7</w:t>
      </w:r>
      <w:r>
        <w:rPr>
          <w:rFonts w:eastAsia="宋体" w:cstheme="minorHAnsi" w:hint="eastAsia"/>
          <w:kern w:val="0"/>
          <w:szCs w:val="21"/>
        </w:rPr>
        <w:t>月</w:t>
      </w:r>
      <w:r w:rsidR="003E09FA">
        <w:rPr>
          <w:rFonts w:eastAsia="宋体" w:cstheme="minorHAnsi" w:hint="eastAsia"/>
          <w:kern w:val="0"/>
          <w:szCs w:val="21"/>
        </w:rPr>
        <w:t>22</w:t>
      </w:r>
      <w:r>
        <w:rPr>
          <w:rFonts w:eastAsia="宋体" w:cstheme="minorHAnsi" w:hint="eastAsia"/>
          <w:kern w:val="0"/>
          <w:szCs w:val="21"/>
        </w:rPr>
        <w:t>日起，对旗下部分基金增加侧袋机制，并对各基金基金合同、托管协议和招募说明书等法律文件进行修订，现将相关事项公告如下：</w:t>
      </w:r>
    </w:p>
    <w:p w:rsidR="00B84A50" w:rsidRDefault="00F17B98">
      <w:pPr>
        <w:spacing w:line="360" w:lineRule="auto"/>
        <w:ind w:firstLineChars="200" w:firstLine="422"/>
        <w:rPr>
          <w:rFonts w:eastAsia="宋体" w:cstheme="minorHAnsi"/>
          <w:b/>
          <w:kern w:val="0"/>
          <w:szCs w:val="21"/>
        </w:rPr>
      </w:pPr>
      <w:r>
        <w:rPr>
          <w:rFonts w:eastAsia="宋体" w:cstheme="minorHAnsi" w:hint="eastAsia"/>
          <w:b/>
          <w:kern w:val="0"/>
          <w:szCs w:val="21"/>
        </w:rPr>
        <w:t>一、本次修订涉及的基金</w:t>
      </w:r>
    </w:p>
    <w:tbl>
      <w:tblPr>
        <w:tblW w:w="8522" w:type="dxa"/>
        <w:jc w:val="center"/>
        <w:tblLayout w:type="fixed"/>
        <w:tblLook w:val="04A0"/>
      </w:tblPr>
      <w:tblGrid>
        <w:gridCol w:w="1243"/>
        <w:gridCol w:w="7279"/>
      </w:tblGrid>
      <w:tr w:rsidR="00B84A50" w:rsidTr="00AB3384">
        <w:trPr>
          <w:trHeight w:val="302"/>
          <w:jc w:val="center"/>
        </w:trPr>
        <w:tc>
          <w:tcPr>
            <w:tcW w:w="1243" w:type="dxa"/>
            <w:tcBorders>
              <w:top w:val="single" w:sz="4" w:space="0" w:color="auto"/>
              <w:left w:val="single" w:sz="4" w:space="0" w:color="auto"/>
              <w:bottom w:val="single" w:sz="4" w:space="0" w:color="auto"/>
              <w:right w:val="single" w:sz="4" w:space="0" w:color="auto"/>
            </w:tcBorders>
            <w:vAlign w:val="center"/>
          </w:tcPr>
          <w:p w:rsidR="00B84A50" w:rsidRPr="00E15DA8" w:rsidRDefault="00F17B98">
            <w:pPr>
              <w:jc w:val="center"/>
              <w:rPr>
                <w:rFonts w:eastAsia="宋体" w:cstheme="minorHAnsi"/>
                <w:b/>
                <w:kern w:val="0"/>
                <w:szCs w:val="21"/>
              </w:rPr>
            </w:pPr>
            <w:r w:rsidRPr="00E15DA8">
              <w:rPr>
                <w:rFonts w:eastAsia="宋体" w:cstheme="minorHAnsi" w:hint="eastAsia"/>
                <w:b/>
                <w:kern w:val="0"/>
                <w:szCs w:val="21"/>
              </w:rPr>
              <w:t>序号</w:t>
            </w:r>
          </w:p>
        </w:tc>
        <w:tc>
          <w:tcPr>
            <w:tcW w:w="7279" w:type="dxa"/>
            <w:tcBorders>
              <w:top w:val="single" w:sz="4" w:space="0" w:color="auto"/>
              <w:left w:val="single" w:sz="4" w:space="0" w:color="auto"/>
              <w:bottom w:val="single" w:sz="4" w:space="0" w:color="auto"/>
              <w:right w:val="single" w:sz="4" w:space="0" w:color="auto"/>
            </w:tcBorders>
            <w:vAlign w:val="center"/>
          </w:tcPr>
          <w:p w:rsidR="00B84A50" w:rsidRPr="00E15DA8" w:rsidRDefault="00F17B98">
            <w:pPr>
              <w:jc w:val="center"/>
              <w:rPr>
                <w:rFonts w:eastAsia="宋体" w:cstheme="minorHAnsi"/>
                <w:b/>
                <w:kern w:val="0"/>
                <w:szCs w:val="21"/>
              </w:rPr>
            </w:pPr>
            <w:r w:rsidRPr="00E15DA8">
              <w:rPr>
                <w:rFonts w:eastAsia="宋体" w:cstheme="minorHAnsi" w:hint="eastAsia"/>
                <w:b/>
                <w:kern w:val="0"/>
                <w:szCs w:val="21"/>
              </w:rPr>
              <w:t>基金名称</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信诚新锐回报灵活配置混合型证券投资基金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2</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信诚新旺回报灵活配置混合型证券投资基金</w:t>
            </w:r>
            <w:r w:rsidRPr="00AB3384">
              <w:rPr>
                <w:rFonts w:eastAsia="宋体" w:cstheme="minorHAnsi" w:hint="eastAsia"/>
                <w:kern w:val="0"/>
                <w:szCs w:val="21"/>
              </w:rPr>
              <w:t>(LOF)</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3</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信诚至诚灵活配置混合型证券投资基金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4</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信诚景瑞债券型证券投资基金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5</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信诚稳悦债券型证券投资基金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6</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中信保诚景泰债券型证券投资基金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7</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中信保诚景华债券型证券投资基金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8</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信诚双盈债券型证券投资基金</w:t>
            </w:r>
            <w:r w:rsidRPr="00AB3384">
              <w:rPr>
                <w:rFonts w:eastAsia="宋体" w:cstheme="minorHAnsi" w:hint="eastAsia"/>
                <w:kern w:val="0"/>
                <w:szCs w:val="21"/>
              </w:rPr>
              <w:t>(LOF)</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9</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中信保诚嘉鸿债券型证券投资基金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10</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中信保诚安鑫回报债券型证券投资基金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11</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信诚至利灵活配置混合型证券投资基金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12</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信诚至裕灵活配置混合型证券投资基金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13</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信诚至瑞灵活配置混合型证券投资基金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14</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信诚新悦回报灵活配置混合型证券投资基金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15</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信诚至选灵活配置混合型证券投资基金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16</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信诚四季红混合型证券投资基金</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17</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信诚金砖四国积极配置证券投资基金</w:t>
            </w:r>
            <w:r w:rsidRPr="00AB3384">
              <w:rPr>
                <w:rFonts w:eastAsia="宋体" w:cstheme="minorHAnsi" w:hint="eastAsia"/>
                <w:kern w:val="0"/>
                <w:szCs w:val="21"/>
              </w:rPr>
              <w:t>(LOF)</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18</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信诚全球商品主题证券投资基金</w:t>
            </w:r>
            <w:r w:rsidRPr="00AB3384">
              <w:rPr>
                <w:rFonts w:eastAsia="宋体" w:cstheme="minorHAnsi" w:hint="eastAsia"/>
                <w:kern w:val="0"/>
                <w:szCs w:val="21"/>
              </w:rPr>
              <w:t>(LOF)</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19</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信诚周期轮动混合型证券投资基金</w:t>
            </w:r>
            <w:r w:rsidRPr="00AB3384">
              <w:rPr>
                <w:rFonts w:eastAsia="宋体" w:cstheme="minorHAnsi" w:hint="eastAsia"/>
                <w:kern w:val="0"/>
                <w:szCs w:val="21"/>
              </w:rPr>
              <w:t>(LOF)</w:t>
            </w:r>
          </w:p>
        </w:tc>
      </w:tr>
      <w:tr w:rsidR="00AB3384"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AB3384" w:rsidRPr="003D50A3" w:rsidRDefault="00AB3384" w:rsidP="003D50A3">
            <w:pPr>
              <w:jc w:val="center"/>
              <w:rPr>
                <w:rFonts w:eastAsia="宋体" w:cstheme="minorHAnsi"/>
                <w:kern w:val="0"/>
                <w:szCs w:val="21"/>
              </w:rPr>
            </w:pPr>
            <w:r w:rsidRPr="003D50A3">
              <w:rPr>
                <w:rFonts w:eastAsia="宋体" w:cstheme="minorHAnsi" w:hint="eastAsia"/>
                <w:kern w:val="0"/>
                <w:szCs w:val="21"/>
              </w:rPr>
              <w:t>20</w:t>
            </w:r>
          </w:p>
        </w:tc>
        <w:tc>
          <w:tcPr>
            <w:tcW w:w="7279" w:type="dxa"/>
            <w:tcBorders>
              <w:top w:val="single" w:sz="4" w:space="0" w:color="auto"/>
              <w:left w:val="single" w:sz="4" w:space="0" w:color="auto"/>
              <w:bottom w:val="single" w:sz="4" w:space="0" w:color="auto"/>
              <w:right w:val="single" w:sz="4" w:space="0" w:color="auto"/>
            </w:tcBorders>
          </w:tcPr>
          <w:p w:rsidR="00AB3384" w:rsidRPr="00AB3384" w:rsidRDefault="00AB3384" w:rsidP="00AB3384">
            <w:pPr>
              <w:jc w:val="center"/>
              <w:rPr>
                <w:rFonts w:eastAsia="宋体" w:cstheme="minorHAnsi"/>
                <w:kern w:val="0"/>
                <w:szCs w:val="21"/>
              </w:rPr>
            </w:pPr>
            <w:r w:rsidRPr="00AB3384">
              <w:rPr>
                <w:rFonts w:eastAsia="宋体" w:cstheme="minorHAnsi" w:hint="eastAsia"/>
                <w:kern w:val="0"/>
                <w:szCs w:val="21"/>
              </w:rPr>
              <w:t>信诚新兴产业混合型证券投资基金</w:t>
            </w:r>
          </w:p>
        </w:tc>
      </w:tr>
      <w:tr w:rsidR="006A0C4C"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6A0C4C" w:rsidRPr="003D50A3" w:rsidRDefault="006A0C4C" w:rsidP="003D50A3">
            <w:pPr>
              <w:jc w:val="center"/>
              <w:rPr>
                <w:rFonts w:eastAsia="宋体" w:cstheme="minorHAnsi"/>
                <w:kern w:val="0"/>
                <w:szCs w:val="21"/>
              </w:rPr>
            </w:pPr>
            <w:r w:rsidRPr="003D50A3">
              <w:rPr>
                <w:rFonts w:eastAsia="宋体" w:cstheme="minorHAnsi" w:hint="eastAsia"/>
                <w:kern w:val="0"/>
                <w:szCs w:val="21"/>
              </w:rPr>
              <w:t>21</w:t>
            </w:r>
          </w:p>
        </w:tc>
        <w:tc>
          <w:tcPr>
            <w:tcW w:w="7279" w:type="dxa"/>
            <w:tcBorders>
              <w:top w:val="single" w:sz="4" w:space="0" w:color="auto"/>
              <w:left w:val="single" w:sz="4" w:space="0" w:color="auto"/>
              <w:bottom w:val="single" w:sz="4" w:space="0" w:color="auto"/>
              <w:right w:val="single" w:sz="4" w:space="0" w:color="auto"/>
            </w:tcBorders>
          </w:tcPr>
          <w:p w:rsidR="006A0C4C" w:rsidRPr="00AB3384" w:rsidRDefault="006A0C4C" w:rsidP="00184AF1">
            <w:pPr>
              <w:jc w:val="center"/>
              <w:rPr>
                <w:rFonts w:eastAsia="宋体" w:cstheme="minorHAnsi"/>
                <w:kern w:val="0"/>
                <w:szCs w:val="21"/>
              </w:rPr>
            </w:pPr>
            <w:r w:rsidRPr="00AB3384">
              <w:rPr>
                <w:rFonts w:eastAsia="宋体" w:cstheme="minorHAnsi" w:hint="eastAsia"/>
                <w:kern w:val="0"/>
                <w:szCs w:val="21"/>
              </w:rPr>
              <w:t>中信保诚至兴灵活配置混合型证券投资基金</w:t>
            </w:r>
          </w:p>
        </w:tc>
      </w:tr>
      <w:tr w:rsidR="006A0C4C" w:rsidRPr="003D50A3" w:rsidTr="00AB3384">
        <w:trPr>
          <w:trHeight w:val="334"/>
          <w:jc w:val="center"/>
        </w:trPr>
        <w:tc>
          <w:tcPr>
            <w:tcW w:w="1243" w:type="dxa"/>
            <w:tcBorders>
              <w:top w:val="single" w:sz="4" w:space="0" w:color="auto"/>
              <w:left w:val="single" w:sz="4" w:space="0" w:color="auto"/>
              <w:bottom w:val="single" w:sz="4" w:space="0" w:color="auto"/>
              <w:right w:val="single" w:sz="4" w:space="0" w:color="auto"/>
            </w:tcBorders>
            <w:vAlign w:val="center"/>
          </w:tcPr>
          <w:p w:rsidR="006A0C4C" w:rsidRPr="003D50A3" w:rsidRDefault="006A0C4C" w:rsidP="003D50A3">
            <w:pPr>
              <w:jc w:val="center"/>
              <w:rPr>
                <w:rFonts w:eastAsia="宋体" w:cstheme="minorHAnsi"/>
                <w:kern w:val="0"/>
                <w:szCs w:val="21"/>
              </w:rPr>
            </w:pPr>
            <w:r w:rsidRPr="003D50A3">
              <w:rPr>
                <w:rFonts w:eastAsia="宋体" w:cstheme="minorHAnsi" w:hint="eastAsia"/>
                <w:kern w:val="0"/>
                <w:szCs w:val="21"/>
              </w:rPr>
              <w:t>22</w:t>
            </w:r>
          </w:p>
        </w:tc>
        <w:tc>
          <w:tcPr>
            <w:tcW w:w="7279" w:type="dxa"/>
            <w:tcBorders>
              <w:top w:val="single" w:sz="4" w:space="0" w:color="auto"/>
              <w:left w:val="single" w:sz="4" w:space="0" w:color="auto"/>
              <w:bottom w:val="single" w:sz="4" w:space="0" w:color="auto"/>
              <w:right w:val="single" w:sz="4" w:space="0" w:color="auto"/>
            </w:tcBorders>
          </w:tcPr>
          <w:p w:rsidR="006A0C4C" w:rsidRPr="00AB3384" w:rsidRDefault="006A0C4C" w:rsidP="00184AF1">
            <w:pPr>
              <w:jc w:val="center"/>
              <w:rPr>
                <w:rFonts w:eastAsia="宋体" w:cstheme="minorHAnsi"/>
                <w:kern w:val="0"/>
                <w:szCs w:val="21"/>
              </w:rPr>
            </w:pPr>
            <w:r w:rsidRPr="00AB3384">
              <w:rPr>
                <w:rFonts w:eastAsia="宋体" w:cstheme="minorHAnsi" w:hint="eastAsia"/>
                <w:kern w:val="0"/>
                <w:szCs w:val="21"/>
              </w:rPr>
              <w:t>中信保诚红利精选混合型证券投资基金</w:t>
            </w:r>
          </w:p>
        </w:tc>
      </w:tr>
    </w:tbl>
    <w:p w:rsidR="00B84A50" w:rsidRDefault="00B84A50">
      <w:pPr>
        <w:spacing w:line="360" w:lineRule="auto"/>
        <w:ind w:firstLineChars="200" w:firstLine="422"/>
        <w:rPr>
          <w:rFonts w:eastAsia="宋体" w:cstheme="minorHAnsi"/>
          <w:b/>
          <w:kern w:val="0"/>
          <w:szCs w:val="21"/>
        </w:rPr>
      </w:pPr>
    </w:p>
    <w:p w:rsidR="00B84A50" w:rsidRDefault="00F17B98">
      <w:pPr>
        <w:spacing w:line="360" w:lineRule="auto"/>
        <w:ind w:firstLineChars="200" w:firstLine="422"/>
        <w:rPr>
          <w:rFonts w:eastAsia="宋体" w:cstheme="minorHAnsi"/>
          <w:b/>
          <w:kern w:val="0"/>
          <w:szCs w:val="21"/>
        </w:rPr>
      </w:pPr>
      <w:r>
        <w:rPr>
          <w:rFonts w:eastAsia="宋体" w:cstheme="minorHAnsi" w:hint="eastAsia"/>
          <w:b/>
          <w:kern w:val="0"/>
          <w:szCs w:val="21"/>
        </w:rPr>
        <w:t>二、修改《基金合同》及《托管协议》部分条款</w:t>
      </w:r>
    </w:p>
    <w:p w:rsidR="00B84A50" w:rsidRDefault="00F17B98">
      <w:pPr>
        <w:spacing w:line="360" w:lineRule="auto"/>
        <w:ind w:firstLineChars="200" w:firstLine="422"/>
        <w:rPr>
          <w:rFonts w:eastAsia="宋体" w:cstheme="minorHAnsi"/>
          <w:b/>
          <w:kern w:val="0"/>
          <w:szCs w:val="21"/>
        </w:rPr>
      </w:pPr>
      <w:r>
        <w:rPr>
          <w:rFonts w:eastAsia="宋体" w:cstheme="minorHAnsi" w:hint="eastAsia"/>
          <w:b/>
          <w:kern w:val="0"/>
          <w:szCs w:val="21"/>
        </w:rPr>
        <w:t>（一）修改《基金合同》部分条款</w:t>
      </w:r>
    </w:p>
    <w:p w:rsidR="00B84A50" w:rsidRDefault="00AB3384">
      <w:pPr>
        <w:spacing w:line="360" w:lineRule="auto"/>
        <w:ind w:firstLineChars="200" w:firstLine="420"/>
        <w:rPr>
          <w:rFonts w:eastAsia="宋体" w:cstheme="minorHAnsi"/>
          <w:kern w:val="0"/>
          <w:szCs w:val="21"/>
        </w:rPr>
      </w:pPr>
      <w:r>
        <w:rPr>
          <w:rFonts w:eastAsia="宋体" w:cstheme="minorHAnsi" w:hint="eastAsia"/>
          <w:kern w:val="0"/>
          <w:szCs w:val="21"/>
        </w:rPr>
        <w:t>以信诚稳悦</w:t>
      </w:r>
      <w:r w:rsidR="00F17B98">
        <w:rPr>
          <w:rFonts w:eastAsia="宋体" w:cstheme="minorHAnsi" w:hint="eastAsia"/>
          <w:kern w:val="0"/>
          <w:szCs w:val="21"/>
        </w:rPr>
        <w:t>债券型证券投资基金为例，基金合同修订对照表如下：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tblPr>
      <w:tblGrid>
        <w:gridCol w:w="427"/>
        <w:gridCol w:w="4068"/>
        <w:gridCol w:w="4027"/>
      </w:tblGrid>
      <w:tr w:rsidR="00AB3384" w:rsidRPr="00F643D1" w:rsidTr="00AB3384">
        <w:trPr>
          <w:jc w:val="center"/>
        </w:trPr>
        <w:tc>
          <w:tcPr>
            <w:tcW w:w="244" w:type="pct"/>
            <w:vMerge w:val="restart"/>
            <w:tcBorders>
              <w:top w:val="single" w:sz="4" w:space="0" w:color="000000"/>
              <w:left w:val="single" w:sz="4" w:space="0" w:color="000000"/>
              <w:bottom w:val="single" w:sz="4" w:space="0" w:color="auto"/>
              <w:right w:val="single" w:sz="4" w:space="0" w:color="auto"/>
            </w:tcBorders>
            <w:vAlign w:val="center"/>
            <w:hideMark/>
          </w:tcPr>
          <w:p w:rsidR="00AB3384" w:rsidRPr="00F643D1" w:rsidRDefault="00AB3384" w:rsidP="00C566CC">
            <w:pPr>
              <w:spacing w:before="100" w:beforeAutospacing="1" w:after="100" w:afterAutospacing="1"/>
              <w:jc w:val="center"/>
            </w:pPr>
            <w:r w:rsidRPr="00F643D1">
              <w:rPr>
                <w:b/>
                <w:bCs/>
              </w:rPr>
              <w:t>章</w:t>
            </w:r>
            <w:r w:rsidRPr="00F643D1">
              <w:rPr>
                <w:b/>
                <w:bCs/>
              </w:rPr>
              <w:lastRenderedPageBreak/>
              <w:t>节</w:t>
            </w:r>
          </w:p>
        </w:tc>
        <w:tc>
          <w:tcPr>
            <w:tcW w:w="2390" w:type="pct"/>
            <w:tcBorders>
              <w:top w:val="single" w:sz="4" w:space="0" w:color="000000"/>
              <w:left w:val="single" w:sz="4" w:space="0" w:color="auto"/>
              <w:bottom w:val="single" w:sz="4" w:space="0" w:color="auto"/>
              <w:right w:val="single" w:sz="4" w:space="0" w:color="auto"/>
            </w:tcBorders>
            <w:vAlign w:val="center"/>
            <w:hideMark/>
          </w:tcPr>
          <w:p w:rsidR="00AB3384" w:rsidRPr="00F643D1" w:rsidRDefault="00AB3384" w:rsidP="00C566CC">
            <w:pPr>
              <w:pStyle w:val="ab"/>
              <w:jc w:val="center"/>
            </w:pPr>
            <w:r w:rsidRPr="00F643D1">
              <w:rPr>
                <w:rFonts w:hint="eastAsia"/>
                <w:b/>
                <w:bCs/>
              </w:rPr>
              <w:lastRenderedPageBreak/>
              <w:t>修改前</w:t>
            </w:r>
          </w:p>
        </w:tc>
        <w:tc>
          <w:tcPr>
            <w:tcW w:w="2367" w:type="pct"/>
            <w:tcBorders>
              <w:top w:val="single" w:sz="4" w:space="0" w:color="000000"/>
              <w:left w:val="single" w:sz="4" w:space="0" w:color="auto"/>
              <w:bottom w:val="single" w:sz="4" w:space="0" w:color="auto"/>
              <w:right w:val="single" w:sz="4" w:space="0" w:color="auto"/>
            </w:tcBorders>
            <w:vAlign w:val="center"/>
            <w:hideMark/>
          </w:tcPr>
          <w:p w:rsidR="00AB3384" w:rsidRPr="00F643D1" w:rsidRDefault="00AB3384" w:rsidP="00C566CC">
            <w:pPr>
              <w:spacing w:before="100" w:beforeAutospacing="1" w:after="100" w:afterAutospacing="1"/>
              <w:jc w:val="center"/>
            </w:pPr>
            <w:r w:rsidRPr="00F643D1">
              <w:rPr>
                <w:rFonts w:hint="eastAsia"/>
                <w:b/>
                <w:bCs/>
              </w:rPr>
              <w:t>修改后</w:t>
            </w:r>
          </w:p>
        </w:tc>
      </w:tr>
      <w:tr w:rsidR="00AB3384" w:rsidRPr="00F643D1" w:rsidTr="00AB3384">
        <w:trPr>
          <w:jc w:val="center"/>
        </w:trPr>
        <w:tc>
          <w:tcPr>
            <w:tcW w:w="244" w:type="pct"/>
            <w:vMerge/>
            <w:tcBorders>
              <w:top w:val="single" w:sz="4" w:space="0" w:color="000000"/>
              <w:left w:val="single" w:sz="4" w:space="0" w:color="000000"/>
              <w:bottom w:val="single" w:sz="4" w:space="0" w:color="auto"/>
              <w:right w:val="single" w:sz="4" w:space="0" w:color="auto"/>
            </w:tcBorders>
            <w:vAlign w:val="center"/>
            <w:hideMark/>
          </w:tcPr>
          <w:p w:rsidR="00AB3384" w:rsidRPr="00F643D1" w:rsidRDefault="00AB3384" w:rsidP="00C566CC">
            <w:pPr>
              <w:jc w:val="center"/>
            </w:pPr>
          </w:p>
        </w:tc>
        <w:tc>
          <w:tcPr>
            <w:tcW w:w="2390" w:type="pct"/>
            <w:tcBorders>
              <w:top w:val="single" w:sz="4" w:space="0" w:color="auto"/>
              <w:left w:val="single" w:sz="4" w:space="0" w:color="auto"/>
              <w:bottom w:val="single" w:sz="4" w:space="0" w:color="auto"/>
              <w:right w:val="single" w:sz="4" w:space="0" w:color="auto"/>
            </w:tcBorders>
            <w:vAlign w:val="center"/>
            <w:hideMark/>
          </w:tcPr>
          <w:p w:rsidR="00AB3384" w:rsidRPr="00F643D1" w:rsidRDefault="00AB3384" w:rsidP="00C566CC">
            <w:pPr>
              <w:spacing w:before="100" w:beforeAutospacing="1" w:after="100" w:afterAutospacing="1"/>
              <w:jc w:val="center"/>
            </w:pPr>
            <w:r w:rsidRPr="00F643D1">
              <w:rPr>
                <w:b/>
                <w:bCs/>
              </w:rPr>
              <w:t>内容</w:t>
            </w:r>
          </w:p>
        </w:tc>
        <w:tc>
          <w:tcPr>
            <w:tcW w:w="2367" w:type="pct"/>
            <w:tcBorders>
              <w:top w:val="single" w:sz="4" w:space="0" w:color="auto"/>
              <w:left w:val="single" w:sz="4" w:space="0" w:color="auto"/>
              <w:bottom w:val="single" w:sz="4" w:space="0" w:color="auto"/>
              <w:right w:val="single" w:sz="4" w:space="0" w:color="auto"/>
            </w:tcBorders>
            <w:vAlign w:val="center"/>
            <w:hideMark/>
          </w:tcPr>
          <w:p w:rsidR="00AB3384" w:rsidRPr="00F643D1" w:rsidRDefault="00AB3384" w:rsidP="00C566CC">
            <w:pPr>
              <w:spacing w:before="100" w:beforeAutospacing="1" w:after="100" w:afterAutospacing="1"/>
              <w:jc w:val="center"/>
            </w:pPr>
            <w:r w:rsidRPr="00F643D1">
              <w:rPr>
                <w:b/>
                <w:bCs/>
              </w:rPr>
              <w:t>内容</w:t>
            </w:r>
          </w:p>
        </w:tc>
      </w:tr>
      <w:tr w:rsidR="00AB3384" w:rsidRPr="00F643D1" w:rsidTr="00AB3384">
        <w:trPr>
          <w:jc w:val="center"/>
        </w:trPr>
        <w:tc>
          <w:tcPr>
            <w:tcW w:w="244" w:type="pct"/>
            <w:tcBorders>
              <w:top w:val="single" w:sz="4" w:space="0" w:color="auto"/>
              <w:left w:val="single" w:sz="4" w:space="0" w:color="000000"/>
              <w:bottom w:val="single" w:sz="4" w:space="0" w:color="auto"/>
              <w:right w:val="single" w:sz="4" w:space="0" w:color="auto"/>
            </w:tcBorders>
            <w:hideMark/>
          </w:tcPr>
          <w:p w:rsidR="00AB3384" w:rsidRPr="00F643D1" w:rsidRDefault="00AB3384" w:rsidP="00C566CC">
            <w:pPr>
              <w:pStyle w:val="ab"/>
              <w:jc w:val="center"/>
            </w:pPr>
            <w:r w:rsidRPr="00F643D1">
              <w:rPr>
                <w:b/>
                <w:bCs/>
              </w:rPr>
              <w:lastRenderedPageBreak/>
              <w:t>第一部分</w:t>
            </w:r>
            <w:r w:rsidRPr="00F643D1">
              <w:rPr>
                <w:b/>
                <w:bCs/>
              </w:rPr>
              <w:t xml:space="preserve"> </w:t>
            </w:r>
            <w:r w:rsidRPr="00F643D1">
              <w:rPr>
                <w:b/>
                <w:bCs/>
              </w:rPr>
              <w:t>前言</w:t>
            </w:r>
          </w:p>
        </w:tc>
        <w:tc>
          <w:tcPr>
            <w:tcW w:w="2390" w:type="pct"/>
            <w:tcBorders>
              <w:top w:val="single" w:sz="4" w:space="0" w:color="auto"/>
              <w:left w:val="single" w:sz="4" w:space="0" w:color="auto"/>
              <w:bottom w:val="single" w:sz="4" w:space="0" w:color="auto"/>
              <w:right w:val="single" w:sz="4" w:space="0" w:color="auto"/>
            </w:tcBorders>
            <w:hideMark/>
          </w:tcPr>
          <w:p w:rsidR="00AB3384" w:rsidRPr="00F643D1" w:rsidRDefault="00AB3384" w:rsidP="00C566CC">
            <w:r>
              <w:rPr>
                <w:rFonts w:hint="eastAsia"/>
              </w:rPr>
              <w:t>六</w:t>
            </w:r>
            <w:r w:rsidRPr="00011D99">
              <w:rPr>
                <w:rFonts w:hint="eastAsia"/>
              </w:rPr>
              <w:t>、</w:t>
            </w:r>
            <w:r w:rsidRPr="00067473">
              <w:rPr>
                <w:rFonts w:hint="eastAsia"/>
                <w:b/>
                <w:strike/>
              </w:rPr>
              <w:t>本基金合同约定的基金产品资料概要</w:t>
            </w:r>
            <w:r w:rsidRPr="000D5873">
              <w:rPr>
                <w:rFonts w:hint="eastAsia"/>
                <w:b/>
                <w:strike/>
              </w:rPr>
              <w:t>的</w:t>
            </w:r>
            <w:r w:rsidRPr="00067473">
              <w:rPr>
                <w:rFonts w:hint="eastAsia"/>
                <w:b/>
                <w:strike/>
              </w:rPr>
              <w:t>编制、披露</w:t>
            </w:r>
            <w:r w:rsidRPr="000D5873">
              <w:rPr>
                <w:rFonts w:hint="eastAsia"/>
                <w:b/>
                <w:strike/>
              </w:rPr>
              <w:t>及</w:t>
            </w:r>
            <w:r w:rsidRPr="00067473">
              <w:rPr>
                <w:rFonts w:hint="eastAsia"/>
                <w:b/>
                <w:strike/>
              </w:rPr>
              <w:t>更新要求，自《信息披露办法》实施之日起一年后开始执行。</w:t>
            </w:r>
          </w:p>
        </w:tc>
        <w:tc>
          <w:tcPr>
            <w:tcW w:w="2367" w:type="pct"/>
            <w:tcBorders>
              <w:top w:val="single" w:sz="4" w:space="0" w:color="auto"/>
              <w:left w:val="single" w:sz="4" w:space="0" w:color="auto"/>
              <w:bottom w:val="single" w:sz="4" w:space="0" w:color="auto"/>
              <w:right w:val="single" w:sz="4" w:space="0" w:color="auto"/>
            </w:tcBorders>
            <w:hideMark/>
          </w:tcPr>
          <w:p w:rsidR="00AB3384" w:rsidRPr="00F643D1" w:rsidRDefault="00AB3384" w:rsidP="00C566CC">
            <w:r>
              <w:rPr>
                <w:rFonts w:hint="eastAsia"/>
                <w:bCs/>
              </w:rPr>
              <w:t>六</w:t>
            </w:r>
            <w:r w:rsidRPr="004A15ED">
              <w:rPr>
                <w:rFonts w:hint="eastAsia"/>
                <w:bCs/>
              </w:rPr>
              <w:t>、</w:t>
            </w:r>
            <w:r w:rsidRPr="00D80740">
              <w:rPr>
                <w:rFonts w:hint="eastAsia"/>
                <w:b/>
                <w:bCs/>
                <w:u w:val="single"/>
              </w:rPr>
              <w:t>当本基金持有特定资产且存在或潜在大额赎回申请时，基金管理人履行相应程序后，可以启用侧袋机制。侧袋机制实施期间，基金管理人将对基金简称进行特殊标识，并不办理侧袋账户的申购赎回。请基金份额持有人仔细阅读相关内容并关注本基金启用侧袋机制时的特定风险。</w:t>
            </w:r>
          </w:p>
        </w:tc>
      </w:tr>
      <w:tr w:rsidR="00AB3384" w:rsidRPr="00F643D1" w:rsidTr="00AB3384">
        <w:trPr>
          <w:jc w:val="center"/>
        </w:trPr>
        <w:tc>
          <w:tcPr>
            <w:tcW w:w="244" w:type="pct"/>
            <w:tcBorders>
              <w:top w:val="single" w:sz="4" w:space="0" w:color="auto"/>
              <w:left w:val="single" w:sz="4" w:space="0" w:color="000000"/>
              <w:bottom w:val="single" w:sz="4" w:space="0" w:color="auto"/>
              <w:right w:val="single" w:sz="4" w:space="0" w:color="auto"/>
            </w:tcBorders>
            <w:hideMark/>
          </w:tcPr>
          <w:p w:rsidR="00AB3384" w:rsidRPr="00F643D1" w:rsidRDefault="00AB3384" w:rsidP="00C566CC">
            <w:pPr>
              <w:pStyle w:val="ab"/>
              <w:jc w:val="center"/>
            </w:pPr>
            <w:r w:rsidRPr="00F643D1">
              <w:rPr>
                <w:b/>
                <w:bCs/>
              </w:rPr>
              <w:t>第二部分</w:t>
            </w:r>
            <w:r w:rsidRPr="00F643D1">
              <w:rPr>
                <w:b/>
                <w:bCs/>
              </w:rPr>
              <w:t xml:space="preserve"> </w:t>
            </w:r>
            <w:r w:rsidRPr="00F643D1">
              <w:rPr>
                <w:b/>
                <w:bCs/>
              </w:rPr>
              <w:t>释义</w:t>
            </w:r>
          </w:p>
        </w:tc>
        <w:tc>
          <w:tcPr>
            <w:tcW w:w="2390" w:type="pct"/>
            <w:tcBorders>
              <w:top w:val="single" w:sz="4" w:space="0" w:color="auto"/>
              <w:left w:val="single" w:sz="4" w:space="0" w:color="auto"/>
              <w:right w:val="single" w:sz="4" w:space="0" w:color="auto"/>
            </w:tcBorders>
            <w:hideMark/>
          </w:tcPr>
          <w:p w:rsidR="00AB3384" w:rsidRPr="00F643D1" w:rsidRDefault="00AB3384" w:rsidP="00C566CC">
            <w:r w:rsidRPr="00F643D1">
              <w:rPr>
                <w:rFonts w:hint="eastAsia"/>
              </w:rPr>
              <w:t>无</w:t>
            </w:r>
          </w:p>
        </w:tc>
        <w:tc>
          <w:tcPr>
            <w:tcW w:w="2367" w:type="pct"/>
            <w:tcBorders>
              <w:top w:val="single" w:sz="4" w:space="0" w:color="auto"/>
              <w:left w:val="single" w:sz="4" w:space="0" w:color="auto"/>
              <w:right w:val="single" w:sz="4" w:space="0" w:color="auto"/>
            </w:tcBorders>
            <w:hideMark/>
          </w:tcPr>
          <w:p w:rsidR="00AB3384" w:rsidRDefault="00AB3384" w:rsidP="00C566CC">
            <w:pPr>
              <w:rPr>
                <w:b/>
                <w:bCs/>
                <w:u w:val="single"/>
              </w:rPr>
            </w:pPr>
            <w:r>
              <w:rPr>
                <w:b/>
                <w:bCs/>
                <w:u w:val="single"/>
              </w:rPr>
              <w:t>59</w:t>
            </w:r>
            <w:r w:rsidRPr="00D80740">
              <w:rPr>
                <w:b/>
                <w:bCs/>
                <w:u w:val="single"/>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AB3384" w:rsidRPr="00F643D1" w:rsidRDefault="00AB3384" w:rsidP="00C566CC">
            <w:r>
              <w:rPr>
                <w:b/>
                <w:bCs/>
                <w:u w:val="single"/>
              </w:rPr>
              <w:t>60</w:t>
            </w:r>
            <w:r w:rsidRPr="00D80740">
              <w:rPr>
                <w:b/>
                <w:bCs/>
                <w:u w:val="single"/>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D80740">
              <w:rPr>
                <w:b/>
                <w:bCs/>
                <w:u w:val="single"/>
              </w:rPr>
              <w:t xml:space="preserve">  </w:t>
            </w:r>
            <w:r w:rsidRPr="00F643D1">
              <w:t xml:space="preserve"> </w:t>
            </w:r>
          </w:p>
        </w:tc>
      </w:tr>
      <w:tr w:rsidR="00AB3384" w:rsidRPr="00F643D1" w:rsidTr="00AB3384">
        <w:trPr>
          <w:jc w:val="center"/>
        </w:trPr>
        <w:tc>
          <w:tcPr>
            <w:tcW w:w="244" w:type="pct"/>
            <w:tcBorders>
              <w:top w:val="single" w:sz="4" w:space="0" w:color="auto"/>
              <w:left w:val="single" w:sz="4" w:space="0" w:color="000000"/>
              <w:bottom w:val="single" w:sz="4" w:space="0" w:color="auto"/>
              <w:right w:val="single" w:sz="4" w:space="0" w:color="auto"/>
            </w:tcBorders>
            <w:hideMark/>
          </w:tcPr>
          <w:p w:rsidR="00AB3384" w:rsidRPr="00F643D1" w:rsidRDefault="00AB3384" w:rsidP="00C566CC">
            <w:pPr>
              <w:pStyle w:val="ab"/>
              <w:jc w:val="center"/>
            </w:pPr>
            <w:r w:rsidRPr="00F643D1">
              <w:rPr>
                <w:b/>
                <w:bCs/>
              </w:rPr>
              <w:t>第六部分</w:t>
            </w:r>
            <w:r w:rsidRPr="00F643D1">
              <w:rPr>
                <w:b/>
                <w:bCs/>
              </w:rPr>
              <w:t xml:space="preserve"> </w:t>
            </w:r>
            <w:r w:rsidRPr="00F643D1">
              <w:rPr>
                <w:b/>
                <w:bCs/>
              </w:rPr>
              <w:t>基金份额的申购与赎回</w:t>
            </w:r>
          </w:p>
        </w:tc>
        <w:tc>
          <w:tcPr>
            <w:tcW w:w="2390" w:type="pct"/>
            <w:tcBorders>
              <w:top w:val="single" w:sz="4" w:space="0" w:color="auto"/>
              <w:left w:val="single" w:sz="4" w:space="0" w:color="auto"/>
              <w:bottom w:val="single" w:sz="4" w:space="0" w:color="auto"/>
              <w:right w:val="single" w:sz="4" w:space="0" w:color="auto"/>
            </w:tcBorders>
            <w:hideMark/>
          </w:tcPr>
          <w:p w:rsidR="00AB3384" w:rsidRPr="00F643D1" w:rsidRDefault="00AB3384" w:rsidP="00C566CC">
            <w:pPr>
              <w:rPr>
                <w:rFonts w:cs="Times New Roman"/>
              </w:rPr>
            </w:pPr>
            <w:r w:rsidRPr="00F643D1">
              <w:rPr>
                <w:rFonts w:hint="eastAsia"/>
              </w:rPr>
              <w:t>无</w:t>
            </w:r>
          </w:p>
        </w:tc>
        <w:tc>
          <w:tcPr>
            <w:tcW w:w="2367" w:type="pct"/>
            <w:tcBorders>
              <w:top w:val="single" w:sz="4" w:space="0" w:color="auto"/>
              <w:left w:val="single" w:sz="4" w:space="0" w:color="auto"/>
              <w:bottom w:val="single" w:sz="4" w:space="0" w:color="auto"/>
              <w:right w:val="single" w:sz="4" w:space="0" w:color="auto"/>
            </w:tcBorders>
            <w:hideMark/>
          </w:tcPr>
          <w:p w:rsidR="00AB3384" w:rsidRPr="00F643D1" w:rsidRDefault="00AB3384" w:rsidP="00C566CC">
            <w:r w:rsidRPr="00F643D1">
              <w:rPr>
                <w:b/>
                <w:bCs/>
                <w:u w:val="single"/>
              </w:rPr>
              <w:t>十七、实施侧袋机制期间本基金的申购与赎回</w:t>
            </w:r>
            <w:r w:rsidRPr="00F643D1">
              <w:t xml:space="preserve"> </w:t>
            </w:r>
          </w:p>
          <w:p w:rsidR="00AB3384" w:rsidRPr="00F643D1" w:rsidRDefault="00AB3384" w:rsidP="00C566CC">
            <w:r w:rsidRPr="002E4530">
              <w:rPr>
                <w:rFonts w:hint="eastAsia"/>
                <w:b/>
                <w:bCs/>
                <w:u w:val="single"/>
              </w:rPr>
              <w:t>本基金实施侧袋机制的，本基金的申购和赎回安排详见招募说明书或相关公告。</w:t>
            </w:r>
          </w:p>
        </w:tc>
      </w:tr>
      <w:tr w:rsidR="00AB3384" w:rsidRPr="00F643D1" w:rsidTr="00AB3384">
        <w:trPr>
          <w:jc w:val="center"/>
        </w:trPr>
        <w:tc>
          <w:tcPr>
            <w:tcW w:w="244" w:type="pct"/>
            <w:tcBorders>
              <w:top w:val="single" w:sz="4" w:space="0" w:color="auto"/>
              <w:left w:val="single" w:sz="4" w:space="0" w:color="000000"/>
              <w:bottom w:val="single" w:sz="4" w:space="0" w:color="auto"/>
              <w:right w:val="single" w:sz="4" w:space="0" w:color="auto"/>
            </w:tcBorders>
            <w:hideMark/>
          </w:tcPr>
          <w:p w:rsidR="00AB3384" w:rsidRPr="00F643D1" w:rsidRDefault="00AB3384" w:rsidP="00C566CC">
            <w:pPr>
              <w:pStyle w:val="ab"/>
              <w:jc w:val="center"/>
            </w:pPr>
            <w:r w:rsidRPr="00F643D1">
              <w:rPr>
                <w:b/>
                <w:bCs/>
              </w:rPr>
              <w:t>第七部分</w:t>
            </w:r>
            <w:r w:rsidRPr="00F643D1">
              <w:rPr>
                <w:b/>
                <w:bCs/>
              </w:rPr>
              <w:t xml:space="preserve"> </w:t>
            </w:r>
            <w:r w:rsidRPr="00F643D1">
              <w:rPr>
                <w:b/>
                <w:bCs/>
              </w:rPr>
              <w:t>基金合同当事人及权利义务</w:t>
            </w:r>
          </w:p>
        </w:tc>
        <w:tc>
          <w:tcPr>
            <w:tcW w:w="2390" w:type="pct"/>
            <w:tcBorders>
              <w:top w:val="single" w:sz="4" w:space="0" w:color="auto"/>
              <w:left w:val="single" w:sz="4" w:space="0" w:color="auto"/>
              <w:right w:val="single" w:sz="4" w:space="0" w:color="auto"/>
            </w:tcBorders>
            <w:hideMark/>
          </w:tcPr>
          <w:p w:rsidR="00AB3384" w:rsidRPr="00F643D1" w:rsidRDefault="00AB3384" w:rsidP="00C566CC">
            <w:r w:rsidRPr="00F643D1">
              <w:t>三、基金份额持有人</w:t>
            </w:r>
            <w:r w:rsidRPr="00F643D1">
              <w:t xml:space="preserve"> </w:t>
            </w:r>
          </w:p>
          <w:p w:rsidR="00AB3384" w:rsidRPr="00F643D1" w:rsidRDefault="00AB3384" w:rsidP="00C566CC">
            <w:r w:rsidRPr="00F643D1">
              <w:t>……</w:t>
            </w:r>
          </w:p>
          <w:p w:rsidR="00AB3384" w:rsidRPr="00F643D1" w:rsidRDefault="00AB3384" w:rsidP="00C566CC">
            <w:r w:rsidRPr="002E4530">
              <w:rPr>
                <w:rFonts w:hint="eastAsia"/>
              </w:rPr>
              <w:t>同一类别每份基金份额具有同等的合法权益。</w:t>
            </w:r>
          </w:p>
        </w:tc>
        <w:tc>
          <w:tcPr>
            <w:tcW w:w="2367" w:type="pct"/>
            <w:tcBorders>
              <w:top w:val="single" w:sz="4" w:space="0" w:color="auto"/>
              <w:left w:val="single" w:sz="4" w:space="0" w:color="auto"/>
              <w:right w:val="single" w:sz="4" w:space="0" w:color="auto"/>
            </w:tcBorders>
            <w:hideMark/>
          </w:tcPr>
          <w:p w:rsidR="00AB3384" w:rsidRPr="00F643D1" w:rsidRDefault="00AB3384" w:rsidP="00C566CC">
            <w:r w:rsidRPr="00F643D1">
              <w:t>三、基金份额持有人</w:t>
            </w:r>
            <w:r w:rsidRPr="00F643D1">
              <w:t xml:space="preserve"> </w:t>
            </w:r>
          </w:p>
          <w:p w:rsidR="00AB3384" w:rsidRPr="00F643D1" w:rsidRDefault="00AB3384" w:rsidP="00C566CC">
            <w:r w:rsidRPr="00F643D1">
              <w:t>……</w:t>
            </w:r>
          </w:p>
          <w:p w:rsidR="00AB3384" w:rsidRPr="00F643D1" w:rsidRDefault="00AB3384" w:rsidP="00C566CC">
            <w:r w:rsidRPr="00F643D1">
              <w:rPr>
                <w:b/>
                <w:bCs/>
                <w:u w:val="single"/>
              </w:rPr>
              <w:t>除法律法规另有规定或基金合同另有约定外，</w:t>
            </w:r>
            <w:r w:rsidRPr="00F643D1">
              <w:t>同一类别每份基金份额具有同等的合法权益。</w:t>
            </w:r>
            <w:r w:rsidRPr="00F643D1">
              <w:t xml:space="preserve"> </w:t>
            </w:r>
          </w:p>
        </w:tc>
      </w:tr>
      <w:tr w:rsidR="00AB3384" w:rsidRPr="00F643D1" w:rsidTr="00AB3384">
        <w:trPr>
          <w:jc w:val="center"/>
        </w:trPr>
        <w:tc>
          <w:tcPr>
            <w:tcW w:w="244" w:type="pct"/>
            <w:vMerge w:val="restart"/>
            <w:tcBorders>
              <w:top w:val="single" w:sz="4" w:space="0" w:color="auto"/>
              <w:left w:val="single" w:sz="4" w:space="0" w:color="000000"/>
              <w:right w:val="single" w:sz="4" w:space="0" w:color="auto"/>
            </w:tcBorders>
            <w:hideMark/>
          </w:tcPr>
          <w:p w:rsidR="00AB3384" w:rsidRPr="00F643D1" w:rsidRDefault="00AB3384" w:rsidP="00C566CC">
            <w:pPr>
              <w:pStyle w:val="ab"/>
              <w:jc w:val="center"/>
            </w:pPr>
            <w:r w:rsidRPr="00F643D1">
              <w:rPr>
                <w:b/>
                <w:bCs/>
              </w:rPr>
              <w:t>第八部分</w:t>
            </w:r>
            <w:r w:rsidRPr="00F643D1">
              <w:rPr>
                <w:b/>
                <w:bCs/>
              </w:rPr>
              <w:t xml:space="preserve"> </w:t>
            </w:r>
            <w:r w:rsidRPr="00F643D1">
              <w:rPr>
                <w:b/>
                <w:bCs/>
              </w:rPr>
              <w:t>基金份额持有人大会</w:t>
            </w:r>
          </w:p>
        </w:tc>
        <w:tc>
          <w:tcPr>
            <w:tcW w:w="2390" w:type="pct"/>
            <w:tcBorders>
              <w:top w:val="single" w:sz="4" w:space="0" w:color="auto"/>
              <w:left w:val="single" w:sz="4" w:space="0" w:color="auto"/>
              <w:bottom w:val="single" w:sz="4" w:space="0" w:color="auto"/>
              <w:right w:val="single" w:sz="4" w:space="0" w:color="auto"/>
            </w:tcBorders>
            <w:hideMark/>
          </w:tcPr>
          <w:p w:rsidR="00AB3384" w:rsidRPr="00F643D1" w:rsidRDefault="00AB3384" w:rsidP="00C566CC">
            <w:r w:rsidRPr="002E4530">
              <w:rPr>
                <w:rFonts w:hint="eastAsia"/>
              </w:rPr>
              <w:t>基金份额持有人大会由基金份额持有人组成，基金份额持有人的合法授权代表有权代表基金份额持有人出席会议并表决。基金份额持有人持有的每一基金份额拥有平等的投票权。</w:t>
            </w:r>
          </w:p>
        </w:tc>
        <w:tc>
          <w:tcPr>
            <w:tcW w:w="2367" w:type="pct"/>
            <w:tcBorders>
              <w:top w:val="single" w:sz="4" w:space="0" w:color="auto"/>
              <w:left w:val="single" w:sz="4" w:space="0" w:color="auto"/>
              <w:bottom w:val="single" w:sz="4" w:space="0" w:color="auto"/>
              <w:right w:val="single" w:sz="4" w:space="0" w:color="auto"/>
            </w:tcBorders>
            <w:hideMark/>
          </w:tcPr>
          <w:p w:rsidR="00AB3384" w:rsidRPr="00F643D1" w:rsidRDefault="00AB3384" w:rsidP="00C566CC">
            <w:r w:rsidRPr="00F643D1">
              <w:t>基金份额持有人大会由基金份额持有人组成，基金份额持有人的合法授权代表有权代表基金份额持有人出席会议并表决。</w:t>
            </w:r>
            <w:r w:rsidRPr="00F643D1">
              <w:rPr>
                <w:b/>
                <w:bCs/>
                <w:u w:val="single"/>
              </w:rPr>
              <w:t>除法律法规另有规定或基金合同另有约定外，</w:t>
            </w:r>
            <w:r w:rsidRPr="00F643D1">
              <w:t>基金份额持有人持有的每一基金份额拥有平等的投票权。</w:t>
            </w:r>
            <w:r w:rsidRPr="00F643D1">
              <w:t xml:space="preserve"> </w:t>
            </w:r>
          </w:p>
        </w:tc>
      </w:tr>
      <w:tr w:rsidR="00AB3384" w:rsidRPr="00F643D1" w:rsidTr="00AB3384">
        <w:trPr>
          <w:jc w:val="center"/>
        </w:trPr>
        <w:tc>
          <w:tcPr>
            <w:tcW w:w="244" w:type="pct"/>
            <w:vMerge/>
            <w:tcBorders>
              <w:left w:val="single" w:sz="4" w:space="0" w:color="000000"/>
              <w:right w:val="single" w:sz="4" w:space="0" w:color="auto"/>
            </w:tcBorders>
            <w:hideMark/>
          </w:tcPr>
          <w:p w:rsidR="00AB3384" w:rsidRPr="00F643D1" w:rsidRDefault="00AB3384" w:rsidP="00C566CC">
            <w:pPr>
              <w:jc w:val="center"/>
            </w:pPr>
          </w:p>
        </w:tc>
        <w:tc>
          <w:tcPr>
            <w:tcW w:w="2390" w:type="pct"/>
            <w:tcBorders>
              <w:top w:val="single" w:sz="4" w:space="0" w:color="auto"/>
              <w:left w:val="single" w:sz="4" w:space="0" w:color="auto"/>
              <w:right w:val="single" w:sz="4" w:space="0" w:color="auto"/>
            </w:tcBorders>
            <w:hideMark/>
          </w:tcPr>
          <w:p w:rsidR="00AB3384" w:rsidRPr="00F643D1" w:rsidRDefault="00AB3384" w:rsidP="00C566CC">
            <w:pPr>
              <w:rPr>
                <w:rFonts w:cs="Times New Roman"/>
              </w:rPr>
            </w:pPr>
            <w:r w:rsidRPr="00F643D1">
              <w:rPr>
                <w:rFonts w:hint="eastAsia"/>
              </w:rPr>
              <w:t>无</w:t>
            </w:r>
          </w:p>
        </w:tc>
        <w:tc>
          <w:tcPr>
            <w:tcW w:w="2367" w:type="pct"/>
            <w:tcBorders>
              <w:top w:val="single" w:sz="4" w:space="0" w:color="auto"/>
              <w:left w:val="single" w:sz="4" w:space="0" w:color="auto"/>
              <w:right w:val="single" w:sz="4" w:space="0" w:color="auto"/>
            </w:tcBorders>
            <w:hideMark/>
          </w:tcPr>
          <w:p w:rsidR="00AB3384" w:rsidRPr="002E4530" w:rsidRDefault="00AB3384" w:rsidP="00C566CC">
            <w:pPr>
              <w:rPr>
                <w:b/>
                <w:bCs/>
                <w:u w:val="single"/>
              </w:rPr>
            </w:pPr>
            <w:r w:rsidRPr="002E4530">
              <w:rPr>
                <w:rFonts w:hint="eastAsia"/>
                <w:b/>
                <w:bCs/>
                <w:u w:val="single"/>
              </w:rPr>
              <w:t>九、实施侧袋机制期间基金份额持有人大会的特殊约定</w:t>
            </w:r>
          </w:p>
          <w:p w:rsidR="00AB3384" w:rsidRPr="002E4530" w:rsidRDefault="00AB3384" w:rsidP="00C566CC">
            <w:pPr>
              <w:rPr>
                <w:b/>
                <w:bCs/>
                <w:u w:val="single"/>
              </w:rPr>
            </w:pPr>
            <w:r w:rsidRPr="002E4530">
              <w:rPr>
                <w:rFonts w:hint="eastAsia"/>
                <w:b/>
                <w:bCs/>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B3384" w:rsidRPr="002E4530" w:rsidRDefault="00AB3384" w:rsidP="00C566CC">
            <w:pPr>
              <w:rPr>
                <w:b/>
                <w:bCs/>
                <w:u w:val="single"/>
              </w:rPr>
            </w:pPr>
            <w:r w:rsidRPr="002E4530">
              <w:rPr>
                <w:b/>
                <w:bCs/>
                <w:u w:val="single"/>
              </w:rPr>
              <w:t>1</w:t>
            </w:r>
            <w:r w:rsidRPr="002E4530">
              <w:rPr>
                <w:b/>
                <w:bCs/>
                <w:u w:val="single"/>
              </w:rPr>
              <w:t>、基金份额持有人行使提议权、召集权、提名权所需单独或合计代表相关基金份额</w:t>
            </w:r>
            <w:r w:rsidRPr="002E4530">
              <w:rPr>
                <w:b/>
                <w:bCs/>
                <w:u w:val="single"/>
              </w:rPr>
              <w:t>10%</w:t>
            </w:r>
            <w:r w:rsidRPr="002E4530">
              <w:rPr>
                <w:b/>
                <w:bCs/>
                <w:u w:val="single"/>
              </w:rPr>
              <w:t>以上（含</w:t>
            </w:r>
            <w:r w:rsidRPr="002E4530">
              <w:rPr>
                <w:b/>
                <w:bCs/>
                <w:u w:val="single"/>
              </w:rPr>
              <w:t>10%</w:t>
            </w:r>
            <w:r w:rsidRPr="002E4530">
              <w:rPr>
                <w:b/>
                <w:bCs/>
                <w:u w:val="single"/>
              </w:rPr>
              <w:t>）；</w:t>
            </w:r>
          </w:p>
          <w:p w:rsidR="00AB3384" w:rsidRPr="002E4530" w:rsidRDefault="00AB3384" w:rsidP="00C566CC">
            <w:pPr>
              <w:rPr>
                <w:b/>
                <w:bCs/>
                <w:u w:val="single"/>
              </w:rPr>
            </w:pPr>
            <w:r w:rsidRPr="002E4530">
              <w:rPr>
                <w:b/>
                <w:bCs/>
                <w:u w:val="single"/>
              </w:rPr>
              <w:t>2</w:t>
            </w:r>
            <w:r w:rsidRPr="002E4530">
              <w:rPr>
                <w:b/>
                <w:bCs/>
                <w:u w:val="single"/>
              </w:rPr>
              <w:t>、现场开会的到会者在权益登记日代表的基金份额不少于本基金在权益登记日相关基金份额的二分之一（含二分之一）；</w:t>
            </w:r>
          </w:p>
          <w:p w:rsidR="00AB3384" w:rsidRPr="002E4530" w:rsidRDefault="00AB3384" w:rsidP="00C566CC">
            <w:pPr>
              <w:rPr>
                <w:b/>
                <w:bCs/>
                <w:u w:val="single"/>
              </w:rPr>
            </w:pPr>
            <w:r w:rsidRPr="002E4530">
              <w:rPr>
                <w:b/>
                <w:bCs/>
                <w:u w:val="single"/>
              </w:rPr>
              <w:t>3</w:t>
            </w:r>
            <w:r w:rsidRPr="002E4530">
              <w:rPr>
                <w:b/>
                <w:bCs/>
                <w:u w:val="single"/>
              </w:rPr>
              <w:t>、通讯开会的直接出具表决意见或授权他人代表出具表决意见的基金份额持有人所持有的基金份额不小于在权益登记日相关基金份额的二分之一（含二分之一）；</w:t>
            </w:r>
          </w:p>
          <w:p w:rsidR="00AB3384" w:rsidRPr="002E4530" w:rsidRDefault="00AB3384" w:rsidP="00C566CC">
            <w:pPr>
              <w:rPr>
                <w:b/>
                <w:bCs/>
                <w:u w:val="single"/>
              </w:rPr>
            </w:pPr>
            <w:r w:rsidRPr="002E4530">
              <w:rPr>
                <w:b/>
                <w:bCs/>
                <w:u w:val="single"/>
              </w:rPr>
              <w:t>4</w:t>
            </w:r>
            <w:r w:rsidRPr="002E4530">
              <w:rPr>
                <w:b/>
                <w:bCs/>
                <w:u w:val="single"/>
              </w:rPr>
              <w:t>、在参与基金份额持有人大会投票的基金份额持有人所持有的基金份额小于在权益登记日相关基金份额的二分之一、召集人在原公告的基金份额持有人大会召开时间的</w:t>
            </w:r>
            <w:r w:rsidRPr="002E4530">
              <w:rPr>
                <w:b/>
                <w:bCs/>
                <w:u w:val="single"/>
              </w:rPr>
              <w:t>3</w:t>
            </w:r>
            <w:r w:rsidRPr="002E4530">
              <w:rPr>
                <w:b/>
                <w:bCs/>
                <w:u w:val="single"/>
              </w:rPr>
              <w:t>个月以后、</w:t>
            </w:r>
            <w:r w:rsidRPr="002E4530">
              <w:rPr>
                <w:b/>
                <w:bCs/>
                <w:u w:val="single"/>
              </w:rPr>
              <w:t>6</w:t>
            </w:r>
            <w:r w:rsidRPr="002E4530">
              <w:rPr>
                <w:b/>
                <w:bCs/>
                <w:u w:val="single"/>
              </w:rPr>
              <w:t>个月以内就原定审议事项重新召集的基金份额持有人大会应当有代表三分之一以上（含三分之一）相关基金份额的持有人参与或授权他人参与基金份额持有人大会投票；</w:t>
            </w:r>
          </w:p>
          <w:p w:rsidR="00AB3384" w:rsidRPr="002E4530" w:rsidRDefault="00AB3384" w:rsidP="00C566CC">
            <w:pPr>
              <w:rPr>
                <w:b/>
                <w:bCs/>
                <w:u w:val="single"/>
              </w:rPr>
            </w:pPr>
            <w:r w:rsidRPr="002E4530">
              <w:rPr>
                <w:b/>
                <w:bCs/>
                <w:u w:val="single"/>
              </w:rPr>
              <w:t>5</w:t>
            </w:r>
            <w:r w:rsidRPr="002E4530">
              <w:rPr>
                <w:b/>
                <w:bCs/>
                <w:u w:val="single"/>
              </w:rPr>
              <w:t>、现场开会由出席大会的基金份额持有人和代理人所持表决权的</w:t>
            </w:r>
            <w:r w:rsidRPr="002E4530">
              <w:rPr>
                <w:b/>
                <w:bCs/>
                <w:u w:val="single"/>
              </w:rPr>
              <w:t>50%</w:t>
            </w:r>
            <w:r w:rsidRPr="002E4530">
              <w:rPr>
                <w:b/>
                <w:bCs/>
                <w:u w:val="single"/>
              </w:rPr>
              <w:t>以上（含</w:t>
            </w:r>
            <w:r w:rsidRPr="002E4530">
              <w:rPr>
                <w:b/>
                <w:bCs/>
                <w:u w:val="single"/>
              </w:rPr>
              <w:t>50%</w:t>
            </w:r>
            <w:r w:rsidRPr="002E4530">
              <w:rPr>
                <w:b/>
                <w:bCs/>
                <w:u w:val="single"/>
              </w:rPr>
              <w:t>）选举产生一名基金份额持有人作为该次基金份额持有人大会的主持人；</w:t>
            </w:r>
          </w:p>
          <w:p w:rsidR="00AB3384" w:rsidRPr="002E4530" w:rsidRDefault="00AB3384" w:rsidP="00C566CC">
            <w:pPr>
              <w:rPr>
                <w:b/>
                <w:bCs/>
                <w:u w:val="single"/>
              </w:rPr>
            </w:pPr>
            <w:r w:rsidRPr="002E4530">
              <w:rPr>
                <w:b/>
                <w:bCs/>
                <w:u w:val="single"/>
              </w:rPr>
              <w:t>6</w:t>
            </w:r>
            <w:r w:rsidRPr="002E4530">
              <w:rPr>
                <w:b/>
                <w:bCs/>
                <w:u w:val="single"/>
              </w:rPr>
              <w:t>、一般决议须经参加大会的基金份额持有人或其代理人所持表决权的二分之一以上（含二分之一）通过；</w:t>
            </w:r>
          </w:p>
          <w:p w:rsidR="00AB3384" w:rsidRPr="002E4530" w:rsidRDefault="00AB3384" w:rsidP="00C566CC">
            <w:pPr>
              <w:rPr>
                <w:b/>
                <w:bCs/>
                <w:u w:val="single"/>
              </w:rPr>
            </w:pPr>
            <w:r w:rsidRPr="002E4530">
              <w:rPr>
                <w:b/>
                <w:bCs/>
                <w:u w:val="single"/>
              </w:rPr>
              <w:t>7</w:t>
            </w:r>
            <w:r w:rsidRPr="002E4530">
              <w:rPr>
                <w:b/>
                <w:bCs/>
                <w:u w:val="single"/>
              </w:rPr>
              <w:t>、特别决议应当经参加大会的基金份额持有人或其代理人所持表决权的三分之二以上（含三分之二）通过。</w:t>
            </w:r>
          </w:p>
          <w:p w:rsidR="00AB3384" w:rsidRPr="00F643D1" w:rsidRDefault="00AB3384" w:rsidP="00C566CC">
            <w:r w:rsidRPr="002E4530">
              <w:rPr>
                <w:rFonts w:hint="eastAsia"/>
                <w:b/>
                <w:bCs/>
                <w:u w:val="single"/>
              </w:rPr>
              <w:t>同一主侧袋账户内的每份基金份额具有平等的表决权。</w:t>
            </w:r>
          </w:p>
        </w:tc>
      </w:tr>
      <w:tr w:rsidR="00AB3384" w:rsidRPr="00F643D1" w:rsidTr="00AB3384">
        <w:trPr>
          <w:jc w:val="center"/>
        </w:trPr>
        <w:tc>
          <w:tcPr>
            <w:tcW w:w="244" w:type="pct"/>
            <w:tcBorders>
              <w:top w:val="single" w:sz="4" w:space="0" w:color="auto"/>
              <w:left w:val="single" w:sz="4" w:space="0" w:color="000000"/>
              <w:bottom w:val="single" w:sz="4" w:space="0" w:color="auto"/>
              <w:right w:val="single" w:sz="4" w:space="0" w:color="auto"/>
            </w:tcBorders>
            <w:hideMark/>
          </w:tcPr>
          <w:p w:rsidR="00AB3384" w:rsidRPr="00F643D1" w:rsidRDefault="00AB3384" w:rsidP="00C566CC">
            <w:pPr>
              <w:pStyle w:val="ab"/>
              <w:jc w:val="center"/>
            </w:pPr>
            <w:r w:rsidRPr="00F643D1">
              <w:rPr>
                <w:b/>
                <w:bCs/>
              </w:rPr>
              <w:t>第十二部分</w:t>
            </w:r>
            <w:r>
              <w:rPr>
                <w:rFonts w:hint="eastAsia"/>
                <w:b/>
                <w:bCs/>
              </w:rPr>
              <w:t xml:space="preserve"> </w:t>
            </w:r>
            <w:r w:rsidRPr="00F643D1">
              <w:rPr>
                <w:b/>
                <w:bCs/>
              </w:rPr>
              <w:t>基金的投资</w:t>
            </w:r>
          </w:p>
        </w:tc>
        <w:tc>
          <w:tcPr>
            <w:tcW w:w="2390" w:type="pct"/>
            <w:tcBorders>
              <w:top w:val="single" w:sz="4" w:space="0" w:color="auto"/>
              <w:left w:val="single" w:sz="4" w:space="0" w:color="auto"/>
              <w:right w:val="single" w:sz="4" w:space="0" w:color="auto"/>
            </w:tcBorders>
            <w:hideMark/>
          </w:tcPr>
          <w:p w:rsidR="00AB3384" w:rsidRPr="00F643D1" w:rsidRDefault="00AB3384" w:rsidP="00C566CC">
            <w:pPr>
              <w:rPr>
                <w:rFonts w:cs="Times New Roman"/>
              </w:rPr>
            </w:pPr>
            <w:r w:rsidRPr="00F643D1">
              <w:rPr>
                <w:rFonts w:hint="eastAsia"/>
              </w:rPr>
              <w:t>无</w:t>
            </w:r>
          </w:p>
        </w:tc>
        <w:tc>
          <w:tcPr>
            <w:tcW w:w="2367" w:type="pct"/>
            <w:tcBorders>
              <w:top w:val="single" w:sz="4" w:space="0" w:color="auto"/>
              <w:left w:val="single" w:sz="4" w:space="0" w:color="auto"/>
              <w:right w:val="single" w:sz="4" w:space="0" w:color="auto"/>
            </w:tcBorders>
            <w:hideMark/>
          </w:tcPr>
          <w:p w:rsidR="00AB3384" w:rsidRPr="002E4530" w:rsidRDefault="00AB3384" w:rsidP="00C566CC">
            <w:pPr>
              <w:rPr>
                <w:b/>
                <w:bCs/>
                <w:u w:val="single"/>
              </w:rPr>
            </w:pPr>
            <w:r>
              <w:rPr>
                <w:rFonts w:hint="eastAsia"/>
                <w:b/>
                <w:bCs/>
                <w:u w:val="single"/>
              </w:rPr>
              <w:t>八</w:t>
            </w:r>
            <w:r w:rsidRPr="002E4530">
              <w:rPr>
                <w:rFonts w:hint="eastAsia"/>
                <w:b/>
                <w:bCs/>
                <w:u w:val="single"/>
              </w:rPr>
              <w:t>、侧袋机制的实施和投资运作安排</w:t>
            </w:r>
          </w:p>
          <w:p w:rsidR="00AB3384" w:rsidRPr="002E4530" w:rsidRDefault="00AB3384" w:rsidP="00C566CC">
            <w:pPr>
              <w:rPr>
                <w:b/>
                <w:bCs/>
                <w:u w:val="single"/>
              </w:rPr>
            </w:pPr>
            <w:r w:rsidRPr="002E4530">
              <w:rPr>
                <w:rFonts w:hint="eastAsia"/>
                <w:b/>
                <w:bCs/>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AB3384" w:rsidRPr="002E4530" w:rsidRDefault="00AB3384" w:rsidP="00C566CC">
            <w:pPr>
              <w:rPr>
                <w:b/>
                <w:bCs/>
                <w:u w:val="single"/>
              </w:rPr>
            </w:pPr>
            <w:r w:rsidRPr="002E4530">
              <w:rPr>
                <w:rFonts w:hint="eastAsia"/>
                <w:b/>
                <w:bCs/>
                <w:u w:val="single"/>
              </w:rPr>
              <w:t>侧袋机制实施期间，本部分约定的投资组合比例、投资策略、组合限制、业绩比较基准、风险收益特征等约定仅适用于主袋账户。</w:t>
            </w:r>
          </w:p>
          <w:p w:rsidR="00AB3384" w:rsidRPr="00F643D1" w:rsidRDefault="00AB3384" w:rsidP="00C566CC">
            <w:r w:rsidRPr="002E4530">
              <w:rPr>
                <w:rFonts w:hint="eastAsia"/>
                <w:b/>
                <w:bCs/>
                <w:u w:val="single"/>
              </w:rPr>
              <w:t>侧袋账户的实施条件、实施程序、运作安排、投资安排、特定资产的处置变现和支付等对投资者权益有重大影响的事项详见招募说明书的规定。</w:t>
            </w:r>
          </w:p>
        </w:tc>
      </w:tr>
      <w:tr w:rsidR="00AB3384" w:rsidRPr="00F643D1" w:rsidTr="00AB3384">
        <w:trPr>
          <w:jc w:val="center"/>
        </w:trPr>
        <w:tc>
          <w:tcPr>
            <w:tcW w:w="244" w:type="pct"/>
            <w:vMerge w:val="restart"/>
            <w:tcBorders>
              <w:top w:val="single" w:sz="4" w:space="0" w:color="auto"/>
              <w:left w:val="single" w:sz="4" w:space="0" w:color="000000"/>
              <w:right w:val="single" w:sz="4" w:space="0" w:color="auto"/>
            </w:tcBorders>
            <w:hideMark/>
          </w:tcPr>
          <w:p w:rsidR="00AB3384" w:rsidRPr="00F643D1" w:rsidRDefault="00AB3384" w:rsidP="00C566CC">
            <w:pPr>
              <w:pStyle w:val="ab"/>
              <w:jc w:val="center"/>
            </w:pPr>
            <w:r w:rsidRPr="00F643D1">
              <w:rPr>
                <w:b/>
                <w:bCs/>
              </w:rPr>
              <w:t>第十四部分</w:t>
            </w:r>
            <w:r>
              <w:rPr>
                <w:rFonts w:hint="eastAsia"/>
                <w:b/>
                <w:bCs/>
              </w:rPr>
              <w:t xml:space="preserve"> </w:t>
            </w:r>
            <w:r w:rsidRPr="00F643D1">
              <w:rPr>
                <w:b/>
                <w:bCs/>
              </w:rPr>
              <w:t>基金资产估值</w:t>
            </w:r>
          </w:p>
        </w:tc>
        <w:tc>
          <w:tcPr>
            <w:tcW w:w="2390" w:type="pct"/>
            <w:tcBorders>
              <w:top w:val="single" w:sz="4" w:space="0" w:color="auto"/>
              <w:left w:val="single" w:sz="4" w:space="0" w:color="auto"/>
              <w:right w:val="single" w:sz="4" w:space="0" w:color="auto"/>
            </w:tcBorders>
            <w:hideMark/>
          </w:tcPr>
          <w:p w:rsidR="00AB3384" w:rsidRPr="00F643D1" w:rsidRDefault="00AB3384" w:rsidP="00C566CC">
            <w:r>
              <w:t>六</w:t>
            </w:r>
            <w:r w:rsidRPr="00F643D1">
              <w:t>、暂停估值的情形</w:t>
            </w:r>
            <w:r w:rsidRPr="00F643D1">
              <w:t xml:space="preserve"> </w:t>
            </w:r>
          </w:p>
          <w:p w:rsidR="00AB3384" w:rsidRPr="00F643D1" w:rsidRDefault="00AB3384" w:rsidP="00C566CC">
            <w:r>
              <w:t>3</w:t>
            </w:r>
            <w:r w:rsidRPr="00F643D1">
              <w:t>、当前一估值日基金资产净值</w:t>
            </w:r>
            <w:r w:rsidRPr="00F643D1">
              <w:t>50%</w:t>
            </w:r>
            <w:r w:rsidRPr="00F643D1">
              <w:t>以上</w:t>
            </w:r>
            <w:r w:rsidRPr="00F643D1">
              <w:rPr>
                <w:bCs/>
              </w:rPr>
              <w:t>的</w:t>
            </w:r>
            <w:r w:rsidRPr="00F643D1">
              <w:rPr>
                <w:b/>
                <w:bCs/>
                <w:strike/>
              </w:rPr>
              <w:t>资产出现无可参考的活跃市场价格且采用估值技术仍导致公允价值存在重大不确定性时</w:t>
            </w:r>
            <w:r w:rsidRPr="00F643D1">
              <w:t>，经与基金托管人协商确认后，基金管理人应当暂停</w:t>
            </w:r>
            <w:r w:rsidRPr="000D5873">
              <w:rPr>
                <w:rFonts w:hint="eastAsia"/>
              </w:rPr>
              <w:t>基金</w:t>
            </w:r>
            <w:r w:rsidRPr="00F643D1">
              <w:t>估值；</w:t>
            </w:r>
            <w:r w:rsidRPr="00F643D1">
              <w:t xml:space="preserve"> </w:t>
            </w:r>
          </w:p>
        </w:tc>
        <w:tc>
          <w:tcPr>
            <w:tcW w:w="2367" w:type="pct"/>
            <w:tcBorders>
              <w:top w:val="single" w:sz="4" w:space="0" w:color="auto"/>
              <w:left w:val="single" w:sz="4" w:space="0" w:color="auto"/>
              <w:right w:val="single" w:sz="4" w:space="0" w:color="auto"/>
            </w:tcBorders>
            <w:hideMark/>
          </w:tcPr>
          <w:p w:rsidR="00AB3384" w:rsidRPr="00F643D1" w:rsidRDefault="00AB3384" w:rsidP="00C566CC">
            <w:r>
              <w:t>六</w:t>
            </w:r>
            <w:r w:rsidRPr="00F643D1">
              <w:t>、暂停估值的情形</w:t>
            </w:r>
            <w:r w:rsidRPr="00F643D1">
              <w:t xml:space="preserve"> </w:t>
            </w:r>
          </w:p>
          <w:p w:rsidR="00AB3384" w:rsidRPr="00F643D1" w:rsidRDefault="00AB3384" w:rsidP="00C566CC">
            <w:r>
              <w:t>3</w:t>
            </w:r>
            <w:r w:rsidRPr="00F643D1">
              <w:t>、当</w:t>
            </w:r>
            <w:r w:rsidRPr="00F643D1">
              <w:rPr>
                <w:b/>
                <w:bCs/>
                <w:u w:val="single"/>
              </w:rPr>
              <w:t>特定资产占</w:t>
            </w:r>
            <w:r w:rsidRPr="00F643D1">
              <w:t>前一估值日基金资产净值</w:t>
            </w:r>
            <w:r w:rsidRPr="00F643D1">
              <w:t>50%</w:t>
            </w:r>
            <w:r w:rsidRPr="00F643D1">
              <w:t>以上</w:t>
            </w:r>
            <w:r w:rsidRPr="00F643D1">
              <w:rPr>
                <w:bCs/>
              </w:rPr>
              <w:t>的</w:t>
            </w:r>
            <w:r>
              <w:t>，经与基金托管人协商确认后，基金管理人应当暂停</w:t>
            </w:r>
            <w:r w:rsidRPr="000D5873">
              <w:rPr>
                <w:rFonts w:hint="eastAsia"/>
              </w:rPr>
              <w:t>基金</w:t>
            </w:r>
            <w:r w:rsidRPr="00F643D1">
              <w:t>估值；</w:t>
            </w:r>
            <w:r w:rsidRPr="00F643D1">
              <w:t xml:space="preserve"> </w:t>
            </w:r>
          </w:p>
        </w:tc>
      </w:tr>
      <w:tr w:rsidR="00AB3384" w:rsidRPr="00F643D1" w:rsidTr="00AB3384">
        <w:trPr>
          <w:jc w:val="center"/>
        </w:trPr>
        <w:tc>
          <w:tcPr>
            <w:tcW w:w="244" w:type="pct"/>
            <w:vMerge/>
            <w:tcBorders>
              <w:left w:val="single" w:sz="4" w:space="0" w:color="000000"/>
              <w:right w:val="single" w:sz="4" w:space="0" w:color="auto"/>
            </w:tcBorders>
          </w:tcPr>
          <w:p w:rsidR="00AB3384" w:rsidRPr="00F643D1" w:rsidRDefault="00AB3384" w:rsidP="00C566CC">
            <w:pPr>
              <w:pStyle w:val="ab"/>
              <w:jc w:val="center"/>
              <w:rPr>
                <w:b/>
                <w:bCs/>
              </w:rPr>
            </w:pPr>
          </w:p>
        </w:tc>
        <w:tc>
          <w:tcPr>
            <w:tcW w:w="2390" w:type="pct"/>
            <w:tcBorders>
              <w:top w:val="single" w:sz="4" w:space="0" w:color="auto"/>
              <w:left w:val="single" w:sz="4" w:space="0" w:color="auto"/>
              <w:right w:val="single" w:sz="4" w:space="0" w:color="auto"/>
            </w:tcBorders>
          </w:tcPr>
          <w:p w:rsidR="00AB3384" w:rsidRPr="00F643D1" w:rsidRDefault="00AB3384" w:rsidP="00C566CC">
            <w:r w:rsidRPr="00F643D1">
              <w:rPr>
                <w:rFonts w:hint="eastAsia"/>
              </w:rPr>
              <w:t>无</w:t>
            </w:r>
          </w:p>
        </w:tc>
        <w:tc>
          <w:tcPr>
            <w:tcW w:w="2367" w:type="pct"/>
            <w:tcBorders>
              <w:top w:val="single" w:sz="4" w:space="0" w:color="auto"/>
              <w:left w:val="single" w:sz="4" w:space="0" w:color="auto"/>
              <w:right w:val="single" w:sz="4" w:space="0" w:color="auto"/>
            </w:tcBorders>
          </w:tcPr>
          <w:p w:rsidR="00AB3384" w:rsidRPr="00F643D1" w:rsidRDefault="00AB3384" w:rsidP="00C566CC">
            <w:r>
              <w:rPr>
                <w:b/>
                <w:bCs/>
                <w:u w:val="single"/>
              </w:rPr>
              <w:t>八</w:t>
            </w:r>
            <w:r w:rsidRPr="00F643D1">
              <w:rPr>
                <w:b/>
                <w:bCs/>
                <w:u w:val="single"/>
              </w:rPr>
              <w:t>、实施侧袋机制期间的基金资产估值</w:t>
            </w:r>
            <w:r w:rsidRPr="00F643D1">
              <w:t xml:space="preserve"> </w:t>
            </w:r>
          </w:p>
          <w:p w:rsidR="00AB3384" w:rsidRPr="00F643D1" w:rsidRDefault="00AB3384" w:rsidP="00C566CC">
            <w:pPr>
              <w:rPr>
                <w:b/>
                <w:bCs/>
                <w:u w:val="single"/>
              </w:rPr>
            </w:pPr>
            <w:r w:rsidRPr="002E4530">
              <w:rPr>
                <w:rFonts w:hint="eastAsia"/>
                <w:b/>
                <w:bCs/>
                <w:u w:val="single"/>
              </w:rPr>
              <w:t>本基金实施侧袋机制的，应根据本部分的约定对主袋账户资产进行估值并披露主袋账户的基金资产净值和份额净值，暂停披露侧袋账户份额净值。</w:t>
            </w:r>
          </w:p>
        </w:tc>
      </w:tr>
      <w:tr w:rsidR="00AB3384" w:rsidRPr="00F643D1" w:rsidTr="00AB3384">
        <w:trPr>
          <w:jc w:val="center"/>
        </w:trPr>
        <w:tc>
          <w:tcPr>
            <w:tcW w:w="244" w:type="pct"/>
            <w:tcBorders>
              <w:top w:val="single" w:sz="4" w:space="0" w:color="auto"/>
              <w:left w:val="single" w:sz="4" w:space="0" w:color="000000"/>
              <w:right w:val="single" w:sz="4" w:space="0" w:color="auto"/>
            </w:tcBorders>
            <w:hideMark/>
          </w:tcPr>
          <w:p w:rsidR="00AB3384" w:rsidRPr="00F643D1" w:rsidRDefault="00AB3384" w:rsidP="00C566CC">
            <w:pPr>
              <w:pStyle w:val="ab"/>
              <w:jc w:val="center"/>
            </w:pPr>
            <w:r w:rsidRPr="00F643D1">
              <w:rPr>
                <w:b/>
                <w:bCs/>
              </w:rPr>
              <w:t>第十五部分</w:t>
            </w:r>
            <w:r>
              <w:rPr>
                <w:rFonts w:hint="eastAsia"/>
                <w:b/>
                <w:bCs/>
              </w:rPr>
              <w:t xml:space="preserve"> </w:t>
            </w:r>
            <w:r w:rsidRPr="00F643D1">
              <w:rPr>
                <w:b/>
                <w:bCs/>
              </w:rPr>
              <w:t>基金费用与税收</w:t>
            </w:r>
          </w:p>
        </w:tc>
        <w:tc>
          <w:tcPr>
            <w:tcW w:w="2390" w:type="pct"/>
            <w:tcBorders>
              <w:top w:val="single" w:sz="4" w:space="0" w:color="auto"/>
              <w:left w:val="single" w:sz="4" w:space="0" w:color="auto"/>
              <w:right w:val="single" w:sz="4" w:space="0" w:color="auto"/>
            </w:tcBorders>
            <w:hideMark/>
          </w:tcPr>
          <w:p w:rsidR="00AB3384" w:rsidRPr="00F643D1" w:rsidRDefault="00AB3384" w:rsidP="00C566CC">
            <w:pPr>
              <w:rPr>
                <w:rFonts w:cs="Times New Roman"/>
              </w:rPr>
            </w:pPr>
            <w:r w:rsidRPr="00F643D1">
              <w:rPr>
                <w:rFonts w:hint="eastAsia"/>
              </w:rPr>
              <w:t>无</w:t>
            </w:r>
          </w:p>
        </w:tc>
        <w:tc>
          <w:tcPr>
            <w:tcW w:w="2367" w:type="pct"/>
            <w:tcBorders>
              <w:top w:val="single" w:sz="4" w:space="0" w:color="auto"/>
              <w:left w:val="single" w:sz="4" w:space="0" w:color="auto"/>
              <w:right w:val="single" w:sz="4" w:space="0" w:color="auto"/>
            </w:tcBorders>
            <w:hideMark/>
          </w:tcPr>
          <w:p w:rsidR="00AB3384" w:rsidRPr="00F643D1" w:rsidRDefault="00AB3384" w:rsidP="00C566CC">
            <w:r>
              <w:rPr>
                <w:b/>
                <w:bCs/>
                <w:u w:val="single"/>
              </w:rPr>
              <w:t>五</w:t>
            </w:r>
            <w:r w:rsidRPr="00F643D1">
              <w:rPr>
                <w:b/>
                <w:bCs/>
                <w:u w:val="single"/>
              </w:rPr>
              <w:t>、实施侧袋机制期间的基金费用</w:t>
            </w:r>
            <w:r w:rsidRPr="00F643D1">
              <w:t xml:space="preserve"> </w:t>
            </w:r>
          </w:p>
          <w:p w:rsidR="00AB3384" w:rsidRPr="00F643D1" w:rsidRDefault="00AB3384" w:rsidP="00C566CC">
            <w:r w:rsidRPr="002E4530">
              <w:rPr>
                <w:rFonts w:hint="eastAsia"/>
                <w:b/>
                <w:bCs/>
                <w:u w:val="single"/>
              </w:rPr>
              <w:t>本基金实施侧袋机制的，与侧袋账户有关的费用可以从侧袋账户中列支，但应待侧袋账户资产变现后方可列支，有关费用可酌情收取或减免，但不得收取管理费，详见招募说明书的规定。</w:t>
            </w:r>
          </w:p>
        </w:tc>
      </w:tr>
      <w:tr w:rsidR="00AB3384" w:rsidRPr="00F643D1" w:rsidTr="00AB3384">
        <w:trPr>
          <w:jc w:val="center"/>
        </w:trPr>
        <w:tc>
          <w:tcPr>
            <w:tcW w:w="244" w:type="pct"/>
            <w:tcBorders>
              <w:top w:val="single" w:sz="4" w:space="0" w:color="auto"/>
              <w:left w:val="single" w:sz="4" w:space="0" w:color="000000"/>
              <w:bottom w:val="single" w:sz="4" w:space="0" w:color="auto"/>
              <w:right w:val="single" w:sz="4" w:space="0" w:color="auto"/>
            </w:tcBorders>
            <w:hideMark/>
          </w:tcPr>
          <w:p w:rsidR="00AB3384" w:rsidRPr="00F643D1" w:rsidRDefault="00AB3384" w:rsidP="00C566CC">
            <w:pPr>
              <w:pStyle w:val="ab"/>
              <w:jc w:val="center"/>
            </w:pPr>
            <w:r w:rsidRPr="00F643D1">
              <w:rPr>
                <w:b/>
                <w:bCs/>
              </w:rPr>
              <w:t>第十六部分</w:t>
            </w:r>
            <w:r>
              <w:rPr>
                <w:rFonts w:hint="eastAsia"/>
                <w:b/>
                <w:bCs/>
              </w:rPr>
              <w:t xml:space="preserve"> </w:t>
            </w:r>
            <w:r w:rsidRPr="00F643D1">
              <w:rPr>
                <w:b/>
                <w:bCs/>
              </w:rPr>
              <w:t>基金的收益与分配</w:t>
            </w:r>
          </w:p>
        </w:tc>
        <w:tc>
          <w:tcPr>
            <w:tcW w:w="2390" w:type="pct"/>
            <w:tcBorders>
              <w:top w:val="single" w:sz="4" w:space="0" w:color="auto"/>
              <w:left w:val="single" w:sz="4" w:space="0" w:color="auto"/>
              <w:right w:val="single" w:sz="4" w:space="0" w:color="auto"/>
            </w:tcBorders>
            <w:hideMark/>
          </w:tcPr>
          <w:p w:rsidR="00AB3384" w:rsidRPr="00F643D1" w:rsidRDefault="00AB3384" w:rsidP="00C566CC">
            <w:pPr>
              <w:rPr>
                <w:rFonts w:cs="Times New Roman"/>
              </w:rPr>
            </w:pPr>
            <w:r w:rsidRPr="00F643D1">
              <w:rPr>
                <w:rFonts w:hint="eastAsia"/>
              </w:rPr>
              <w:t>无</w:t>
            </w:r>
          </w:p>
        </w:tc>
        <w:tc>
          <w:tcPr>
            <w:tcW w:w="2367" w:type="pct"/>
            <w:tcBorders>
              <w:top w:val="single" w:sz="4" w:space="0" w:color="auto"/>
              <w:left w:val="single" w:sz="4" w:space="0" w:color="auto"/>
              <w:right w:val="single" w:sz="4" w:space="0" w:color="auto"/>
            </w:tcBorders>
            <w:hideMark/>
          </w:tcPr>
          <w:p w:rsidR="00AB3384" w:rsidRPr="00F643D1" w:rsidRDefault="00AB3384" w:rsidP="00C566CC">
            <w:r w:rsidRPr="00F643D1">
              <w:rPr>
                <w:b/>
                <w:bCs/>
                <w:u w:val="single"/>
              </w:rPr>
              <w:t>七、实施侧袋机制期间的收益分配</w:t>
            </w:r>
            <w:r w:rsidRPr="00F643D1">
              <w:t xml:space="preserve"> </w:t>
            </w:r>
          </w:p>
          <w:p w:rsidR="00AB3384" w:rsidRPr="00F643D1" w:rsidRDefault="00AB3384" w:rsidP="00C566CC">
            <w:r w:rsidRPr="002E4530">
              <w:rPr>
                <w:rFonts w:hint="eastAsia"/>
                <w:b/>
                <w:bCs/>
                <w:u w:val="single"/>
              </w:rPr>
              <w:t>本基金实施侧袋机制的，侧袋账户不进行收益分配，详见招募说明书的规定。</w:t>
            </w:r>
          </w:p>
        </w:tc>
      </w:tr>
      <w:tr w:rsidR="00AB3384" w:rsidRPr="00F643D1" w:rsidTr="00AB3384">
        <w:trPr>
          <w:jc w:val="center"/>
        </w:trPr>
        <w:tc>
          <w:tcPr>
            <w:tcW w:w="244" w:type="pct"/>
            <w:tcBorders>
              <w:top w:val="single" w:sz="4" w:space="0" w:color="auto"/>
              <w:left w:val="single" w:sz="4" w:space="0" w:color="000000"/>
              <w:right w:val="single" w:sz="4" w:space="0" w:color="auto"/>
            </w:tcBorders>
            <w:hideMark/>
          </w:tcPr>
          <w:p w:rsidR="00AB3384" w:rsidRPr="00F643D1" w:rsidRDefault="00AB3384" w:rsidP="00C566CC">
            <w:pPr>
              <w:pStyle w:val="ab"/>
              <w:jc w:val="center"/>
            </w:pPr>
            <w:r w:rsidRPr="00F643D1">
              <w:rPr>
                <w:b/>
                <w:bCs/>
              </w:rPr>
              <w:t>第十八部分</w:t>
            </w:r>
            <w:r>
              <w:rPr>
                <w:rFonts w:hint="eastAsia"/>
                <w:b/>
                <w:bCs/>
              </w:rPr>
              <w:t xml:space="preserve"> </w:t>
            </w:r>
            <w:r w:rsidRPr="00F643D1">
              <w:rPr>
                <w:b/>
                <w:bCs/>
              </w:rPr>
              <w:t>基金的信息披露</w:t>
            </w:r>
          </w:p>
        </w:tc>
        <w:tc>
          <w:tcPr>
            <w:tcW w:w="2390" w:type="pct"/>
            <w:tcBorders>
              <w:top w:val="single" w:sz="4" w:space="0" w:color="auto"/>
              <w:left w:val="single" w:sz="4" w:space="0" w:color="auto"/>
              <w:right w:val="single" w:sz="4" w:space="0" w:color="auto"/>
            </w:tcBorders>
            <w:hideMark/>
          </w:tcPr>
          <w:p w:rsidR="00AB3384" w:rsidRPr="00F643D1" w:rsidRDefault="00AB3384" w:rsidP="00C566CC">
            <w:r w:rsidRPr="00F643D1">
              <w:t>五、公开披露的基金信息</w:t>
            </w:r>
            <w:r w:rsidRPr="00F643D1">
              <w:t xml:space="preserve"> </w:t>
            </w:r>
          </w:p>
          <w:p w:rsidR="00AB3384" w:rsidRPr="00F643D1" w:rsidRDefault="00AB3384" w:rsidP="00C566CC">
            <w:r w:rsidRPr="00F643D1">
              <w:rPr>
                <w:rFonts w:hint="eastAsia"/>
              </w:rPr>
              <w:t>无</w:t>
            </w:r>
          </w:p>
        </w:tc>
        <w:tc>
          <w:tcPr>
            <w:tcW w:w="2367" w:type="pct"/>
            <w:tcBorders>
              <w:top w:val="single" w:sz="4" w:space="0" w:color="auto"/>
              <w:left w:val="single" w:sz="4" w:space="0" w:color="auto"/>
              <w:right w:val="single" w:sz="4" w:space="0" w:color="auto"/>
            </w:tcBorders>
            <w:hideMark/>
          </w:tcPr>
          <w:p w:rsidR="00AB3384" w:rsidRPr="00F643D1" w:rsidRDefault="00AB3384" w:rsidP="00C566CC">
            <w:r w:rsidRPr="00F643D1">
              <w:t>五、公开披露的基金信息</w:t>
            </w:r>
            <w:r w:rsidRPr="00F643D1">
              <w:t xml:space="preserve"> </w:t>
            </w:r>
          </w:p>
          <w:p w:rsidR="00AB3384" w:rsidRPr="00F643D1" w:rsidRDefault="00AB3384" w:rsidP="00C566CC">
            <w:r>
              <w:rPr>
                <w:b/>
                <w:bCs/>
                <w:u w:val="single"/>
              </w:rPr>
              <w:t>（十二</w:t>
            </w:r>
            <w:r w:rsidRPr="00F643D1">
              <w:rPr>
                <w:b/>
                <w:bCs/>
                <w:u w:val="single"/>
              </w:rPr>
              <w:t>）实施侧袋机制期间的信息披露</w:t>
            </w:r>
            <w:r w:rsidRPr="00F643D1">
              <w:t xml:space="preserve"> </w:t>
            </w:r>
          </w:p>
          <w:p w:rsidR="00AB3384" w:rsidRPr="00F643D1" w:rsidRDefault="00AB3384" w:rsidP="00C566CC">
            <w:r w:rsidRPr="004B031D">
              <w:rPr>
                <w:rFonts w:hint="eastAsia"/>
                <w:b/>
                <w:bCs/>
                <w:u w:val="single"/>
              </w:rPr>
              <w:t>本基金实施侧袋机制的，相关信息披露义务人应当根据法律法规、基金合同和招募说明书的规定进行信息披露，详见招募说明书的规定。</w:t>
            </w:r>
            <w:r w:rsidRPr="00F643D1">
              <w:t xml:space="preserve"> </w:t>
            </w:r>
          </w:p>
        </w:tc>
      </w:tr>
    </w:tbl>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因各基金的类型及具体表述等不完全相同，《基金合同》中相应条款表述及修订位置可能存在略微差异，详细修改内容请见各基金修改后的《基金合同》。</w:t>
      </w:r>
    </w:p>
    <w:p w:rsidR="00B84A50" w:rsidRDefault="00B84A50">
      <w:pPr>
        <w:spacing w:line="360" w:lineRule="auto"/>
        <w:ind w:firstLineChars="200" w:firstLine="420"/>
        <w:rPr>
          <w:rFonts w:eastAsia="宋体" w:cstheme="minorHAnsi"/>
          <w:kern w:val="0"/>
          <w:szCs w:val="21"/>
        </w:rPr>
      </w:pPr>
    </w:p>
    <w:p w:rsidR="00B84A50" w:rsidRDefault="00F17B98">
      <w:pPr>
        <w:spacing w:line="360" w:lineRule="auto"/>
        <w:ind w:firstLineChars="200" w:firstLine="422"/>
        <w:rPr>
          <w:rFonts w:eastAsia="宋体" w:cstheme="minorHAnsi"/>
          <w:b/>
          <w:kern w:val="0"/>
          <w:szCs w:val="21"/>
        </w:rPr>
      </w:pPr>
      <w:r>
        <w:rPr>
          <w:rFonts w:eastAsia="宋体" w:cstheme="minorHAnsi" w:hint="eastAsia"/>
          <w:b/>
          <w:kern w:val="0"/>
          <w:szCs w:val="21"/>
        </w:rPr>
        <w:t>（二）根据上述变更，本公司与基金托管人对各基金的《托管协议》进行了相应修订。</w:t>
      </w:r>
    </w:p>
    <w:p w:rsidR="00B84A50" w:rsidRDefault="00B84A50">
      <w:pPr>
        <w:spacing w:line="360" w:lineRule="auto"/>
        <w:ind w:firstLineChars="200" w:firstLine="422"/>
        <w:rPr>
          <w:rFonts w:eastAsia="宋体" w:cstheme="minorHAnsi"/>
          <w:b/>
          <w:kern w:val="0"/>
          <w:szCs w:val="21"/>
        </w:rPr>
      </w:pPr>
    </w:p>
    <w:p w:rsidR="00B84A50" w:rsidRDefault="00F17B98">
      <w:pPr>
        <w:spacing w:line="360" w:lineRule="auto"/>
        <w:ind w:firstLineChars="200" w:firstLine="422"/>
        <w:rPr>
          <w:rFonts w:eastAsia="宋体" w:cstheme="minorHAnsi"/>
          <w:b/>
          <w:kern w:val="0"/>
          <w:szCs w:val="21"/>
        </w:rPr>
      </w:pPr>
      <w:r>
        <w:rPr>
          <w:rFonts w:eastAsia="宋体" w:cstheme="minorHAnsi" w:hint="eastAsia"/>
          <w:b/>
          <w:kern w:val="0"/>
          <w:szCs w:val="21"/>
        </w:rPr>
        <w:t>投资者可访问本公司网站（</w:t>
      </w:r>
      <w:r>
        <w:rPr>
          <w:rFonts w:eastAsia="宋体" w:cstheme="minorHAnsi" w:hint="eastAsia"/>
          <w:b/>
          <w:kern w:val="0"/>
          <w:szCs w:val="21"/>
        </w:rPr>
        <w:t>www.citicprufunds.com.cn</w:t>
      </w:r>
      <w:r>
        <w:rPr>
          <w:rFonts w:eastAsia="宋体" w:cstheme="minorHAnsi" w:hint="eastAsia"/>
          <w:b/>
          <w:kern w:val="0"/>
          <w:szCs w:val="21"/>
        </w:rPr>
        <w:t>）查阅</w:t>
      </w:r>
      <w:r>
        <w:rPr>
          <w:rFonts w:eastAsia="宋体" w:cstheme="minorHAnsi"/>
          <w:b/>
          <w:kern w:val="0"/>
          <w:szCs w:val="21"/>
        </w:rPr>
        <w:t>各</w:t>
      </w:r>
      <w:r>
        <w:rPr>
          <w:rFonts w:eastAsia="宋体" w:cstheme="minorHAnsi" w:hint="eastAsia"/>
          <w:b/>
          <w:kern w:val="0"/>
          <w:szCs w:val="21"/>
        </w:rPr>
        <w:t>基金修订后的《基金合同》、《托管协议》全文。</w:t>
      </w:r>
    </w:p>
    <w:p w:rsidR="00B84A50" w:rsidRDefault="00B84A50">
      <w:pPr>
        <w:spacing w:line="360" w:lineRule="auto"/>
        <w:ind w:firstLineChars="200" w:firstLine="422"/>
        <w:rPr>
          <w:rFonts w:eastAsia="宋体" w:cstheme="minorHAnsi"/>
          <w:b/>
          <w:kern w:val="0"/>
          <w:szCs w:val="21"/>
        </w:rPr>
      </w:pPr>
    </w:p>
    <w:p w:rsidR="00B84A50" w:rsidRDefault="00F17B98">
      <w:pPr>
        <w:spacing w:line="360" w:lineRule="auto"/>
        <w:ind w:firstLineChars="200" w:firstLine="422"/>
        <w:rPr>
          <w:rFonts w:eastAsia="宋体" w:cstheme="minorHAnsi"/>
          <w:b/>
          <w:kern w:val="0"/>
          <w:szCs w:val="21"/>
        </w:rPr>
      </w:pPr>
      <w:r>
        <w:rPr>
          <w:rFonts w:eastAsia="宋体" w:cstheme="minorHAnsi" w:hint="eastAsia"/>
          <w:b/>
          <w:kern w:val="0"/>
          <w:szCs w:val="21"/>
        </w:rPr>
        <w:t>三、上述各基金的招募说明书（更新）及基金产品资料概要</w:t>
      </w:r>
      <w:r w:rsidR="004F4D7E">
        <w:rPr>
          <w:rFonts w:eastAsia="宋体" w:cstheme="minorHAnsi" w:hint="eastAsia"/>
          <w:b/>
          <w:kern w:val="0"/>
          <w:szCs w:val="21"/>
        </w:rPr>
        <w:t>（如需）</w:t>
      </w:r>
      <w:r>
        <w:rPr>
          <w:rFonts w:eastAsia="宋体" w:cstheme="minorHAnsi" w:hint="eastAsia"/>
          <w:b/>
          <w:kern w:val="0"/>
          <w:szCs w:val="21"/>
        </w:rPr>
        <w:t>将依照《信息披露办法》的有关规定在三个工作日内根据《基金合同》、《托管协议》的修改内容进行更新并在规定媒介上公告。</w:t>
      </w:r>
    </w:p>
    <w:p w:rsidR="00B84A50" w:rsidRDefault="00B84A50">
      <w:pPr>
        <w:spacing w:line="360" w:lineRule="auto"/>
        <w:ind w:firstLineChars="200" w:firstLine="422"/>
        <w:rPr>
          <w:rFonts w:eastAsia="宋体" w:cstheme="minorHAnsi"/>
          <w:b/>
          <w:kern w:val="0"/>
          <w:szCs w:val="21"/>
        </w:rPr>
      </w:pPr>
    </w:p>
    <w:p w:rsidR="00B84A50" w:rsidRDefault="00F17B98">
      <w:pPr>
        <w:spacing w:line="360" w:lineRule="auto"/>
        <w:ind w:firstLineChars="200" w:firstLine="422"/>
        <w:rPr>
          <w:rFonts w:eastAsia="宋体" w:cstheme="minorHAnsi"/>
          <w:b/>
          <w:kern w:val="0"/>
          <w:szCs w:val="21"/>
        </w:rPr>
      </w:pPr>
      <w:r>
        <w:rPr>
          <w:rFonts w:eastAsia="宋体" w:cstheme="minorHAnsi" w:hint="eastAsia"/>
          <w:b/>
          <w:kern w:val="0"/>
          <w:szCs w:val="21"/>
        </w:rPr>
        <w:t>四、重要提示</w:t>
      </w: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上述各基金《基金合同》的修订对基金份额持有人利益无实质性不利影响，也不涉及基金合同当事人权利义务关系发生重大变化，无需召开基金份额持有人大会，已经履行了规定的程序，符合相关法律法规及基金合同的规定。</w:t>
      </w: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本次修订更新后的《基金合同》、《托管协议》将自</w:t>
      </w:r>
      <w:r>
        <w:rPr>
          <w:rFonts w:eastAsia="宋体" w:cstheme="minorHAnsi" w:hint="eastAsia"/>
          <w:kern w:val="0"/>
          <w:szCs w:val="21"/>
        </w:rPr>
        <w:t>2021</w:t>
      </w:r>
      <w:r>
        <w:rPr>
          <w:rFonts w:eastAsia="宋体" w:cstheme="minorHAnsi" w:hint="eastAsia"/>
          <w:kern w:val="0"/>
          <w:szCs w:val="21"/>
        </w:rPr>
        <w:t>年</w:t>
      </w:r>
      <w:r w:rsidR="003E09FA">
        <w:rPr>
          <w:rFonts w:eastAsia="宋体" w:cstheme="minorHAnsi" w:hint="eastAsia"/>
          <w:kern w:val="0"/>
          <w:szCs w:val="21"/>
        </w:rPr>
        <w:t>7</w:t>
      </w:r>
      <w:r>
        <w:rPr>
          <w:rFonts w:eastAsia="宋体" w:cstheme="minorHAnsi" w:hint="eastAsia"/>
          <w:kern w:val="0"/>
          <w:szCs w:val="21"/>
        </w:rPr>
        <w:t>月</w:t>
      </w:r>
      <w:r w:rsidR="003E09FA">
        <w:rPr>
          <w:rFonts w:eastAsia="宋体" w:cstheme="minorHAnsi" w:hint="eastAsia"/>
          <w:kern w:val="0"/>
          <w:szCs w:val="21"/>
        </w:rPr>
        <w:t>22</w:t>
      </w:r>
      <w:r>
        <w:rPr>
          <w:rFonts w:eastAsia="宋体" w:cstheme="minorHAnsi" w:hint="eastAsia"/>
          <w:kern w:val="0"/>
          <w:szCs w:val="21"/>
        </w:rPr>
        <w:t>日起生效。</w:t>
      </w: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投资者可通过以下途径咨询有关详情：</w:t>
      </w: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本公司客户服务电话：</w:t>
      </w:r>
      <w:r>
        <w:rPr>
          <w:rFonts w:eastAsia="宋体" w:cstheme="minorHAnsi" w:hint="eastAsia"/>
          <w:kern w:val="0"/>
          <w:szCs w:val="21"/>
        </w:rPr>
        <w:t>400-666-0066</w:t>
      </w:r>
      <w:r>
        <w:rPr>
          <w:rFonts w:eastAsia="宋体" w:cstheme="minorHAnsi" w:hint="eastAsia"/>
          <w:kern w:val="0"/>
          <w:szCs w:val="21"/>
        </w:rPr>
        <w:t>（免长途费用）</w:t>
      </w: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本公司网址：</w:t>
      </w:r>
      <w:r>
        <w:rPr>
          <w:rFonts w:eastAsia="宋体" w:cstheme="minorHAnsi"/>
          <w:kern w:val="0"/>
          <w:szCs w:val="21"/>
        </w:rPr>
        <w:t>www.citicprufunds.com.cn</w:t>
      </w: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本公告的解释权归中信保诚基金管理有限公司所有。</w:t>
      </w: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本公告仅对本公司旗下部分基金修改法律文件的有关事项予以说明。投资者欲了解各基金的详细情况，请仔细阅读各基金的《基金合同》、《招募说明书（更新）》、《基金产品资料概要》及相关法律文件。</w:t>
      </w:r>
    </w:p>
    <w:p w:rsidR="00B84A50" w:rsidRDefault="00B84A50">
      <w:pPr>
        <w:spacing w:line="360" w:lineRule="auto"/>
        <w:ind w:firstLineChars="200" w:firstLine="420"/>
        <w:rPr>
          <w:rFonts w:eastAsia="宋体" w:cstheme="minorHAnsi"/>
          <w:kern w:val="0"/>
          <w:szCs w:val="21"/>
        </w:rPr>
      </w:pPr>
    </w:p>
    <w:p w:rsidR="00B84A50" w:rsidRDefault="00F17B98">
      <w:pPr>
        <w:spacing w:line="360" w:lineRule="auto"/>
        <w:ind w:firstLineChars="200" w:firstLine="420"/>
        <w:rPr>
          <w:rFonts w:eastAsia="宋体" w:cstheme="minorHAnsi"/>
          <w:kern w:val="0"/>
          <w:szCs w:val="21"/>
        </w:rPr>
      </w:pPr>
      <w:r>
        <w:rPr>
          <w:rFonts w:eastAsia="宋体" w:cstheme="minorHAnsi" w:hint="eastAsia"/>
          <w:kern w:val="0"/>
          <w:szCs w:val="21"/>
        </w:rPr>
        <w:t>风险提示：</w:t>
      </w:r>
    </w:p>
    <w:p w:rsidR="00B84A50" w:rsidRDefault="00F17B98">
      <w:pPr>
        <w:spacing w:line="360" w:lineRule="auto"/>
        <w:ind w:firstLineChars="200" w:firstLine="420"/>
        <w:rPr>
          <w:szCs w:val="21"/>
        </w:rPr>
      </w:pPr>
      <w:r>
        <w:rPr>
          <w:szCs w:val="21"/>
        </w:rPr>
        <w:t>基金管理人承诺以诚实信用、勤勉尽责的原则管理和运用基金资产，但不保证基金一定盈利，也不保证最低收益。</w:t>
      </w:r>
      <w:r>
        <w:rPr>
          <w:rFonts w:hint="eastAsia"/>
          <w:szCs w:val="21"/>
        </w:rPr>
        <w:t>基金的过往业绩及其净值高低并不预示其未来业绩表现，基金管理人管理的其他基金的业绩也不构成对基金业绩表现的保证。基金管理人提醒投资人基金投资的“买者自负”原则，在做出投资决策后，基金运营状况与基金净值变化引致的投资风险，由投资人自行负担。</w:t>
      </w:r>
      <w:r>
        <w:rPr>
          <w:szCs w:val="21"/>
        </w:rPr>
        <w:t>投资人应当认真阅读《基金合同》、《招募说明书》</w:t>
      </w:r>
      <w:r>
        <w:rPr>
          <w:rFonts w:hint="eastAsia"/>
          <w:szCs w:val="21"/>
        </w:rPr>
        <w:t>、《基金产品资料概要》</w:t>
      </w:r>
      <w:r>
        <w:rPr>
          <w:szCs w:val="21"/>
        </w:rPr>
        <w:t>等基金法律文件，了解基金的风险收益特征，并根据自身的投资目的、投资期限、投资经验、资产状况等判断基金是否和投资人的风险承受能力相适应</w:t>
      </w:r>
      <w:r>
        <w:rPr>
          <w:rFonts w:hint="eastAsia"/>
          <w:szCs w:val="21"/>
        </w:rPr>
        <w:t>，自主判断基金的投资价值，自主做出投资决策，自行承担投资风险</w:t>
      </w:r>
      <w:r>
        <w:rPr>
          <w:szCs w:val="21"/>
        </w:rPr>
        <w:t>。</w:t>
      </w:r>
    </w:p>
    <w:p w:rsidR="00B84A50" w:rsidRDefault="00B84A50">
      <w:pPr>
        <w:spacing w:line="360" w:lineRule="auto"/>
        <w:ind w:firstLineChars="200" w:firstLine="420"/>
        <w:rPr>
          <w:rFonts w:eastAsia="宋体" w:cstheme="minorHAnsi"/>
          <w:kern w:val="0"/>
          <w:szCs w:val="21"/>
        </w:rPr>
      </w:pPr>
    </w:p>
    <w:p w:rsidR="00B84A50" w:rsidRDefault="00F17B98">
      <w:pPr>
        <w:spacing w:line="360" w:lineRule="auto"/>
        <w:ind w:firstLineChars="200" w:firstLine="420"/>
        <w:rPr>
          <w:rFonts w:eastAsia="宋体" w:cstheme="minorHAnsi"/>
          <w:kern w:val="0"/>
          <w:szCs w:val="21"/>
        </w:rPr>
      </w:pPr>
      <w:r>
        <w:rPr>
          <w:rFonts w:eastAsia="宋体" w:cstheme="minorHAnsi"/>
          <w:kern w:val="0"/>
          <w:szCs w:val="21"/>
        </w:rPr>
        <w:t>特此公告。</w:t>
      </w:r>
    </w:p>
    <w:p w:rsidR="00B84A50" w:rsidRDefault="00B84A50">
      <w:pPr>
        <w:spacing w:line="360" w:lineRule="auto"/>
        <w:ind w:firstLineChars="200" w:firstLine="420"/>
        <w:rPr>
          <w:rFonts w:eastAsia="宋体" w:cstheme="minorHAnsi"/>
          <w:kern w:val="0"/>
          <w:szCs w:val="21"/>
        </w:rPr>
      </w:pPr>
    </w:p>
    <w:p w:rsidR="00B84A50" w:rsidRDefault="00F17B98">
      <w:pPr>
        <w:spacing w:line="360" w:lineRule="auto"/>
        <w:ind w:firstLineChars="200" w:firstLine="420"/>
        <w:jc w:val="right"/>
        <w:rPr>
          <w:rFonts w:eastAsia="宋体" w:cstheme="minorHAnsi"/>
          <w:kern w:val="0"/>
          <w:szCs w:val="21"/>
        </w:rPr>
      </w:pPr>
      <w:r>
        <w:rPr>
          <w:rFonts w:eastAsia="宋体" w:cstheme="minorHAnsi"/>
          <w:kern w:val="0"/>
          <w:szCs w:val="21"/>
        </w:rPr>
        <w:t>中信保诚基金管理有限公司</w:t>
      </w:r>
    </w:p>
    <w:p w:rsidR="00B84A50" w:rsidRDefault="00F17B98">
      <w:pPr>
        <w:spacing w:line="360" w:lineRule="auto"/>
        <w:ind w:firstLineChars="200" w:firstLine="420"/>
        <w:jc w:val="right"/>
        <w:rPr>
          <w:rFonts w:eastAsia="宋体" w:cstheme="minorHAnsi"/>
          <w:kern w:val="0"/>
          <w:szCs w:val="21"/>
        </w:rPr>
      </w:pPr>
      <w:r>
        <w:rPr>
          <w:rFonts w:eastAsia="宋体" w:cstheme="minorHAnsi"/>
          <w:kern w:val="0"/>
          <w:szCs w:val="21"/>
        </w:rPr>
        <w:t>20</w:t>
      </w:r>
      <w:r>
        <w:rPr>
          <w:rFonts w:eastAsia="宋体" w:cstheme="minorHAnsi" w:hint="eastAsia"/>
          <w:kern w:val="0"/>
          <w:szCs w:val="21"/>
        </w:rPr>
        <w:t>21</w:t>
      </w:r>
      <w:r>
        <w:rPr>
          <w:rFonts w:eastAsia="宋体" w:cstheme="minorHAnsi"/>
          <w:kern w:val="0"/>
          <w:szCs w:val="21"/>
        </w:rPr>
        <w:t xml:space="preserve"> </w:t>
      </w:r>
      <w:r>
        <w:rPr>
          <w:rFonts w:eastAsia="宋体" w:cstheme="minorHAnsi"/>
          <w:kern w:val="0"/>
          <w:szCs w:val="21"/>
        </w:rPr>
        <w:t>年</w:t>
      </w:r>
      <w:r w:rsidR="003E09FA">
        <w:rPr>
          <w:rFonts w:eastAsia="宋体" w:cstheme="minorHAnsi" w:hint="eastAsia"/>
          <w:kern w:val="0"/>
          <w:szCs w:val="21"/>
        </w:rPr>
        <w:t>7</w:t>
      </w:r>
      <w:r>
        <w:rPr>
          <w:rFonts w:eastAsia="宋体" w:cstheme="minorHAnsi" w:hint="eastAsia"/>
          <w:kern w:val="0"/>
          <w:szCs w:val="21"/>
        </w:rPr>
        <w:t>月</w:t>
      </w:r>
      <w:r w:rsidR="003E09FA">
        <w:rPr>
          <w:rFonts w:eastAsia="宋体" w:cstheme="minorHAnsi" w:hint="eastAsia"/>
          <w:kern w:val="0"/>
          <w:szCs w:val="21"/>
        </w:rPr>
        <w:t>22</w:t>
      </w:r>
      <w:r>
        <w:rPr>
          <w:rFonts w:eastAsia="宋体" w:cstheme="minorHAnsi"/>
          <w:kern w:val="0"/>
          <w:szCs w:val="21"/>
        </w:rPr>
        <w:t>日</w:t>
      </w:r>
    </w:p>
    <w:sectPr w:rsidR="00B84A50" w:rsidSect="00B3674D">
      <w:pgSz w:w="11906" w:h="16838"/>
      <w:pgMar w:top="1276"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EA" w:rsidRDefault="00080CEA" w:rsidP="00E15DA8">
      <w:r>
        <w:separator/>
      </w:r>
    </w:p>
  </w:endnote>
  <w:endnote w:type="continuationSeparator" w:id="0">
    <w:p w:rsidR="00080CEA" w:rsidRDefault="00080CEA" w:rsidP="00E15D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EA" w:rsidRDefault="00080CEA" w:rsidP="00E15DA8">
      <w:r>
        <w:separator/>
      </w:r>
    </w:p>
  </w:footnote>
  <w:footnote w:type="continuationSeparator" w:id="0">
    <w:p w:rsidR="00080CEA" w:rsidRDefault="00080CEA" w:rsidP="00E15D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11F2"/>
    <w:rsid w:val="000141CB"/>
    <w:rsid w:val="00016DFD"/>
    <w:rsid w:val="00022314"/>
    <w:rsid w:val="000233DF"/>
    <w:rsid w:val="0002745D"/>
    <w:rsid w:val="00040FE2"/>
    <w:rsid w:val="00041954"/>
    <w:rsid w:val="000514F4"/>
    <w:rsid w:val="00060A2F"/>
    <w:rsid w:val="000708F5"/>
    <w:rsid w:val="00077CFE"/>
    <w:rsid w:val="00080742"/>
    <w:rsid w:val="00080CEA"/>
    <w:rsid w:val="00093167"/>
    <w:rsid w:val="000B2BDA"/>
    <w:rsid w:val="000B2CDD"/>
    <w:rsid w:val="000B760A"/>
    <w:rsid w:val="000C6F87"/>
    <w:rsid w:val="000D04AB"/>
    <w:rsid w:val="000D0FAD"/>
    <w:rsid w:val="000D53C3"/>
    <w:rsid w:val="000E5A30"/>
    <w:rsid w:val="00106988"/>
    <w:rsid w:val="00126AF9"/>
    <w:rsid w:val="00130137"/>
    <w:rsid w:val="00164B54"/>
    <w:rsid w:val="001A1802"/>
    <w:rsid w:val="001A6AB6"/>
    <w:rsid w:val="001B5D09"/>
    <w:rsid w:val="001E18AB"/>
    <w:rsid w:val="001F57C0"/>
    <w:rsid w:val="002207F6"/>
    <w:rsid w:val="0022596A"/>
    <w:rsid w:val="00231A90"/>
    <w:rsid w:val="00237A64"/>
    <w:rsid w:val="00245112"/>
    <w:rsid w:val="002460C2"/>
    <w:rsid w:val="002511F2"/>
    <w:rsid w:val="00253C56"/>
    <w:rsid w:val="002555C2"/>
    <w:rsid w:val="00263F8D"/>
    <w:rsid w:val="00271F7F"/>
    <w:rsid w:val="00285783"/>
    <w:rsid w:val="00292F57"/>
    <w:rsid w:val="002C09F5"/>
    <w:rsid w:val="002C7B82"/>
    <w:rsid w:val="002D12FF"/>
    <w:rsid w:val="002D39C2"/>
    <w:rsid w:val="002D6D0C"/>
    <w:rsid w:val="002E102F"/>
    <w:rsid w:val="003170D0"/>
    <w:rsid w:val="003333D2"/>
    <w:rsid w:val="00373C92"/>
    <w:rsid w:val="003812F2"/>
    <w:rsid w:val="00395572"/>
    <w:rsid w:val="003A1477"/>
    <w:rsid w:val="003B6C16"/>
    <w:rsid w:val="003D40CA"/>
    <w:rsid w:val="003D50A3"/>
    <w:rsid w:val="003E09FA"/>
    <w:rsid w:val="00403A46"/>
    <w:rsid w:val="0041053B"/>
    <w:rsid w:val="00410934"/>
    <w:rsid w:val="00412986"/>
    <w:rsid w:val="004309C6"/>
    <w:rsid w:val="00457FAD"/>
    <w:rsid w:val="00474CD0"/>
    <w:rsid w:val="0048406B"/>
    <w:rsid w:val="00486372"/>
    <w:rsid w:val="004A372E"/>
    <w:rsid w:val="004D0F1E"/>
    <w:rsid w:val="004D1904"/>
    <w:rsid w:val="004E47FD"/>
    <w:rsid w:val="004F4D7E"/>
    <w:rsid w:val="005076CA"/>
    <w:rsid w:val="00513834"/>
    <w:rsid w:val="00544E83"/>
    <w:rsid w:val="00554191"/>
    <w:rsid w:val="00566E70"/>
    <w:rsid w:val="00567AFF"/>
    <w:rsid w:val="00572BF4"/>
    <w:rsid w:val="00576CD5"/>
    <w:rsid w:val="005B5847"/>
    <w:rsid w:val="005B78AF"/>
    <w:rsid w:val="005C1D79"/>
    <w:rsid w:val="00606DDE"/>
    <w:rsid w:val="006115AE"/>
    <w:rsid w:val="006131D6"/>
    <w:rsid w:val="006167C7"/>
    <w:rsid w:val="006324DB"/>
    <w:rsid w:val="00641874"/>
    <w:rsid w:val="00655128"/>
    <w:rsid w:val="00657A66"/>
    <w:rsid w:val="00662474"/>
    <w:rsid w:val="00677C97"/>
    <w:rsid w:val="006A0C4C"/>
    <w:rsid w:val="006A4976"/>
    <w:rsid w:val="006A49AD"/>
    <w:rsid w:val="006B1C2A"/>
    <w:rsid w:val="006E0963"/>
    <w:rsid w:val="0070211A"/>
    <w:rsid w:val="0070590C"/>
    <w:rsid w:val="0071645E"/>
    <w:rsid w:val="00734217"/>
    <w:rsid w:val="00743F86"/>
    <w:rsid w:val="00747813"/>
    <w:rsid w:val="00753DE1"/>
    <w:rsid w:val="0075647E"/>
    <w:rsid w:val="007860FD"/>
    <w:rsid w:val="007875AE"/>
    <w:rsid w:val="007902F8"/>
    <w:rsid w:val="007B4A4E"/>
    <w:rsid w:val="0080367A"/>
    <w:rsid w:val="008048D5"/>
    <w:rsid w:val="00827293"/>
    <w:rsid w:val="008406CC"/>
    <w:rsid w:val="00852AE1"/>
    <w:rsid w:val="008542AA"/>
    <w:rsid w:val="00865AD3"/>
    <w:rsid w:val="00874E29"/>
    <w:rsid w:val="00876BF0"/>
    <w:rsid w:val="0088226A"/>
    <w:rsid w:val="00896558"/>
    <w:rsid w:val="008A6C70"/>
    <w:rsid w:val="008B5834"/>
    <w:rsid w:val="008C7789"/>
    <w:rsid w:val="008D2884"/>
    <w:rsid w:val="008E64DC"/>
    <w:rsid w:val="008F37F9"/>
    <w:rsid w:val="008F78F7"/>
    <w:rsid w:val="00906324"/>
    <w:rsid w:val="0091638D"/>
    <w:rsid w:val="00933128"/>
    <w:rsid w:val="00951022"/>
    <w:rsid w:val="00974B17"/>
    <w:rsid w:val="00976BA2"/>
    <w:rsid w:val="009A6AB5"/>
    <w:rsid w:val="009C463A"/>
    <w:rsid w:val="009D50FE"/>
    <w:rsid w:val="009E300E"/>
    <w:rsid w:val="00A01AB2"/>
    <w:rsid w:val="00A07B95"/>
    <w:rsid w:val="00A13FB5"/>
    <w:rsid w:val="00A368CA"/>
    <w:rsid w:val="00A42682"/>
    <w:rsid w:val="00A45B30"/>
    <w:rsid w:val="00A52DC9"/>
    <w:rsid w:val="00A5599F"/>
    <w:rsid w:val="00A61111"/>
    <w:rsid w:val="00A642A3"/>
    <w:rsid w:val="00A723E4"/>
    <w:rsid w:val="00A76ADF"/>
    <w:rsid w:val="00A910E6"/>
    <w:rsid w:val="00AB3384"/>
    <w:rsid w:val="00AB6105"/>
    <w:rsid w:val="00AC2C2C"/>
    <w:rsid w:val="00AD6B64"/>
    <w:rsid w:val="00B01795"/>
    <w:rsid w:val="00B12CA3"/>
    <w:rsid w:val="00B203EA"/>
    <w:rsid w:val="00B3674D"/>
    <w:rsid w:val="00B40F3A"/>
    <w:rsid w:val="00B41778"/>
    <w:rsid w:val="00B62371"/>
    <w:rsid w:val="00B84A50"/>
    <w:rsid w:val="00B84AE4"/>
    <w:rsid w:val="00B94681"/>
    <w:rsid w:val="00BA06F0"/>
    <w:rsid w:val="00BA4781"/>
    <w:rsid w:val="00BB28C3"/>
    <w:rsid w:val="00BD28E2"/>
    <w:rsid w:val="00BE1879"/>
    <w:rsid w:val="00C00784"/>
    <w:rsid w:val="00C158C4"/>
    <w:rsid w:val="00C6118C"/>
    <w:rsid w:val="00C613A2"/>
    <w:rsid w:val="00C76E46"/>
    <w:rsid w:val="00C922F7"/>
    <w:rsid w:val="00CC6F8B"/>
    <w:rsid w:val="00CD0DB4"/>
    <w:rsid w:val="00CE5411"/>
    <w:rsid w:val="00CE68AB"/>
    <w:rsid w:val="00CF2EA3"/>
    <w:rsid w:val="00D26D8E"/>
    <w:rsid w:val="00D43F32"/>
    <w:rsid w:val="00D47CB9"/>
    <w:rsid w:val="00D91E39"/>
    <w:rsid w:val="00DA1E4B"/>
    <w:rsid w:val="00DC2885"/>
    <w:rsid w:val="00DF57DF"/>
    <w:rsid w:val="00E03931"/>
    <w:rsid w:val="00E15DA8"/>
    <w:rsid w:val="00E27CBB"/>
    <w:rsid w:val="00E27DC2"/>
    <w:rsid w:val="00E42CA5"/>
    <w:rsid w:val="00E64DFA"/>
    <w:rsid w:val="00EA2092"/>
    <w:rsid w:val="00EB65AA"/>
    <w:rsid w:val="00EC5AF3"/>
    <w:rsid w:val="00EC62B6"/>
    <w:rsid w:val="00EE4651"/>
    <w:rsid w:val="00F0584B"/>
    <w:rsid w:val="00F10484"/>
    <w:rsid w:val="00F113B8"/>
    <w:rsid w:val="00F17B98"/>
    <w:rsid w:val="00F21280"/>
    <w:rsid w:val="00F25CF8"/>
    <w:rsid w:val="00F31B0F"/>
    <w:rsid w:val="00F7134C"/>
    <w:rsid w:val="00F81F28"/>
    <w:rsid w:val="00FA3341"/>
    <w:rsid w:val="00FB478B"/>
    <w:rsid w:val="00FC50AC"/>
    <w:rsid w:val="00FD3BDD"/>
    <w:rsid w:val="00FE69CB"/>
    <w:rsid w:val="29EF2E55"/>
    <w:rsid w:val="36EE23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7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3674D"/>
    <w:rPr>
      <w:b/>
      <w:bCs/>
    </w:rPr>
  </w:style>
  <w:style w:type="paragraph" w:styleId="a4">
    <w:name w:val="annotation text"/>
    <w:basedOn w:val="a"/>
    <w:link w:val="Char0"/>
    <w:uiPriority w:val="99"/>
    <w:semiHidden/>
    <w:unhideWhenUsed/>
    <w:qFormat/>
    <w:rsid w:val="00B3674D"/>
    <w:pPr>
      <w:jc w:val="left"/>
    </w:pPr>
  </w:style>
  <w:style w:type="paragraph" w:styleId="a5">
    <w:name w:val="Balloon Text"/>
    <w:basedOn w:val="a"/>
    <w:link w:val="Char1"/>
    <w:uiPriority w:val="99"/>
    <w:semiHidden/>
    <w:unhideWhenUsed/>
    <w:qFormat/>
    <w:rsid w:val="00B3674D"/>
    <w:rPr>
      <w:sz w:val="18"/>
      <w:szCs w:val="18"/>
    </w:rPr>
  </w:style>
  <w:style w:type="paragraph" w:styleId="a6">
    <w:name w:val="footer"/>
    <w:basedOn w:val="a"/>
    <w:link w:val="Char2"/>
    <w:uiPriority w:val="99"/>
    <w:unhideWhenUsed/>
    <w:rsid w:val="00B3674D"/>
    <w:pPr>
      <w:tabs>
        <w:tab w:val="center" w:pos="4153"/>
        <w:tab w:val="right" w:pos="8306"/>
      </w:tabs>
      <w:snapToGrid w:val="0"/>
      <w:jc w:val="left"/>
    </w:pPr>
    <w:rPr>
      <w:sz w:val="18"/>
      <w:szCs w:val="18"/>
    </w:rPr>
  </w:style>
  <w:style w:type="paragraph" w:styleId="a7">
    <w:name w:val="header"/>
    <w:basedOn w:val="a"/>
    <w:link w:val="Char3"/>
    <w:uiPriority w:val="99"/>
    <w:unhideWhenUsed/>
    <w:rsid w:val="00B3674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B3674D"/>
    <w:rPr>
      <w:color w:val="0000FF" w:themeColor="hyperlink"/>
      <w:u w:val="single"/>
    </w:rPr>
  </w:style>
  <w:style w:type="character" w:styleId="a9">
    <w:name w:val="annotation reference"/>
    <w:basedOn w:val="a0"/>
    <w:uiPriority w:val="99"/>
    <w:semiHidden/>
    <w:unhideWhenUsed/>
    <w:qFormat/>
    <w:rsid w:val="00B3674D"/>
    <w:rPr>
      <w:sz w:val="21"/>
      <w:szCs w:val="21"/>
    </w:rPr>
  </w:style>
  <w:style w:type="table" w:styleId="aa">
    <w:name w:val="Table Grid"/>
    <w:basedOn w:val="a1"/>
    <w:uiPriority w:val="99"/>
    <w:rsid w:val="00B3674D"/>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批注框文本 Char"/>
    <w:basedOn w:val="a0"/>
    <w:link w:val="a5"/>
    <w:uiPriority w:val="99"/>
    <w:semiHidden/>
    <w:rsid w:val="00B3674D"/>
    <w:rPr>
      <w:sz w:val="18"/>
      <w:szCs w:val="18"/>
    </w:rPr>
  </w:style>
  <w:style w:type="character" w:customStyle="1" w:styleId="Char3">
    <w:name w:val="页眉 Char"/>
    <w:basedOn w:val="a0"/>
    <w:link w:val="a7"/>
    <w:uiPriority w:val="99"/>
    <w:qFormat/>
    <w:rsid w:val="00B3674D"/>
    <w:rPr>
      <w:sz w:val="18"/>
      <w:szCs w:val="18"/>
    </w:rPr>
  </w:style>
  <w:style w:type="character" w:customStyle="1" w:styleId="Char2">
    <w:name w:val="页脚 Char"/>
    <w:basedOn w:val="a0"/>
    <w:link w:val="a6"/>
    <w:uiPriority w:val="99"/>
    <w:rsid w:val="00B3674D"/>
    <w:rPr>
      <w:sz w:val="18"/>
      <w:szCs w:val="18"/>
    </w:rPr>
  </w:style>
  <w:style w:type="character" w:customStyle="1" w:styleId="Char0">
    <w:name w:val="批注文字 Char"/>
    <w:basedOn w:val="a0"/>
    <w:link w:val="a4"/>
    <w:uiPriority w:val="99"/>
    <w:semiHidden/>
    <w:qFormat/>
    <w:rsid w:val="00B3674D"/>
  </w:style>
  <w:style w:type="character" w:customStyle="1" w:styleId="Char">
    <w:name w:val="批注主题 Char"/>
    <w:basedOn w:val="Char0"/>
    <w:link w:val="a3"/>
    <w:uiPriority w:val="99"/>
    <w:semiHidden/>
    <w:rsid w:val="00B3674D"/>
    <w:rPr>
      <w:b/>
      <w:bCs/>
    </w:rPr>
  </w:style>
  <w:style w:type="paragraph" w:customStyle="1" w:styleId="1">
    <w:name w:val="修订1"/>
    <w:hidden/>
    <w:uiPriority w:val="99"/>
    <w:semiHidden/>
    <w:qFormat/>
    <w:rsid w:val="00B3674D"/>
    <w:rPr>
      <w:kern w:val="2"/>
      <w:sz w:val="21"/>
      <w:szCs w:val="22"/>
    </w:rPr>
  </w:style>
  <w:style w:type="paragraph" w:styleId="ab">
    <w:name w:val="Normal (Web)"/>
    <w:basedOn w:val="a"/>
    <w:uiPriority w:val="99"/>
    <w:semiHidden/>
    <w:unhideWhenUsed/>
    <w:rsid w:val="0071645E"/>
    <w:pPr>
      <w:spacing w:before="100" w:beforeAutospacing="1" w:after="100" w:afterAutospacing="1"/>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73C76C-24D4-4336-8066-377294C9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Office Word</Application>
  <DocSecurity>4</DocSecurity>
  <Lines>29</Lines>
  <Paragraphs>8</Paragraphs>
  <ScaleCrop>false</ScaleCrop>
  <Company>Lenovo</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龚岚</dc:creator>
  <cp:lastModifiedBy>ZHONGM</cp:lastModifiedBy>
  <cp:revision>2</cp:revision>
  <cp:lastPrinted>2021-07-21T05:22:00Z</cp:lastPrinted>
  <dcterms:created xsi:type="dcterms:W3CDTF">2021-07-21T16:13:00Z</dcterms:created>
  <dcterms:modified xsi:type="dcterms:W3CDTF">2021-07-21T16:13:00Z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