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154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154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5527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210EE4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154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10EE4">
        <w:rPr>
          <w:rFonts w:ascii="仿宋" w:eastAsia="仿宋" w:hAnsi="仿宋"/>
          <w:color w:val="000000" w:themeColor="text1"/>
          <w:sz w:val="32"/>
          <w:szCs w:val="32"/>
        </w:rPr>
        <w:t>67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355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10EE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10EE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26C4">
        <w:rPr>
          <w:rFonts w:ascii="仿宋" w:eastAsia="仿宋" w:hAnsi="仿宋" w:hint="eastAsia"/>
          <w:sz w:val="32"/>
          <w:szCs w:val="32"/>
        </w:rPr>
        <w:t>http://eid.csr</w:t>
      </w:r>
      <w:bookmarkStart w:id="0" w:name="_GoBack"/>
      <w:bookmarkEnd w:id="0"/>
      <w:r w:rsidR="000F07E6" w:rsidRPr="002E26C4">
        <w:rPr>
          <w:rFonts w:ascii="仿宋" w:eastAsia="仿宋" w:hAnsi="仿宋" w:hint="eastAsia"/>
          <w:sz w:val="32"/>
          <w:szCs w:val="32"/>
        </w:rPr>
        <w:t>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210EE4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10EE4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10EE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4F" w:rsidRDefault="0002494F" w:rsidP="009A149B">
      <w:r>
        <w:separator/>
      </w:r>
    </w:p>
  </w:endnote>
  <w:endnote w:type="continuationSeparator" w:id="0">
    <w:p w:rsidR="0002494F" w:rsidRDefault="000249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E47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4ED1" w:rsidRPr="00154ED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E47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4ED1" w:rsidRPr="00154ED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4F" w:rsidRDefault="0002494F" w:rsidP="009A149B">
      <w:r>
        <w:separator/>
      </w:r>
    </w:p>
  </w:footnote>
  <w:footnote w:type="continuationSeparator" w:id="0">
    <w:p w:rsidR="0002494F" w:rsidRDefault="000249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94F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4ED1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0472E"/>
    <w:rsid w:val="00210EE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26C4"/>
    <w:rsid w:val="002E79D9"/>
    <w:rsid w:val="002E7B0A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E4796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F22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BBB6-C3BF-47E6-8505-32AD55F8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1605</Characters>
  <Application>Microsoft Office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2021-07-20T16:18:00Z</dcterms:created>
  <dcterms:modified xsi:type="dcterms:W3CDTF">2021-07-20T16:18:00Z</dcterms:modified>
</cp:coreProperties>
</file>