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7" w:rsidRPr="00367451" w:rsidRDefault="007911F7" w:rsidP="00657027">
      <w:pPr>
        <w:spacing w:line="360" w:lineRule="auto"/>
        <w:jc w:val="center"/>
        <w:rPr>
          <w:rFonts w:ascii="宋体" w:eastAsia="宋体" w:cs="宋体"/>
          <w:b/>
          <w:color w:val="000000" w:themeColor="text1"/>
          <w:kern w:val="0"/>
          <w:sz w:val="28"/>
          <w:szCs w:val="28"/>
        </w:rPr>
      </w:pPr>
      <w:r w:rsidRPr="00367451">
        <w:rPr>
          <w:rFonts w:ascii="宋体" w:eastAsia="宋体" w:cs="宋体"/>
          <w:b/>
          <w:color w:val="000000" w:themeColor="text1"/>
          <w:kern w:val="0"/>
          <w:sz w:val="28"/>
          <w:szCs w:val="28"/>
        </w:rPr>
        <w:t>泰达宏利基金管理有限公司</w:t>
      </w:r>
      <w:r w:rsidR="006720E9" w:rsidRPr="006720E9">
        <w:rPr>
          <w:rFonts w:ascii="宋体" w:eastAsia="宋体" w:cs="宋体" w:hint="eastAsia"/>
          <w:b/>
          <w:color w:val="000000" w:themeColor="text1"/>
          <w:kern w:val="0"/>
          <w:sz w:val="28"/>
          <w:szCs w:val="28"/>
        </w:rPr>
        <w:t>在直销网上交易系统</w:t>
      </w:r>
      <w:r w:rsidRPr="00367451">
        <w:rPr>
          <w:rFonts w:ascii="宋体" w:eastAsia="宋体" w:cs="宋体"/>
          <w:b/>
          <w:color w:val="000000" w:themeColor="text1"/>
          <w:kern w:val="0"/>
          <w:sz w:val="28"/>
          <w:szCs w:val="28"/>
        </w:rPr>
        <w:t>开展</w:t>
      </w:r>
      <w:r w:rsidR="00B74804">
        <w:rPr>
          <w:rFonts w:ascii="宋体" w:eastAsia="宋体" w:cs="宋体" w:hint="eastAsia"/>
          <w:b/>
          <w:color w:val="000000" w:themeColor="text1"/>
          <w:kern w:val="0"/>
          <w:sz w:val="28"/>
          <w:szCs w:val="28"/>
        </w:rPr>
        <w:t>申购</w:t>
      </w:r>
      <w:r w:rsidR="00B13C89">
        <w:rPr>
          <w:rFonts w:ascii="宋体" w:eastAsia="宋体" w:cs="宋体" w:hint="eastAsia"/>
          <w:b/>
          <w:color w:val="000000" w:themeColor="text1"/>
          <w:kern w:val="0"/>
          <w:sz w:val="28"/>
          <w:szCs w:val="28"/>
        </w:rPr>
        <w:t>及</w:t>
      </w:r>
      <w:bookmarkStart w:id="0" w:name="_GoBack"/>
      <w:bookmarkEnd w:id="0"/>
      <w:r w:rsidR="00DB1532">
        <w:rPr>
          <w:rFonts w:ascii="宋体" w:eastAsia="宋体" w:cs="宋体" w:hint="eastAsia"/>
          <w:b/>
          <w:color w:val="000000" w:themeColor="text1"/>
          <w:kern w:val="0"/>
          <w:sz w:val="28"/>
          <w:szCs w:val="28"/>
        </w:rPr>
        <w:t>定投</w:t>
      </w:r>
      <w:r w:rsidRPr="00367451">
        <w:rPr>
          <w:rFonts w:ascii="宋体" w:eastAsia="宋体" w:cs="宋体"/>
          <w:b/>
          <w:color w:val="000000" w:themeColor="text1"/>
          <w:kern w:val="0"/>
          <w:sz w:val="28"/>
          <w:szCs w:val="28"/>
        </w:rPr>
        <w:t>费率优惠活动的公告</w:t>
      </w:r>
    </w:p>
    <w:p w:rsidR="00657027" w:rsidRDefault="00657027" w:rsidP="00657027">
      <w:pPr>
        <w:spacing w:line="360" w:lineRule="auto"/>
        <w:jc w:val="center"/>
        <w:rPr>
          <w:rFonts w:ascii="宋体" w:eastAsia="宋体" w:cs="宋体"/>
          <w:color w:val="000000"/>
          <w:kern w:val="0"/>
          <w:szCs w:val="21"/>
        </w:rPr>
      </w:pP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为</w:t>
      </w:r>
      <w:r w:rsidR="00C87091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感谢广大投</w:t>
      </w: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资者对泰达宏利基金管理有限公司（以下简称“本公司”）的支持和厚爱，本公司决定自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2021年</w:t>
      </w:r>
      <w:r w:rsidR="00657027" w:rsidRPr="006720E9">
        <w:rPr>
          <w:rFonts w:ascii="宋体" w:eastAsia="宋体" w:cs="宋体"/>
          <w:color w:val="000000"/>
          <w:kern w:val="0"/>
          <w:sz w:val="24"/>
          <w:szCs w:val="24"/>
        </w:rPr>
        <w:t>7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月</w:t>
      </w:r>
      <w:r w:rsidR="005B5E4F" w:rsidRPr="006720E9">
        <w:rPr>
          <w:rFonts w:ascii="宋体" w:eastAsia="宋体" w:cs="宋体"/>
          <w:color w:val="000000"/>
          <w:kern w:val="0"/>
          <w:sz w:val="24"/>
          <w:szCs w:val="24"/>
        </w:rPr>
        <w:t>16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日起，对通过本公司</w:t>
      </w:r>
      <w:r w:rsidR="006720E9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直销</w:t>
      </w:r>
      <w:r w:rsidR="00657027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网上交易</w:t>
      </w:r>
      <w:r w:rsidR="006720E9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系统（包括本公司官方网站和官方微信公众号）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申购</w:t>
      </w:r>
      <w:r w:rsidR="008325C3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和</w:t>
      </w:r>
      <w:r w:rsidR="00657027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定投</w:t>
      </w:r>
      <w:r w:rsidR="008B5A70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公司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旗下基金的投资者给予</w:t>
      </w:r>
      <w:r w:rsidR="00A742B2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申购</w:t>
      </w:r>
      <w:r w:rsidR="00B13C89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及</w:t>
      </w:r>
      <w:r w:rsidR="00E24928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定投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费率优惠。现将有关事项公告如下：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一、适用投资者范围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7911F7" w:rsidRPr="006720E9" w:rsidRDefault="0065702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本公司</w:t>
      </w:r>
      <w:r w:rsidR="006720E9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直销网上交易系统</w:t>
      </w:r>
      <w:r w:rsidR="006720E9">
        <w:rPr>
          <w:rFonts w:ascii="宋体" w:eastAsia="宋体" w:cs="宋体" w:hint="eastAsia"/>
          <w:color w:val="000000"/>
          <w:kern w:val="0"/>
          <w:sz w:val="24"/>
          <w:szCs w:val="24"/>
        </w:rPr>
        <w:t>的</w:t>
      </w: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投资者</w:t>
      </w:r>
      <w:r w:rsidR="007911F7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。</w:t>
      </w:r>
      <w:r w:rsidR="007911F7"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二、优惠活动时间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自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2021年</w:t>
      </w:r>
      <w:r w:rsidR="00657027" w:rsidRPr="006720E9">
        <w:rPr>
          <w:rFonts w:ascii="宋体" w:eastAsia="宋体" w:cs="宋体"/>
          <w:color w:val="000000"/>
          <w:kern w:val="0"/>
          <w:sz w:val="24"/>
          <w:szCs w:val="24"/>
        </w:rPr>
        <w:t>7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月</w:t>
      </w:r>
      <w:r w:rsidR="005B5E4F" w:rsidRPr="006720E9">
        <w:rPr>
          <w:rFonts w:ascii="宋体" w:eastAsia="宋体" w:cs="宋体"/>
          <w:color w:val="000000"/>
          <w:kern w:val="0"/>
          <w:sz w:val="24"/>
          <w:szCs w:val="24"/>
        </w:rPr>
        <w:t>16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日起，结束时间另行公告。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三、适用基金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本优惠活动适用本公司旗下所有基金；本公司今后募集和管理的基金自其开始办理申购</w:t>
      </w:r>
      <w:r w:rsidR="00C3468B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或定投</w:t>
      </w: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业务之日起将自动适用，届时不再另行公告。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65702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四、</w:t>
      </w:r>
      <w:r w:rsidR="00657027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费</w:t>
      </w: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率优惠方式</w:t>
      </w:r>
    </w:p>
    <w:p w:rsidR="008325C3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活动期间，投资者通过本公司</w:t>
      </w:r>
      <w:r w:rsidR="006720E9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直销网上交易系统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申购</w:t>
      </w:r>
      <w:r w:rsidR="00A7540B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或</w:t>
      </w:r>
      <w:r w:rsidR="00657027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定投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本公司旗下基金，申购</w:t>
      </w:r>
      <w:r w:rsidR="00D45331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和定投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优惠费率调整为原费率的1折，若原费率为固定费</w:t>
      </w:r>
      <w:r w:rsidR="00D45331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率/费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用的，则按原费率</w:t>
      </w:r>
      <w:r w:rsidR="00D45331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/费用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执行，不再享有费率折扣优惠。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五、重要提示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1、本活动的解释权归泰达宏利基金管理有限公司所有。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2、优惠活动或业务规则如有变动,请以最新公告为准。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六、投资者可通过以下途径了解或咨询相关详情</w:t>
      </w:r>
      <w:r w:rsidR="00274114"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：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1、泰达宏利基金管理有限公司官方网站：www.mfcteda.com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2、客户服务电话：400-698-8888（免长途话费）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3、官方微信公众号：mfcteda_BJ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敬请投资人注意投资风险。投资者投资前请认真阅读基金的基金合同、招募说明书等法律文件。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7911F7" w:rsidRPr="006720E9" w:rsidRDefault="007911F7" w:rsidP="006720E9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t>特此公告。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BE05BF" w:rsidRPr="006720E9" w:rsidRDefault="007911F7" w:rsidP="005B5E4F">
      <w:pPr>
        <w:spacing w:line="300" w:lineRule="auto"/>
        <w:jc w:val="right"/>
        <w:rPr>
          <w:rFonts w:ascii="宋体" w:eastAsia="宋体" w:cs="宋体"/>
          <w:color w:val="000000"/>
          <w:kern w:val="0"/>
          <w:sz w:val="24"/>
          <w:szCs w:val="24"/>
        </w:rPr>
      </w:pPr>
      <w:r w:rsidRPr="006720E9">
        <w:rPr>
          <w:rFonts w:ascii="宋体" w:eastAsia="宋体" w:cs="宋体" w:hint="eastAsia"/>
          <w:color w:val="000000"/>
          <w:kern w:val="0"/>
          <w:sz w:val="24"/>
          <w:szCs w:val="24"/>
        </w:rPr>
        <w:lastRenderedPageBreak/>
        <w:t>泰达宏利基金管理有限公司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86101F" w:rsidRPr="006720E9" w:rsidRDefault="007911F7" w:rsidP="005B5E4F">
      <w:pPr>
        <w:spacing w:line="300" w:lineRule="auto"/>
        <w:jc w:val="right"/>
        <w:rPr>
          <w:sz w:val="24"/>
          <w:szCs w:val="24"/>
        </w:rPr>
      </w:pP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 xml:space="preserve">2021年 </w:t>
      </w:r>
      <w:r w:rsidR="00BE05BF" w:rsidRPr="006720E9">
        <w:rPr>
          <w:rFonts w:ascii="宋体" w:eastAsia="宋体" w:cs="宋体"/>
          <w:color w:val="000000"/>
          <w:kern w:val="0"/>
          <w:sz w:val="24"/>
          <w:szCs w:val="24"/>
        </w:rPr>
        <w:t>7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月</w:t>
      </w:r>
      <w:r w:rsidR="005B5E4F" w:rsidRPr="006720E9">
        <w:rPr>
          <w:rFonts w:ascii="宋体" w:eastAsia="宋体" w:cs="宋体"/>
          <w:color w:val="000000"/>
          <w:kern w:val="0"/>
          <w:sz w:val="24"/>
          <w:szCs w:val="24"/>
        </w:rPr>
        <w:t>15</w:t>
      </w:r>
      <w:r w:rsidRPr="006720E9">
        <w:rPr>
          <w:rFonts w:ascii="宋体" w:eastAsia="宋体" w:cs="宋体"/>
          <w:color w:val="000000"/>
          <w:kern w:val="0"/>
          <w:sz w:val="24"/>
          <w:szCs w:val="24"/>
        </w:rPr>
        <w:t>日</w:t>
      </w:r>
    </w:p>
    <w:sectPr w:rsidR="0086101F" w:rsidRPr="006720E9" w:rsidSect="00A8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0C" w:rsidRDefault="00482A0C" w:rsidP="00906659">
      <w:r>
        <w:separator/>
      </w:r>
    </w:p>
  </w:endnote>
  <w:endnote w:type="continuationSeparator" w:id="0">
    <w:p w:rsidR="00482A0C" w:rsidRDefault="00482A0C" w:rsidP="009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0C" w:rsidRDefault="00482A0C" w:rsidP="00906659">
      <w:r>
        <w:separator/>
      </w:r>
    </w:p>
  </w:footnote>
  <w:footnote w:type="continuationSeparator" w:id="0">
    <w:p w:rsidR="00482A0C" w:rsidRDefault="00482A0C" w:rsidP="0090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CD2"/>
    <w:rsid w:val="00086EF5"/>
    <w:rsid w:val="00254464"/>
    <w:rsid w:val="00274114"/>
    <w:rsid w:val="002B54E9"/>
    <w:rsid w:val="002D7FF8"/>
    <w:rsid w:val="00367451"/>
    <w:rsid w:val="00401CCF"/>
    <w:rsid w:val="00405CE5"/>
    <w:rsid w:val="00482A0C"/>
    <w:rsid w:val="00491CD2"/>
    <w:rsid w:val="0056532B"/>
    <w:rsid w:val="00582EA4"/>
    <w:rsid w:val="00587E52"/>
    <w:rsid w:val="005B5E4F"/>
    <w:rsid w:val="00602121"/>
    <w:rsid w:val="00657027"/>
    <w:rsid w:val="006720E9"/>
    <w:rsid w:val="007911F7"/>
    <w:rsid w:val="007E2DAD"/>
    <w:rsid w:val="007F0642"/>
    <w:rsid w:val="007F3A53"/>
    <w:rsid w:val="00806F3C"/>
    <w:rsid w:val="008325C3"/>
    <w:rsid w:val="0086101F"/>
    <w:rsid w:val="00880992"/>
    <w:rsid w:val="008B5A70"/>
    <w:rsid w:val="00906659"/>
    <w:rsid w:val="00A17BB9"/>
    <w:rsid w:val="00A742B2"/>
    <w:rsid w:val="00A7540B"/>
    <w:rsid w:val="00A84487"/>
    <w:rsid w:val="00B13C89"/>
    <w:rsid w:val="00B26767"/>
    <w:rsid w:val="00B74804"/>
    <w:rsid w:val="00BE05BF"/>
    <w:rsid w:val="00C3468B"/>
    <w:rsid w:val="00C87091"/>
    <w:rsid w:val="00CA0303"/>
    <w:rsid w:val="00CA6E83"/>
    <w:rsid w:val="00CD19CC"/>
    <w:rsid w:val="00CF1467"/>
    <w:rsid w:val="00D45331"/>
    <w:rsid w:val="00D74174"/>
    <w:rsid w:val="00DB0624"/>
    <w:rsid w:val="00DB1532"/>
    <w:rsid w:val="00DF4E0A"/>
    <w:rsid w:val="00E24928"/>
    <w:rsid w:val="00E91DC4"/>
    <w:rsid w:val="00F82E8E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C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0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65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B54E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B54E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B54E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B54E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B54E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B54E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B5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9BE1-9B2F-480F-B924-33D6FA78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4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马志颖</dc:creator>
  <cp:keywords/>
  <dc:description/>
  <cp:lastModifiedBy>ZHONGM</cp:lastModifiedBy>
  <cp:revision>2</cp:revision>
  <dcterms:created xsi:type="dcterms:W3CDTF">2021-07-14T16:36:00Z</dcterms:created>
  <dcterms:modified xsi:type="dcterms:W3CDTF">2021-07-14T16:36:00Z</dcterms:modified>
</cp:coreProperties>
</file>