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0852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F54950">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9027F1" w:rsidRPr="009027F1">
        <w:rPr>
          <w:rFonts w:ascii="Times New Roman" w:eastAsiaTheme="minorEastAsia" w:hAnsiTheme="minorEastAsia" w:cs="Times New Roman" w:hint="eastAsia"/>
          <w:color w:val="000000" w:themeColor="text1"/>
          <w:kern w:val="2"/>
        </w:rPr>
        <w:t>厦门东亚机械工业股份有限公司</w:t>
      </w:r>
      <w:r w:rsidR="004F33DC" w:rsidRPr="004F33DC">
        <w:rPr>
          <w:rFonts w:ascii="Times New Roman" w:eastAsiaTheme="minorEastAsia" w:hAnsiTheme="minorEastAsia" w:cs="Times New Roman" w:hint="eastAsia"/>
          <w:color w:val="000000" w:themeColor="text1"/>
          <w:kern w:val="2"/>
        </w:rPr>
        <w:t>（以下简称“</w:t>
      </w:r>
      <w:r w:rsidR="009027F1" w:rsidRPr="009027F1">
        <w:rPr>
          <w:rFonts w:ascii="Times New Roman" w:eastAsiaTheme="minorEastAsia" w:hAnsiTheme="minorEastAsia" w:cs="Times New Roman" w:hint="eastAsia"/>
          <w:color w:val="000000" w:themeColor="text1"/>
          <w:kern w:val="2"/>
        </w:rPr>
        <w:t>东亚机械</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F33DC" w:rsidRPr="008A4E6F">
        <w:rPr>
          <w:rFonts w:ascii="Times New Roman" w:eastAsiaTheme="minorEastAsia" w:hAnsiTheme="minorEastAsia" w:cs="Times New Roman" w:hint="eastAsia"/>
          <w:color w:val="auto"/>
          <w:kern w:val="2"/>
        </w:rPr>
        <w:t>本公司控股股东</w:t>
      </w:r>
      <w:r w:rsidR="004F33DC" w:rsidRPr="00593E09">
        <w:rPr>
          <w:rFonts w:ascii="Times New Roman" w:eastAsiaTheme="minorEastAsia" w:hAnsiTheme="minorEastAsia" w:cs="Times New Roman" w:hint="eastAsia"/>
          <w:color w:val="auto"/>
          <w:kern w:val="2"/>
        </w:rPr>
        <w:t>中信证券股份有限公司</w:t>
      </w:r>
      <w:r w:rsidR="004F33DC" w:rsidRPr="008A4E6F">
        <w:rPr>
          <w:rFonts w:ascii="Times New Roman" w:eastAsiaTheme="minorEastAsia" w:hAnsiTheme="minorEastAsia" w:cs="Times New Roman" w:hint="eastAsia"/>
          <w:color w:val="auto"/>
          <w:kern w:val="2"/>
        </w:rPr>
        <w:t>为</w:t>
      </w:r>
      <w:r w:rsidR="009027F1" w:rsidRPr="009027F1">
        <w:rPr>
          <w:rFonts w:ascii="Times New Roman" w:eastAsiaTheme="minorEastAsia" w:hAnsiTheme="minorEastAsia" w:cs="Times New Roman" w:hint="eastAsia"/>
          <w:color w:val="000000" w:themeColor="text1"/>
          <w:kern w:val="2"/>
        </w:rPr>
        <w:t>东亚机械</w:t>
      </w:r>
      <w:r w:rsidR="004F33DC">
        <w:rPr>
          <w:rFonts w:ascii="Times New Roman" w:eastAsiaTheme="minorEastAsia" w:hAnsiTheme="minorEastAsia" w:cs="Times New Roman" w:hint="eastAsia"/>
          <w:color w:val="000000" w:themeColor="text1"/>
          <w:kern w:val="2"/>
        </w:rPr>
        <w:t>本次发行的</w:t>
      </w:r>
      <w:r w:rsidR="004F33DC" w:rsidRPr="000933A1">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w:t>
      </w:r>
      <w:r w:rsidR="009027F1" w:rsidRPr="009027F1">
        <w:rPr>
          <w:rFonts w:ascii="Times New Roman" w:eastAsiaTheme="minorEastAsia" w:hAnsiTheme="minorEastAsia" w:cs="Times New Roman" w:hint="eastAsia"/>
          <w:color w:val="000000" w:themeColor="text1"/>
          <w:kern w:val="2"/>
        </w:rPr>
        <w:t>东亚机械</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9027F1" w:rsidRPr="009027F1">
        <w:rPr>
          <w:rFonts w:ascii="Times New Roman" w:eastAsiaTheme="minorEastAsia" w:cs="Times New Roman"/>
        </w:rPr>
        <w:t>5.31</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009027F1" w:rsidRPr="009027F1">
        <w:rPr>
          <w:rFonts w:ascii="Times New Roman" w:eastAsiaTheme="minorEastAsia" w:hAnsiTheme="minorEastAsia" w:cs="Times New Roman" w:hint="eastAsia"/>
        </w:rPr>
        <w:t>发行人和保荐机构（主承销商）根据初步询价结果，综合考虑发行人基本面、所处行业、可比公司估值水平、市场情况、有效募集资金需求及承销风险等因素协商确定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9027F1" w:rsidRPr="009027F1">
        <w:rPr>
          <w:rFonts w:ascii="Times New Roman" w:eastAsiaTheme="minorEastAsia" w:hAnsiTheme="minorEastAsia" w:cs="Times New Roman" w:hint="eastAsia"/>
          <w:color w:val="000000" w:themeColor="text1"/>
          <w:kern w:val="2"/>
        </w:rPr>
        <w:t>东亚机械</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F54950">
        <w:rPr>
          <w:rFonts w:ascii="Times New Roman" w:eastAsiaTheme="minorEastAsia" w:hAnsiTheme="minorEastAsia" w:cs="Times New Roman" w:hint="eastAsia"/>
          <w:color w:val="auto"/>
          <w:kern w:val="2"/>
        </w:rPr>
        <w:t>结果</w:t>
      </w:r>
      <w:r w:rsidR="005832F0" w:rsidRPr="00B52BD6">
        <w:rPr>
          <w:rFonts w:ascii="Times New Roman" w:eastAsiaTheme="minorEastAsia" w:hAnsiTheme="minorEastAsia" w:cs="Times New Roman"/>
        </w:rPr>
        <w:t>如下：</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2"/>
        <w:gridCol w:w="1135"/>
        <w:gridCol w:w="1092"/>
        <w:gridCol w:w="1172"/>
      </w:tblGrid>
      <w:tr w:rsidR="00D91015" w:rsidRPr="00D91015" w:rsidTr="007D5065">
        <w:trPr>
          <w:trHeight w:val="951"/>
        </w:trPr>
        <w:tc>
          <w:tcPr>
            <w:tcW w:w="3033" w:type="pct"/>
            <w:shd w:val="clear" w:color="auto" w:fill="auto"/>
            <w:noWrap/>
            <w:vAlign w:val="center"/>
            <w:hideMark/>
          </w:tcPr>
          <w:p w:rsidR="00D91015" w:rsidRPr="00D91015" w:rsidRDefault="00D91015" w:rsidP="00D91015">
            <w:pPr>
              <w:widowControl/>
              <w:jc w:val="center"/>
              <w:rPr>
                <w:rFonts w:cs="宋体"/>
                <w:color w:val="000000"/>
                <w:kern w:val="0"/>
                <w:szCs w:val="21"/>
              </w:rPr>
            </w:pPr>
            <w:r w:rsidRPr="00D91015">
              <w:rPr>
                <w:rFonts w:hAnsi="宋体" w:cs="宋体" w:hint="eastAsia"/>
                <w:color w:val="000000"/>
                <w:kern w:val="0"/>
                <w:szCs w:val="21"/>
              </w:rPr>
              <w:t>基金名称</w:t>
            </w:r>
          </w:p>
        </w:tc>
        <w:tc>
          <w:tcPr>
            <w:tcW w:w="657" w:type="pct"/>
            <w:shd w:val="clear" w:color="auto" w:fill="auto"/>
            <w:noWrap/>
            <w:vAlign w:val="center"/>
            <w:hideMark/>
          </w:tcPr>
          <w:p w:rsidR="00D91015" w:rsidRPr="00D91015" w:rsidRDefault="00D91015" w:rsidP="00D91015">
            <w:pPr>
              <w:widowControl/>
              <w:jc w:val="center"/>
              <w:rPr>
                <w:rFonts w:cs="宋体"/>
                <w:color w:val="000000"/>
                <w:kern w:val="0"/>
                <w:szCs w:val="21"/>
              </w:rPr>
            </w:pPr>
            <w:r w:rsidRPr="00D91015">
              <w:rPr>
                <w:rFonts w:hAnsi="宋体" w:cs="宋体" w:hint="eastAsia"/>
                <w:color w:val="000000"/>
                <w:kern w:val="0"/>
                <w:szCs w:val="21"/>
              </w:rPr>
              <w:t>获配证券</w:t>
            </w:r>
          </w:p>
          <w:p w:rsidR="00D91015" w:rsidRPr="00D91015" w:rsidRDefault="00D91015" w:rsidP="00D91015">
            <w:pPr>
              <w:jc w:val="center"/>
              <w:rPr>
                <w:rFonts w:cs="宋体"/>
                <w:color w:val="000000"/>
                <w:kern w:val="0"/>
                <w:szCs w:val="21"/>
              </w:rPr>
            </w:pPr>
            <w:r w:rsidRPr="00D91015">
              <w:rPr>
                <w:rFonts w:hAnsi="宋体" w:cs="宋体" w:hint="eastAsia"/>
                <w:color w:val="000000"/>
                <w:kern w:val="0"/>
                <w:szCs w:val="21"/>
              </w:rPr>
              <w:t>名称</w:t>
            </w:r>
          </w:p>
        </w:tc>
        <w:tc>
          <w:tcPr>
            <w:tcW w:w="632" w:type="pct"/>
            <w:shd w:val="clear" w:color="auto" w:fill="auto"/>
            <w:vAlign w:val="center"/>
            <w:hideMark/>
          </w:tcPr>
          <w:p w:rsidR="00D91015" w:rsidRPr="00D91015" w:rsidRDefault="00D91015" w:rsidP="00D91015">
            <w:pPr>
              <w:widowControl/>
              <w:jc w:val="center"/>
              <w:rPr>
                <w:rFonts w:cs="宋体"/>
                <w:color w:val="000000"/>
                <w:kern w:val="0"/>
                <w:szCs w:val="21"/>
              </w:rPr>
            </w:pPr>
            <w:r w:rsidRPr="00D91015">
              <w:rPr>
                <w:rFonts w:hAnsi="宋体" w:cs="宋体" w:hint="eastAsia"/>
                <w:color w:val="000000"/>
                <w:kern w:val="0"/>
                <w:szCs w:val="21"/>
              </w:rPr>
              <w:t>配售数量</w:t>
            </w:r>
          </w:p>
          <w:p w:rsidR="00D91015" w:rsidRPr="00D91015" w:rsidRDefault="00D91015" w:rsidP="00D91015">
            <w:pPr>
              <w:jc w:val="center"/>
              <w:rPr>
                <w:rFonts w:cs="宋体"/>
                <w:color w:val="000000"/>
                <w:kern w:val="0"/>
                <w:szCs w:val="21"/>
              </w:rPr>
            </w:pPr>
            <w:r w:rsidRPr="00D91015">
              <w:rPr>
                <w:rFonts w:hAnsi="宋体" w:cs="宋体" w:hint="eastAsia"/>
                <w:color w:val="000000"/>
                <w:kern w:val="0"/>
                <w:szCs w:val="21"/>
              </w:rPr>
              <w:t>（股）</w:t>
            </w:r>
          </w:p>
        </w:tc>
        <w:tc>
          <w:tcPr>
            <w:tcW w:w="678" w:type="pct"/>
            <w:shd w:val="clear" w:color="auto" w:fill="auto"/>
            <w:vAlign w:val="center"/>
            <w:hideMark/>
          </w:tcPr>
          <w:p w:rsidR="00D91015" w:rsidRPr="00D91015" w:rsidRDefault="00D91015" w:rsidP="00D91015">
            <w:pPr>
              <w:widowControl/>
              <w:jc w:val="center"/>
              <w:rPr>
                <w:rFonts w:cs="宋体"/>
                <w:color w:val="000000"/>
                <w:kern w:val="0"/>
                <w:szCs w:val="21"/>
              </w:rPr>
            </w:pPr>
            <w:r w:rsidRPr="00D91015">
              <w:rPr>
                <w:rFonts w:hAnsi="宋体" w:cs="宋体" w:hint="eastAsia"/>
                <w:color w:val="000000"/>
                <w:kern w:val="0"/>
                <w:szCs w:val="21"/>
              </w:rPr>
              <w:t>获配金额</w:t>
            </w:r>
          </w:p>
          <w:p w:rsidR="00D91015" w:rsidRPr="00D91015" w:rsidRDefault="00D91015" w:rsidP="00D91015">
            <w:pPr>
              <w:jc w:val="center"/>
              <w:rPr>
                <w:rFonts w:cs="宋体"/>
                <w:color w:val="000000"/>
                <w:kern w:val="0"/>
                <w:szCs w:val="21"/>
              </w:rPr>
            </w:pPr>
            <w:r w:rsidRPr="00D91015">
              <w:rPr>
                <w:rFonts w:hAnsi="宋体" w:cs="宋体" w:hint="eastAsia"/>
                <w:color w:val="000000"/>
                <w:kern w:val="0"/>
                <w:szCs w:val="21"/>
              </w:rPr>
              <w:t>（元）</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华夏睿阳一年持有期混合型证券投资基金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w:t>
            </w:r>
            <w:r w:rsidRPr="00D91015">
              <w:rPr>
                <w:rFonts w:cs="宋体" w:hint="eastAsia"/>
                <w:color w:val="000000"/>
                <w:kern w:val="0"/>
                <w:szCs w:val="22"/>
              </w:rPr>
              <w:t>5G</w:t>
            </w:r>
            <w:r w:rsidRPr="00D91015">
              <w:rPr>
                <w:rFonts w:hAnsi="等线" w:cs="宋体" w:hint="eastAsia"/>
                <w:color w:val="000000"/>
                <w:kern w:val="0"/>
                <w:szCs w:val="22"/>
              </w:rPr>
              <w:t>通信主题交易型开放式指数证券投资基金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华夏睿磐泰荣混合型证券投资基金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华夏常阳三年定期开放混合型证券投资基金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华夏永福混合型证券投资基金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华夏稳盛灵活配置混合型证券投资基金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华夏线上经济主题精选混合型证券投资基金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华夏行业龙头混合型证券投资基金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华夏沪深</w:t>
            </w:r>
            <w:r w:rsidRPr="00D91015">
              <w:rPr>
                <w:rFonts w:cs="宋体" w:hint="eastAsia"/>
                <w:color w:val="000000"/>
                <w:kern w:val="0"/>
                <w:szCs w:val="22"/>
              </w:rPr>
              <w:t>300</w:t>
            </w:r>
            <w:r w:rsidRPr="00D91015">
              <w:rPr>
                <w:rFonts w:hAnsi="等线" w:cs="宋体" w:hint="eastAsia"/>
                <w:color w:val="000000"/>
                <w:kern w:val="0"/>
                <w:szCs w:val="22"/>
              </w:rPr>
              <w:t>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华夏中证人工智能主题交易型开放式指数证券投资基金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华夏翔阳两年定期开放混合型证券投资基金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w:t>
            </w:r>
            <w:r w:rsidRPr="00D91015">
              <w:rPr>
                <w:rFonts w:cs="宋体" w:hint="eastAsia"/>
                <w:color w:val="000000"/>
                <w:kern w:val="0"/>
                <w:szCs w:val="22"/>
              </w:rPr>
              <w:t>500</w:t>
            </w:r>
            <w:r w:rsidRPr="00D91015">
              <w:rPr>
                <w:rFonts w:hAnsi="等线" w:cs="宋体" w:hint="eastAsia"/>
                <w:color w:val="000000"/>
                <w:kern w:val="0"/>
                <w:szCs w:val="22"/>
              </w:rPr>
              <w:t>指数增强型证券投资基金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华夏兴阳一年持有期混合型证券投资基金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华夏创业板交易型开放式指数证券投资基金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华夏睿磐泰茂混合型证券投资基金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华夏睿磐泰利混合型证券投资基金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华夏沪深</w:t>
            </w:r>
            <w:r w:rsidRPr="00D91015">
              <w:rPr>
                <w:rFonts w:cs="宋体" w:hint="eastAsia"/>
                <w:color w:val="000000"/>
                <w:kern w:val="0"/>
                <w:szCs w:val="22"/>
              </w:rPr>
              <w:t>300</w:t>
            </w:r>
            <w:r w:rsidRPr="00D91015">
              <w:rPr>
                <w:rFonts w:hAnsi="等线" w:cs="宋体" w:hint="eastAsia"/>
                <w:color w:val="000000"/>
                <w:kern w:val="0"/>
                <w:szCs w:val="22"/>
              </w:rPr>
              <w:t>交易型开放式指数证券投资基金联接基金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华夏中证新能源汽车交易型开放式指数证券投资基金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华夏能源革新股票型证券投资基金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华夏盛世精选混合型证券投资基金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华夏新锦升灵活配置混合型证券投资基金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lastRenderedPageBreak/>
              <w:t>华夏睿磐泰兴混合型证券投资基金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华夏节能环保股票型证券投资基金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华夏研究精选股票型证券投资基金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华夏中证细分食品饮料产业主题交易型开放式指数证券投资基金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华夏策略精选灵活配置混合型证券投资基金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华夏科技前沿</w:t>
            </w:r>
            <w:r w:rsidRPr="00D91015">
              <w:rPr>
                <w:rFonts w:cs="宋体" w:hint="eastAsia"/>
                <w:color w:val="000000"/>
                <w:kern w:val="0"/>
                <w:szCs w:val="22"/>
              </w:rPr>
              <w:t>6</w:t>
            </w:r>
            <w:r w:rsidRPr="00D91015">
              <w:rPr>
                <w:rFonts w:hAnsi="等线" w:cs="宋体" w:hint="eastAsia"/>
                <w:color w:val="000000"/>
                <w:kern w:val="0"/>
                <w:szCs w:val="22"/>
              </w:rPr>
              <w:t>个月定期开放混合型证券投资基金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华夏消费优选混合型证券投资基金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华夏核心科技</w:t>
            </w:r>
            <w:r w:rsidRPr="00D91015">
              <w:rPr>
                <w:rFonts w:cs="宋体" w:hint="eastAsia"/>
                <w:color w:val="000000"/>
                <w:kern w:val="0"/>
                <w:szCs w:val="22"/>
              </w:rPr>
              <w:t>6</w:t>
            </w:r>
            <w:r w:rsidRPr="00D91015">
              <w:rPr>
                <w:rFonts w:hAnsi="等线" w:cs="宋体" w:hint="eastAsia"/>
                <w:color w:val="000000"/>
                <w:kern w:val="0"/>
                <w:szCs w:val="22"/>
              </w:rPr>
              <w:t>个月定期开放混合型证券投资基金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华夏中证智能汽车主题交易型开放式指数证券投资基金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华夏乐享健康灵活配置混合型证券投资基金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华夏智胜价值成长股票型发起式证券投资基金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华夏创新前沿股票型证券投资基金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华夏经济转型股票型证券投资基金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华夏军工安全灵活配置混合型证券投资基金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华夏新兴消费混合型证券投资基金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华夏港股前沿经济混合型证券投资基金（</w:t>
            </w:r>
            <w:r w:rsidRPr="00D91015">
              <w:rPr>
                <w:rFonts w:cs="宋体" w:hint="eastAsia"/>
                <w:color w:val="000000"/>
                <w:kern w:val="0"/>
                <w:szCs w:val="22"/>
              </w:rPr>
              <w:t>QDII</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华夏新机遇灵活配置混合型证券投资基金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华夏高端制造灵活配置混合型证券投资基金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华夏中证全指证券公司交易型开放式指数证券投资基金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华夏中证浙江国资创新发展交易型开放式指数证券投资基金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华夏优势精选股票型证券投资基金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华夏领先股票型证券投资基金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华夏产业升级混合型证券投资基金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华夏国企改革灵活配置混合型证券投资基金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华夏养老目标日期</w:t>
            </w:r>
            <w:r w:rsidRPr="00D91015">
              <w:rPr>
                <w:rFonts w:cs="宋体" w:hint="eastAsia"/>
                <w:color w:val="000000"/>
                <w:kern w:val="0"/>
                <w:szCs w:val="22"/>
              </w:rPr>
              <w:t>2040</w:t>
            </w:r>
            <w:r w:rsidRPr="00D91015">
              <w:rPr>
                <w:rFonts w:hAnsi="等线" w:cs="宋体" w:hint="eastAsia"/>
                <w:color w:val="000000"/>
                <w:kern w:val="0"/>
                <w:szCs w:val="22"/>
              </w:rPr>
              <w:t>三年持有期混合型基金中基金（</w:t>
            </w:r>
            <w:r w:rsidRPr="00D91015">
              <w:rPr>
                <w:rFonts w:cs="宋体" w:hint="eastAsia"/>
                <w:color w:val="000000"/>
                <w:kern w:val="0"/>
                <w:szCs w:val="22"/>
              </w:rPr>
              <w:t>FOF</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华夏新趋势灵活配置混合型证券投资基金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华夏中证央企结构调整交易型开放式指数证券投资基金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华夏消费升级灵活配置混合型证券投资基金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华夏医疗健康混合型发起式证券投资基金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战略新兴成指交易型开放式指数证券投资基金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华夏沪深</w:t>
            </w:r>
            <w:r w:rsidRPr="00D91015">
              <w:rPr>
                <w:rFonts w:cs="宋体" w:hint="eastAsia"/>
                <w:color w:val="000000"/>
                <w:kern w:val="0"/>
                <w:szCs w:val="22"/>
              </w:rPr>
              <w:t>300</w:t>
            </w:r>
            <w:r w:rsidRPr="00D91015">
              <w:rPr>
                <w:rFonts w:hAnsi="等线" w:cs="宋体" w:hint="eastAsia"/>
                <w:color w:val="000000"/>
                <w:kern w:val="0"/>
                <w:szCs w:val="22"/>
              </w:rPr>
              <w:t>指数增强型证券投资基金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华夏新时代灵活配置混合型证券投资基金（</w:t>
            </w:r>
            <w:r w:rsidRPr="00D91015">
              <w:rPr>
                <w:rFonts w:cs="宋体" w:hint="eastAsia"/>
                <w:color w:val="000000"/>
                <w:kern w:val="0"/>
                <w:szCs w:val="22"/>
              </w:rPr>
              <w:t>QDII</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w:t>
            </w:r>
            <w:r w:rsidRPr="00D91015">
              <w:rPr>
                <w:rFonts w:cs="宋体" w:hint="eastAsia"/>
                <w:color w:val="000000"/>
                <w:kern w:val="0"/>
                <w:szCs w:val="22"/>
              </w:rPr>
              <w:t>MSCI</w:t>
            </w:r>
            <w:r w:rsidRPr="00D91015">
              <w:rPr>
                <w:rFonts w:hAnsi="等线" w:cs="宋体" w:hint="eastAsia"/>
                <w:color w:val="000000"/>
                <w:kern w:val="0"/>
                <w:szCs w:val="22"/>
              </w:rPr>
              <w:t>中国</w:t>
            </w:r>
            <w:r w:rsidRPr="00D91015">
              <w:rPr>
                <w:rFonts w:cs="宋体" w:hint="eastAsia"/>
                <w:color w:val="000000"/>
                <w:kern w:val="0"/>
                <w:szCs w:val="22"/>
              </w:rPr>
              <w:t>A</w:t>
            </w:r>
            <w:r w:rsidRPr="00D91015">
              <w:rPr>
                <w:rFonts w:hAnsi="等线" w:cs="宋体" w:hint="eastAsia"/>
                <w:color w:val="000000"/>
                <w:kern w:val="0"/>
                <w:szCs w:val="22"/>
              </w:rPr>
              <w:t>股国际通交易型开放式指数证券投资基金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w:t>
            </w:r>
            <w:r w:rsidRPr="00D91015">
              <w:rPr>
                <w:rFonts w:cs="宋体" w:hint="eastAsia"/>
                <w:color w:val="000000"/>
                <w:kern w:val="0"/>
                <w:szCs w:val="22"/>
              </w:rPr>
              <w:t>500</w:t>
            </w:r>
            <w:r w:rsidRPr="00D91015">
              <w:rPr>
                <w:rFonts w:hAnsi="等线" w:cs="宋体" w:hint="eastAsia"/>
                <w:color w:val="000000"/>
                <w:kern w:val="0"/>
                <w:szCs w:val="22"/>
              </w:rPr>
              <w:t>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w:t>
            </w:r>
            <w:r w:rsidRPr="00D91015">
              <w:rPr>
                <w:rFonts w:cs="宋体" w:hint="eastAsia"/>
                <w:color w:val="000000"/>
                <w:kern w:val="0"/>
                <w:szCs w:val="22"/>
              </w:rPr>
              <w:t>1000</w:t>
            </w:r>
            <w:r w:rsidRPr="00D91015">
              <w:rPr>
                <w:rFonts w:hAnsi="等线" w:cs="宋体" w:hint="eastAsia"/>
                <w:color w:val="000000"/>
                <w:kern w:val="0"/>
                <w:szCs w:val="22"/>
              </w:rPr>
              <w:t>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5,726</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30,405.06</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lastRenderedPageBreak/>
              <w:t>华夏中证生物科技主题交易型开放式指数证券投资基金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4,191</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22,254.21</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华夏中证动漫游戏交易型开放式指数证券投资基金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w:t>
            </w:r>
            <w:bookmarkStart w:id="0" w:name="_GoBack"/>
            <w:r w:rsidRPr="00D91015">
              <w:rPr>
                <w:rFonts w:hAnsi="等线" w:cs="宋体" w:hint="eastAsia"/>
                <w:color w:val="000000"/>
                <w:kern w:val="0"/>
                <w:szCs w:val="22"/>
              </w:rPr>
              <w:t>大数据</w:t>
            </w:r>
            <w:bookmarkEnd w:id="0"/>
            <w:r w:rsidRPr="00D91015">
              <w:rPr>
                <w:rFonts w:hAnsi="等线" w:cs="宋体" w:hint="eastAsia"/>
                <w:color w:val="000000"/>
                <w:kern w:val="0"/>
                <w:szCs w:val="22"/>
              </w:rPr>
              <w:t>产业交易型开放式指数证券投资基金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7,261</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38,555.91</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华夏移动互联灵活配置混合型证券投资基金（</w:t>
            </w:r>
            <w:r w:rsidRPr="00D91015">
              <w:rPr>
                <w:rFonts w:cs="宋体" w:hint="eastAsia"/>
                <w:color w:val="000000"/>
                <w:kern w:val="0"/>
                <w:szCs w:val="22"/>
              </w:rPr>
              <w:t>QDII</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华夏消费龙头混合型证券投资基金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华夏内需驱动混合型证券投资基金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华夏磐泰混合型证券投资基金（</w:t>
            </w:r>
            <w:r w:rsidRPr="00D91015">
              <w:rPr>
                <w:rFonts w:cs="宋体" w:hint="eastAsia"/>
                <w:color w:val="000000"/>
                <w:kern w:val="0"/>
                <w:szCs w:val="22"/>
              </w:rPr>
              <w:t>LOF</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华夏安泰对冲策略</w:t>
            </w:r>
            <w:r w:rsidRPr="00D91015">
              <w:rPr>
                <w:rFonts w:cs="宋体" w:hint="eastAsia"/>
                <w:color w:val="000000"/>
                <w:kern w:val="0"/>
                <w:szCs w:val="22"/>
              </w:rPr>
              <w:t>3</w:t>
            </w:r>
            <w:r w:rsidRPr="00D91015">
              <w:rPr>
                <w:rFonts w:hAnsi="等线" w:cs="宋体" w:hint="eastAsia"/>
                <w:color w:val="000000"/>
                <w:kern w:val="0"/>
                <w:szCs w:val="22"/>
              </w:rPr>
              <w:t>个月定期开放灵活配置混合型发起式证券投资基金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华夏新锦绣灵活配置混合型证券投资基金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华夏新兴成长股票型证券投资基金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华夏见龙精选混合型证券投资基金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华夏国证半导体芯片交易型开放式指数证券投资基金发起式联接基金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华夏网购精选灵活配置混合型证券投资基金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华夏科技成长股票型证券投资基金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华夏核心资产混合型证券投资基金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华夏创业板动量成长交易型开放式指数证券投资基金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华夏磐利一年定期开放混合型证券投资基金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中小企业</w:t>
            </w:r>
            <w:r w:rsidRPr="00D91015">
              <w:rPr>
                <w:rFonts w:cs="宋体" w:hint="eastAsia"/>
                <w:color w:val="000000"/>
                <w:kern w:val="0"/>
                <w:szCs w:val="22"/>
              </w:rPr>
              <w:t>100</w:t>
            </w:r>
            <w:r w:rsidRPr="00D91015">
              <w:rPr>
                <w:rFonts w:hAnsi="等线" w:cs="宋体" w:hint="eastAsia"/>
                <w:color w:val="000000"/>
                <w:kern w:val="0"/>
                <w:szCs w:val="22"/>
              </w:rPr>
              <w:t>交易型开放式指数基金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华夏创业板低波蓝筹交易型开放式指数证券投资基金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华夏回报二号证券投资基金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华夏优势增长混合型证券投资基金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华夏科技龙头两年定期开放混合型证券投资基金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华夏价值精选混合型证券投资基金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华夏行业景气混合型证券投资基金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华夏复兴混合型证券投资基金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华夏国证半导体芯片交易型开放式指数证券投资基金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华夏创新驱动混合型证券投资基金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华夏成长精选</w:t>
            </w:r>
            <w:r w:rsidRPr="00D91015">
              <w:rPr>
                <w:rFonts w:cs="宋体" w:hint="eastAsia"/>
                <w:color w:val="000000"/>
                <w:kern w:val="0"/>
                <w:szCs w:val="22"/>
              </w:rPr>
              <w:t>6</w:t>
            </w:r>
            <w:r w:rsidRPr="00D91015">
              <w:rPr>
                <w:rFonts w:hAnsi="等线" w:cs="宋体" w:hint="eastAsia"/>
                <w:color w:val="000000"/>
                <w:kern w:val="0"/>
                <w:szCs w:val="22"/>
              </w:rPr>
              <w:t>个月定期开放混合型发起式证券投资基金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华夏创新未来</w:t>
            </w:r>
            <w:r w:rsidRPr="00D91015">
              <w:rPr>
                <w:rFonts w:cs="宋体" w:hint="eastAsia"/>
                <w:color w:val="000000"/>
                <w:kern w:val="0"/>
                <w:szCs w:val="22"/>
              </w:rPr>
              <w:t>18</w:t>
            </w:r>
            <w:r w:rsidRPr="00D91015">
              <w:rPr>
                <w:rFonts w:hAnsi="等线" w:cs="宋体" w:hint="eastAsia"/>
                <w:color w:val="000000"/>
                <w:kern w:val="0"/>
                <w:szCs w:val="22"/>
              </w:rPr>
              <w:t>个月封闭运作混合型证券投资基金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华夏回报证券投资基金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华夏科技创新混合型证券投资基金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华夏大盘精选证券投资基金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华夏兴华混合型证券投资基金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华夏中证</w:t>
            </w:r>
            <w:r w:rsidRPr="00D91015">
              <w:rPr>
                <w:rFonts w:cs="宋体" w:hint="eastAsia"/>
                <w:color w:val="000000"/>
                <w:kern w:val="0"/>
                <w:szCs w:val="22"/>
              </w:rPr>
              <w:t>5G</w:t>
            </w:r>
            <w:r w:rsidRPr="00D91015">
              <w:rPr>
                <w:rFonts w:hAnsi="等线" w:cs="宋体" w:hint="eastAsia"/>
                <w:color w:val="000000"/>
                <w:kern w:val="0"/>
                <w:szCs w:val="22"/>
              </w:rPr>
              <w:t>通信主题交易型开放式指数证券投资基金发起式联接基金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华夏兴和混合型证券投资基金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华夏蓝筹核心混合型证券投资基金（</w:t>
            </w:r>
            <w:r w:rsidRPr="00D91015">
              <w:rPr>
                <w:rFonts w:cs="宋体" w:hint="eastAsia"/>
                <w:color w:val="000000"/>
                <w:kern w:val="0"/>
                <w:szCs w:val="22"/>
              </w:rPr>
              <w:t>LOF</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华夏行业精选混合型证券投资基金（</w:t>
            </w:r>
            <w:r w:rsidRPr="00D91015">
              <w:rPr>
                <w:rFonts w:cs="宋体" w:hint="eastAsia"/>
                <w:color w:val="000000"/>
                <w:kern w:val="0"/>
                <w:szCs w:val="22"/>
              </w:rPr>
              <w:t>LOF</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华夏平稳增长混合型证券投资基金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华夏成长证券投资基金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华夏养老目标日期</w:t>
            </w:r>
            <w:r w:rsidRPr="00D91015">
              <w:rPr>
                <w:rFonts w:cs="宋体" w:hint="eastAsia"/>
                <w:color w:val="000000"/>
                <w:kern w:val="0"/>
                <w:szCs w:val="22"/>
              </w:rPr>
              <w:t>2045</w:t>
            </w:r>
            <w:r w:rsidRPr="00D91015">
              <w:rPr>
                <w:rFonts w:hAnsi="等线" w:cs="宋体" w:hint="eastAsia"/>
                <w:color w:val="000000"/>
                <w:kern w:val="0"/>
                <w:szCs w:val="22"/>
              </w:rPr>
              <w:t>三年持有期混合型基金中基金（</w:t>
            </w:r>
            <w:r w:rsidRPr="00D91015">
              <w:rPr>
                <w:rFonts w:cs="宋体" w:hint="eastAsia"/>
                <w:color w:val="000000"/>
                <w:kern w:val="0"/>
                <w:szCs w:val="22"/>
              </w:rPr>
              <w:t>FOF</w:t>
            </w:r>
            <w:r w:rsidRPr="00D91015">
              <w:rPr>
                <w:rFonts w:hAnsi="等线" w:cs="宋体" w:hint="eastAsia"/>
                <w:color w:val="000000"/>
                <w:kern w:val="0"/>
                <w:szCs w:val="22"/>
              </w:rPr>
              <w:t>）</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r w:rsidR="00D91015" w:rsidRPr="00D91015" w:rsidTr="007D5065">
        <w:trPr>
          <w:trHeight w:val="20"/>
        </w:trPr>
        <w:tc>
          <w:tcPr>
            <w:tcW w:w="3033"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华夏创业板两年定期开放混合型证券投资基金</w:t>
            </w:r>
          </w:p>
        </w:tc>
        <w:tc>
          <w:tcPr>
            <w:tcW w:w="657" w:type="pct"/>
            <w:shd w:val="clear" w:color="auto" w:fill="auto"/>
            <w:noWrap/>
            <w:vAlign w:val="center"/>
            <w:hideMark/>
          </w:tcPr>
          <w:p w:rsidR="00D91015" w:rsidRPr="00D91015" w:rsidRDefault="00D91015" w:rsidP="00D91015">
            <w:pPr>
              <w:widowControl/>
              <w:jc w:val="left"/>
              <w:rPr>
                <w:rFonts w:cs="宋体"/>
                <w:color w:val="000000"/>
                <w:kern w:val="0"/>
                <w:szCs w:val="22"/>
              </w:rPr>
            </w:pPr>
            <w:r w:rsidRPr="00D91015">
              <w:rPr>
                <w:rFonts w:hAnsi="等线" w:cs="宋体" w:hint="eastAsia"/>
                <w:color w:val="000000"/>
                <w:kern w:val="0"/>
                <w:szCs w:val="22"/>
              </w:rPr>
              <w:t>东亚机械</w:t>
            </w:r>
          </w:p>
        </w:tc>
        <w:tc>
          <w:tcPr>
            <w:tcW w:w="632"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7,329</w:t>
            </w:r>
          </w:p>
        </w:tc>
        <w:tc>
          <w:tcPr>
            <w:tcW w:w="678" w:type="pct"/>
            <w:shd w:val="clear" w:color="auto" w:fill="auto"/>
            <w:vAlign w:val="center"/>
            <w:hideMark/>
          </w:tcPr>
          <w:p w:rsidR="00D91015" w:rsidRPr="00D91015" w:rsidRDefault="00D91015" w:rsidP="00D91015">
            <w:pPr>
              <w:widowControl/>
              <w:jc w:val="right"/>
              <w:rPr>
                <w:rFonts w:cs="Arial"/>
                <w:color w:val="333333"/>
                <w:kern w:val="0"/>
                <w:szCs w:val="18"/>
              </w:rPr>
            </w:pPr>
            <w:r w:rsidRPr="00D91015">
              <w:rPr>
                <w:rFonts w:cs="Arial"/>
                <w:color w:val="333333"/>
                <w:kern w:val="0"/>
                <w:szCs w:val="18"/>
              </w:rPr>
              <w:t>38,916.99</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D77394">
        <w:rPr>
          <w:rFonts w:ascii="宋体" w:hAnsi="宋体" w:hint="eastAsia"/>
          <w:color w:val="000000"/>
          <w:sz w:val="24"/>
        </w:rPr>
        <w:t>七</w:t>
      </w:r>
      <w:r w:rsidR="002C2308" w:rsidRPr="00B52BD6">
        <w:rPr>
          <w:rFonts w:hAnsi="宋体"/>
          <w:color w:val="000000"/>
          <w:sz w:val="24"/>
        </w:rPr>
        <w:t>月</w:t>
      </w:r>
      <w:r w:rsidR="00D91015">
        <w:rPr>
          <w:rFonts w:hAnsi="宋体" w:hint="eastAsia"/>
          <w:color w:val="000000"/>
          <w:sz w:val="24"/>
        </w:rPr>
        <w:t>十四</w:t>
      </w:r>
      <w:r w:rsidR="002C2308" w:rsidRPr="00B52BD6">
        <w:rPr>
          <w:rFonts w:hAnsi="宋体"/>
          <w:color w:val="000000"/>
          <w:sz w:val="24"/>
        </w:rPr>
        <w:t>日</w:t>
      </w:r>
    </w:p>
    <w:sectPr w:rsidR="00624130" w:rsidRPr="00BE18ED" w:rsidSect="00126D65">
      <w:headerReference w:type="even" r:id="rId8"/>
      <w:headerReference w:type="default" r:id="rId9"/>
      <w:footerReference w:type="even" r:id="rId10"/>
      <w:footerReference w:type="default" r:id="rId11"/>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13" w:rsidRDefault="009D5A13">
      <w:r>
        <w:separator/>
      </w:r>
    </w:p>
  </w:endnote>
  <w:endnote w:type="continuationSeparator" w:id="0">
    <w:p w:rsidR="009D5A13" w:rsidRDefault="009D5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等线">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FD6FFE" w:rsidP="005B461D">
    <w:pPr>
      <w:pStyle w:val="a4"/>
      <w:framePr w:wrap="around" w:vAnchor="text" w:hAnchor="margin" w:xAlign="center" w:y="1"/>
      <w:rPr>
        <w:rStyle w:val="a5"/>
      </w:rPr>
    </w:pPr>
    <w:r>
      <w:rPr>
        <w:rStyle w:val="a5"/>
      </w:rPr>
      <w:fldChar w:fldCharType="begin"/>
    </w:r>
    <w:r w:rsidR="00AA6783">
      <w:rPr>
        <w:rStyle w:val="a5"/>
      </w:rPr>
      <w:instrText xml:space="preserve">PAGE  </w:instrText>
    </w:r>
    <w:r>
      <w:rPr>
        <w:rStyle w:val="a5"/>
      </w:rPr>
      <w:fldChar w:fldCharType="end"/>
    </w:r>
  </w:p>
  <w:p w:rsidR="00AA6783" w:rsidRDefault="00AA67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FD6FFE" w:rsidP="000933A1">
    <w:pPr>
      <w:pStyle w:val="a4"/>
      <w:jc w:val="center"/>
    </w:pPr>
    <w:r w:rsidRPr="00FD6FFE">
      <w:fldChar w:fldCharType="begin"/>
    </w:r>
    <w:r w:rsidR="00AA6783">
      <w:instrText xml:space="preserve"> PAGE   \* MERGEFORMAT </w:instrText>
    </w:r>
    <w:r w:rsidRPr="00FD6FFE">
      <w:fldChar w:fldCharType="separate"/>
    </w:r>
    <w:r w:rsidR="00E9284A" w:rsidRPr="00E9284A">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13" w:rsidRDefault="009D5A13">
      <w:r>
        <w:separator/>
      </w:r>
    </w:p>
  </w:footnote>
  <w:footnote w:type="continuationSeparator" w:id="0">
    <w:p w:rsidR="009D5A13" w:rsidRDefault="009D5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AA6783"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3" w:rsidRDefault="00AA6783"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26D65"/>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32F"/>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5065"/>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27F1"/>
    <w:rsid w:val="00906414"/>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5A13"/>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2A74"/>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1015"/>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284A"/>
    <w:rsid w:val="00E95B62"/>
    <w:rsid w:val="00E963A6"/>
    <w:rsid w:val="00EB77D4"/>
    <w:rsid w:val="00EC232D"/>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950"/>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D6FF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9918524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1097621">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83062-C765-4E15-B211-AF87F8F8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3827</Characters>
  <Application>Microsoft Office Word</Application>
  <DocSecurity>4</DocSecurity>
  <Lines>31</Lines>
  <Paragraphs>8</Paragraphs>
  <ScaleCrop>false</ScaleCrop>
  <Company>CHINAAMC</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2021-07-13T16:28:00Z</dcterms:created>
  <dcterms:modified xsi:type="dcterms:W3CDTF">2021-07-13T16:28:00Z</dcterms:modified>
</cp:coreProperties>
</file>