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1D" w:rsidRPr="00E847F6" w:rsidRDefault="00E3464C" w:rsidP="00E047F2">
      <w:pPr>
        <w:widowControl/>
        <w:spacing w:line="360" w:lineRule="auto"/>
        <w:jc w:val="center"/>
        <w:rPr>
          <w:rFonts w:asciiTheme="minorEastAsia" w:eastAsiaTheme="minorEastAsia" w:hAnsiTheme="minorEastAsia" w:cs="Arial"/>
          <w:b/>
          <w:bCs/>
          <w:kern w:val="0"/>
          <w:szCs w:val="21"/>
        </w:rPr>
      </w:pPr>
      <w:r w:rsidRPr="00E847F6">
        <w:rPr>
          <w:rFonts w:asciiTheme="minorEastAsia" w:eastAsiaTheme="minorEastAsia" w:hAnsiTheme="minorEastAsia" w:cs="Arial" w:hint="eastAsia"/>
          <w:b/>
          <w:bCs/>
          <w:kern w:val="0"/>
          <w:szCs w:val="21"/>
        </w:rPr>
        <w:t>关于</w:t>
      </w:r>
      <w:r w:rsidR="0077688E" w:rsidRPr="00E847F6">
        <w:rPr>
          <w:rFonts w:asciiTheme="minorEastAsia" w:eastAsiaTheme="minorEastAsia" w:hAnsiTheme="minorEastAsia" w:cs="Arial" w:hint="eastAsia"/>
          <w:b/>
          <w:bCs/>
          <w:kern w:val="0"/>
          <w:szCs w:val="21"/>
        </w:rPr>
        <w:t>旗下部分</w:t>
      </w:r>
      <w:r w:rsidR="00C22DC9" w:rsidRPr="00E847F6">
        <w:rPr>
          <w:rFonts w:asciiTheme="minorEastAsia" w:eastAsiaTheme="minorEastAsia" w:hAnsiTheme="minorEastAsia" w:cs="Arial" w:hint="eastAsia"/>
          <w:b/>
          <w:bCs/>
          <w:kern w:val="0"/>
          <w:szCs w:val="21"/>
        </w:rPr>
        <w:t>基金新增</w:t>
      </w:r>
      <w:r w:rsidR="00143454" w:rsidRPr="00143454">
        <w:rPr>
          <w:rFonts w:asciiTheme="minorEastAsia" w:eastAsiaTheme="minorEastAsia" w:hAnsiTheme="minorEastAsia" w:cs="Arial" w:hint="eastAsia"/>
          <w:b/>
          <w:bCs/>
          <w:kern w:val="0"/>
          <w:szCs w:val="21"/>
        </w:rPr>
        <w:t>挖财基金</w:t>
      </w:r>
      <w:r w:rsidR="00C22DC9" w:rsidRPr="00E847F6">
        <w:rPr>
          <w:rFonts w:asciiTheme="minorEastAsia" w:eastAsiaTheme="minorEastAsia" w:hAnsiTheme="minorEastAsia" w:cs="Arial" w:hint="eastAsia"/>
          <w:b/>
          <w:bCs/>
          <w:kern w:val="0"/>
          <w:szCs w:val="21"/>
        </w:rPr>
        <w:t>为销售机构并开通基金“定期定额投资业务”、基金</w:t>
      </w:r>
      <w:r w:rsidR="00011A96" w:rsidRPr="00E847F6">
        <w:rPr>
          <w:rFonts w:asciiTheme="minorEastAsia" w:eastAsiaTheme="minorEastAsia" w:hAnsiTheme="minorEastAsia" w:cs="Arial" w:hint="eastAsia"/>
          <w:b/>
          <w:bCs/>
          <w:kern w:val="0"/>
          <w:szCs w:val="21"/>
        </w:rPr>
        <w:t>转换业务</w:t>
      </w:r>
      <w:r w:rsidRPr="00E847F6">
        <w:rPr>
          <w:rFonts w:asciiTheme="minorEastAsia" w:eastAsiaTheme="minorEastAsia" w:hAnsiTheme="minorEastAsia" w:cs="Arial" w:hint="eastAsia"/>
          <w:b/>
          <w:bCs/>
          <w:kern w:val="0"/>
          <w:szCs w:val="21"/>
        </w:rPr>
        <w:t>及参加申购、定期定额投资申购费率优惠的公告</w:t>
      </w:r>
    </w:p>
    <w:p w:rsidR="0098471D" w:rsidRPr="00E847F6" w:rsidRDefault="0098471D">
      <w:pPr>
        <w:widowControl/>
        <w:spacing w:line="360" w:lineRule="auto"/>
        <w:jc w:val="center"/>
        <w:rPr>
          <w:rFonts w:asciiTheme="minorEastAsia" w:eastAsiaTheme="minorEastAsia" w:hAnsiTheme="minorEastAsia" w:cs="Arial"/>
          <w:kern w:val="0"/>
          <w:szCs w:val="21"/>
        </w:rPr>
      </w:pPr>
    </w:p>
    <w:p w:rsidR="0098471D" w:rsidRPr="00E847F6" w:rsidRDefault="000528B7" w:rsidP="00D166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为更好地满足广大投资者的理财需求，根据景顺长城基金管理有限公司（以下简称“本公司”）与</w:t>
      </w:r>
      <w:r w:rsidR="00143454" w:rsidRPr="00143454">
        <w:rPr>
          <w:rFonts w:asciiTheme="minorEastAsia" w:eastAsiaTheme="minorEastAsia" w:hAnsiTheme="minorEastAsia" w:cs="Arial" w:hint="eastAsia"/>
          <w:kern w:val="0"/>
          <w:szCs w:val="21"/>
        </w:rPr>
        <w:t>上海挖财基金销售有限公司（以下简称“挖财基金”）</w:t>
      </w:r>
      <w:r w:rsidRPr="00E847F6">
        <w:rPr>
          <w:rFonts w:asciiTheme="minorEastAsia" w:eastAsiaTheme="minorEastAsia" w:hAnsiTheme="minorEastAsia" w:cs="Arial" w:hint="eastAsia"/>
          <w:kern w:val="0"/>
          <w:szCs w:val="21"/>
        </w:rPr>
        <w:t>签署的委托销售协议，自</w:t>
      </w:r>
      <w:r w:rsidR="00032518" w:rsidRPr="00E847F6">
        <w:rPr>
          <w:rFonts w:asciiTheme="minorEastAsia" w:eastAsiaTheme="minorEastAsia" w:hAnsiTheme="minorEastAsia" w:cs="Arial" w:hint="eastAsia"/>
          <w:kern w:val="0"/>
          <w:szCs w:val="21"/>
        </w:rPr>
        <w:t>202</w:t>
      </w:r>
      <w:r w:rsidR="005F0033">
        <w:rPr>
          <w:rFonts w:asciiTheme="minorEastAsia" w:eastAsiaTheme="minorEastAsia" w:hAnsiTheme="minorEastAsia" w:cs="Arial" w:hint="eastAsia"/>
          <w:kern w:val="0"/>
          <w:szCs w:val="21"/>
        </w:rPr>
        <w:t>1</w:t>
      </w:r>
      <w:r w:rsidR="00032518" w:rsidRPr="00E847F6">
        <w:rPr>
          <w:rFonts w:asciiTheme="minorEastAsia" w:eastAsiaTheme="minorEastAsia" w:hAnsiTheme="minorEastAsia" w:cs="Arial" w:hint="eastAsia"/>
          <w:kern w:val="0"/>
          <w:szCs w:val="21"/>
        </w:rPr>
        <w:t>年</w:t>
      </w:r>
      <w:r w:rsidR="00143454">
        <w:rPr>
          <w:rFonts w:asciiTheme="minorEastAsia" w:eastAsiaTheme="minorEastAsia" w:hAnsiTheme="minorEastAsia" w:cs="Arial" w:hint="eastAsia"/>
          <w:kern w:val="0"/>
          <w:szCs w:val="21"/>
        </w:rPr>
        <w:t>7</w:t>
      </w:r>
      <w:r w:rsidR="00032518" w:rsidRPr="00E847F6">
        <w:rPr>
          <w:rFonts w:asciiTheme="minorEastAsia" w:eastAsiaTheme="minorEastAsia" w:hAnsiTheme="minorEastAsia" w:cs="Arial" w:hint="eastAsia"/>
          <w:kern w:val="0"/>
          <w:szCs w:val="21"/>
        </w:rPr>
        <w:t>月</w:t>
      </w:r>
      <w:r w:rsidR="00C45F64">
        <w:rPr>
          <w:rFonts w:asciiTheme="minorEastAsia" w:eastAsiaTheme="minorEastAsia" w:hAnsiTheme="minorEastAsia" w:cs="Arial" w:hint="eastAsia"/>
          <w:kern w:val="0"/>
          <w:szCs w:val="21"/>
        </w:rPr>
        <w:t>1</w:t>
      </w:r>
      <w:r w:rsidR="00D56477">
        <w:rPr>
          <w:rFonts w:asciiTheme="minorEastAsia" w:eastAsiaTheme="minorEastAsia" w:hAnsiTheme="minorEastAsia" w:cs="Arial"/>
          <w:kern w:val="0"/>
          <w:szCs w:val="21"/>
        </w:rPr>
        <w:t>4</w:t>
      </w:r>
      <w:r w:rsidRPr="00E847F6">
        <w:rPr>
          <w:rFonts w:asciiTheme="minorEastAsia" w:eastAsiaTheme="minorEastAsia" w:hAnsiTheme="minorEastAsia" w:cs="Arial" w:hint="eastAsia"/>
          <w:kern w:val="0"/>
          <w:szCs w:val="21"/>
        </w:rPr>
        <w:t>日起新增委托</w:t>
      </w:r>
      <w:r w:rsidR="00143454" w:rsidRPr="00143454">
        <w:rPr>
          <w:rFonts w:asciiTheme="minorEastAsia" w:eastAsiaTheme="minorEastAsia" w:hAnsiTheme="minorEastAsia" w:cs="Arial" w:hint="eastAsia"/>
          <w:kern w:val="0"/>
          <w:szCs w:val="21"/>
        </w:rPr>
        <w:t>挖财基金</w:t>
      </w:r>
      <w:r w:rsidRPr="00E847F6">
        <w:rPr>
          <w:rFonts w:asciiTheme="minorEastAsia" w:eastAsiaTheme="minorEastAsia" w:hAnsiTheme="minorEastAsia" w:cs="Arial" w:hint="eastAsia"/>
          <w:kern w:val="0"/>
          <w:szCs w:val="21"/>
        </w:rPr>
        <w:t>销售本公司旗下部分基金。现将相关事项公告如下：</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一、新增</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为销售机构</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、适用基金</w:t>
      </w:r>
    </w:p>
    <w:tbl>
      <w:tblPr>
        <w:tblW w:w="8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60"/>
        <w:gridCol w:w="5480"/>
      </w:tblGrid>
      <w:tr w:rsidR="00123370" w:rsidRPr="00123370" w:rsidTr="00123370">
        <w:trPr>
          <w:trHeight w:val="459"/>
        </w:trPr>
        <w:tc>
          <w:tcPr>
            <w:tcW w:w="720" w:type="dxa"/>
            <w:shd w:val="clear" w:color="000000" w:fill="D9D9D9"/>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序号</w:t>
            </w:r>
          </w:p>
        </w:tc>
        <w:tc>
          <w:tcPr>
            <w:tcW w:w="1860" w:type="dxa"/>
            <w:shd w:val="clear" w:color="000000" w:fill="D9D9D9"/>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基金代码</w:t>
            </w:r>
          </w:p>
        </w:tc>
        <w:tc>
          <w:tcPr>
            <w:tcW w:w="5480" w:type="dxa"/>
            <w:shd w:val="clear" w:color="000000" w:fill="D9D9D9"/>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基金全称</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009376</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景顺长城成长领航混合型证券投资基金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2</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010289</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景顺长城产业趋势混合型证券投资基金</w:t>
            </w:r>
          </w:p>
        </w:tc>
      </w:tr>
      <w:tr w:rsidR="00123370" w:rsidRPr="00123370" w:rsidTr="00123370">
        <w:trPr>
          <w:trHeight w:val="467"/>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3</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007274</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 xml:space="preserve">景顺长城养老目标日期2045五年持有期混合型发起式基金中基金（FOF） </w:t>
            </w:r>
          </w:p>
        </w:tc>
      </w:tr>
      <w:tr w:rsidR="00123370" w:rsidRPr="00123370" w:rsidTr="00123370">
        <w:trPr>
          <w:trHeight w:val="547"/>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4</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008850</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景顺长城价值稳进三年定期开放灵活配置混合型证券投资基金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5</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009992</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景顺长城量化成长演化混合型证券投资基金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6</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006435</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景顺长城创新成长混合型证券投资基金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7</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009098</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景顺长城价值领航两年持有期混合型证券投资基金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8</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007562</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景顺长城景泰纯利债券型证券投资基金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9</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008712</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景顺长城品质成长混合型证券投资基金</w:t>
            </w:r>
          </w:p>
        </w:tc>
      </w:tr>
      <w:tr w:rsidR="00123370" w:rsidRPr="00123370" w:rsidTr="00123370">
        <w:trPr>
          <w:trHeight w:val="612"/>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10</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008851</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景顺长城量化对冲策略三个月定期开放灵活配置混合型发起式证券投资基金</w:t>
            </w:r>
          </w:p>
        </w:tc>
      </w:tr>
      <w:tr w:rsidR="00123370" w:rsidRPr="00123370" w:rsidTr="00123370">
        <w:trPr>
          <w:trHeight w:val="612"/>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11</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009598</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景顺长城科技创新三年定期开放灵活配置混合型证券投资基金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12</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003318</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景顺长城中证500行业中性低波动指数型证券投资基金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13</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005914</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景顺长城智能生活混合型证券投资基金</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14</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007945(C类)</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 xml:space="preserve">景顺长城改革机遇灵活配置混合型证券投资基金 </w:t>
            </w:r>
          </w:p>
        </w:tc>
      </w:tr>
      <w:tr w:rsidR="00123370" w:rsidRPr="00123370" w:rsidTr="00123370">
        <w:trPr>
          <w:trHeight w:val="459"/>
        </w:trPr>
        <w:tc>
          <w:tcPr>
            <w:tcW w:w="72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15</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009871(C类)</w:t>
            </w:r>
          </w:p>
        </w:tc>
        <w:tc>
          <w:tcPr>
            <w:tcW w:w="548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景顺长城景瑞收益债券型证券投资基金</w:t>
            </w:r>
          </w:p>
        </w:tc>
      </w:tr>
      <w:tr w:rsidR="00123370" w:rsidRPr="00123370" w:rsidTr="00123370">
        <w:trPr>
          <w:trHeight w:val="379"/>
        </w:trPr>
        <w:tc>
          <w:tcPr>
            <w:tcW w:w="720" w:type="dxa"/>
            <w:vMerge w:val="restart"/>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16</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008999(A类)</w:t>
            </w:r>
          </w:p>
        </w:tc>
        <w:tc>
          <w:tcPr>
            <w:tcW w:w="5480" w:type="dxa"/>
            <w:vMerge w:val="restart"/>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 xml:space="preserve">景顺长城景颐嘉利6个月持有期债券型证券投资基金 </w:t>
            </w:r>
          </w:p>
        </w:tc>
      </w:tr>
      <w:tr w:rsidR="00123370" w:rsidRPr="00123370" w:rsidTr="00123370">
        <w:trPr>
          <w:trHeight w:val="256"/>
        </w:trPr>
        <w:tc>
          <w:tcPr>
            <w:tcW w:w="720" w:type="dxa"/>
            <w:vMerge/>
            <w:vAlign w:val="center"/>
            <w:hideMark/>
          </w:tcPr>
          <w:p w:rsidR="00123370" w:rsidRPr="00123370" w:rsidRDefault="00123370" w:rsidP="00123370">
            <w:pPr>
              <w:widowControl/>
              <w:jc w:val="left"/>
              <w:rPr>
                <w:rFonts w:ascii="宋体" w:hAnsi="宋体" w:cs="宋体"/>
                <w:color w:val="000000"/>
                <w:kern w:val="0"/>
                <w:szCs w:val="21"/>
              </w:rPr>
            </w:pP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009000(C类)</w:t>
            </w:r>
          </w:p>
        </w:tc>
        <w:tc>
          <w:tcPr>
            <w:tcW w:w="5480" w:type="dxa"/>
            <w:vMerge/>
            <w:vAlign w:val="center"/>
            <w:hideMark/>
          </w:tcPr>
          <w:p w:rsidR="00123370" w:rsidRPr="00123370" w:rsidRDefault="00123370" w:rsidP="00123370">
            <w:pPr>
              <w:widowControl/>
              <w:jc w:val="left"/>
              <w:rPr>
                <w:rFonts w:ascii="宋体" w:hAnsi="宋体" w:cs="宋体"/>
                <w:color w:val="000000"/>
                <w:kern w:val="0"/>
                <w:szCs w:val="21"/>
              </w:rPr>
            </w:pPr>
          </w:p>
        </w:tc>
      </w:tr>
      <w:tr w:rsidR="00123370" w:rsidRPr="00123370" w:rsidTr="00123370">
        <w:trPr>
          <w:trHeight w:val="361"/>
        </w:trPr>
        <w:tc>
          <w:tcPr>
            <w:tcW w:w="720" w:type="dxa"/>
            <w:vMerge w:val="restart"/>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17</w:t>
            </w: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009499(A类)</w:t>
            </w:r>
          </w:p>
        </w:tc>
        <w:tc>
          <w:tcPr>
            <w:tcW w:w="5480" w:type="dxa"/>
            <w:vMerge w:val="restart"/>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景顺长城安鑫回报一年持有期混合型证券投资基金</w:t>
            </w:r>
          </w:p>
        </w:tc>
      </w:tr>
      <w:tr w:rsidR="00123370" w:rsidRPr="00123370" w:rsidTr="00123370">
        <w:trPr>
          <w:trHeight w:val="274"/>
        </w:trPr>
        <w:tc>
          <w:tcPr>
            <w:tcW w:w="720" w:type="dxa"/>
            <w:vMerge/>
            <w:vAlign w:val="center"/>
            <w:hideMark/>
          </w:tcPr>
          <w:p w:rsidR="00123370" w:rsidRPr="00123370" w:rsidRDefault="00123370" w:rsidP="00123370">
            <w:pPr>
              <w:widowControl/>
              <w:jc w:val="left"/>
              <w:rPr>
                <w:rFonts w:ascii="宋体" w:hAnsi="宋体" w:cs="宋体"/>
                <w:color w:val="000000"/>
                <w:kern w:val="0"/>
                <w:szCs w:val="21"/>
              </w:rPr>
            </w:pPr>
          </w:p>
        </w:tc>
        <w:tc>
          <w:tcPr>
            <w:tcW w:w="1860" w:type="dxa"/>
            <w:shd w:val="clear" w:color="000000" w:fill="FFFFFF"/>
            <w:vAlign w:val="center"/>
            <w:hideMark/>
          </w:tcPr>
          <w:p w:rsidR="00123370" w:rsidRPr="00123370" w:rsidRDefault="00123370" w:rsidP="00123370">
            <w:pPr>
              <w:widowControl/>
              <w:jc w:val="center"/>
              <w:rPr>
                <w:rFonts w:ascii="宋体" w:hAnsi="宋体" w:cs="宋体"/>
                <w:color w:val="000000"/>
                <w:kern w:val="0"/>
                <w:szCs w:val="21"/>
              </w:rPr>
            </w:pPr>
            <w:r w:rsidRPr="00123370">
              <w:rPr>
                <w:rFonts w:ascii="宋体" w:hAnsi="宋体" w:cs="宋体" w:hint="eastAsia"/>
                <w:color w:val="000000"/>
                <w:kern w:val="0"/>
                <w:szCs w:val="21"/>
              </w:rPr>
              <w:t>009755(C类)</w:t>
            </w:r>
          </w:p>
        </w:tc>
        <w:tc>
          <w:tcPr>
            <w:tcW w:w="5480" w:type="dxa"/>
            <w:vMerge/>
            <w:vAlign w:val="center"/>
            <w:hideMark/>
          </w:tcPr>
          <w:p w:rsidR="00123370" w:rsidRPr="00123370" w:rsidRDefault="00123370" w:rsidP="00123370">
            <w:pPr>
              <w:widowControl/>
              <w:jc w:val="left"/>
              <w:rPr>
                <w:rFonts w:ascii="宋体" w:hAnsi="宋体" w:cs="宋体"/>
                <w:color w:val="000000"/>
                <w:kern w:val="0"/>
                <w:szCs w:val="21"/>
              </w:rPr>
            </w:pPr>
          </w:p>
        </w:tc>
      </w:tr>
    </w:tbl>
    <w:p w:rsidR="000028D4" w:rsidRPr="00A55ED3" w:rsidRDefault="000028D4" w:rsidP="007838F6">
      <w:pPr>
        <w:widowControl/>
        <w:ind w:firstLineChars="200" w:firstLine="420"/>
        <w:jc w:val="left"/>
        <w:rPr>
          <w:rFonts w:asciiTheme="minorEastAsia" w:eastAsiaTheme="minorEastAsia" w:hAnsiTheme="minorEastAsia" w:cs="Arial"/>
          <w:kern w:val="0"/>
          <w:szCs w:val="21"/>
        </w:rPr>
      </w:pPr>
    </w:p>
    <w:p w:rsidR="0098471D" w:rsidRPr="00E847F6" w:rsidRDefault="000528B7" w:rsidP="00A54B19">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lastRenderedPageBreak/>
        <w:t>2</w:t>
      </w:r>
      <w:r w:rsidRPr="00E847F6">
        <w:rPr>
          <w:rFonts w:asciiTheme="minorEastAsia" w:eastAsiaTheme="minorEastAsia" w:hAnsiTheme="minorEastAsia" w:cs="Arial" w:hint="eastAsia"/>
          <w:kern w:val="0"/>
          <w:szCs w:val="21"/>
        </w:rPr>
        <w:t>、销售机构信息</w:t>
      </w:r>
    </w:p>
    <w:p w:rsidR="00C45F64" w:rsidRPr="00C45F64" w:rsidRDefault="00C45F64" w:rsidP="00C45F64">
      <w:pPr>
        <w:widowControl/>
        <w:spacing w:line="360" w:lineRule="auto"/>
        <w:ind w:firstLineChars="200" w:firstLine="420"/>
        <w:jc w:val="left"/>
        <w:rPr>
          <w:rFonts w:asciiTheme="minorEastAsia" w:eastAsiaTheme="minorEastAsia" w:hAnsiTheme="minorEastAsia" w:cs="Arial"/>
          <w:kern w:val="0"/>
          <w:szCs w:val="21"/>
        </w:rPr>
      </w:pPr>
      <w:r w:rsidRPr="00C45F64">
        <w:rPr>
          <w:rFonts w:asciiTheme="minorEastAsia" w:eastAsiaTheme="minorEastAsia" w:hAnsiTheme="minorEastAsia" w:cs="Arial" w:hint="eastAsia"/>
          <w:kern w:val="0"/>
          <w:szCs w:val="21"/>
        </w:rPr>
        <w:t>销售机构名称：</w:t>
      </w:r>
      <w:r w:rsidR="00143454" w:rsidRPr="00143454">
        <w:rPr>
          <w:rFonts w:asciiTheme="minorEastAsia" w:eastAsiaTheme="minorEastAsia" w:hAnsiTheme="minorEastAsia" w:cs="Arial" w:hint="eastAsia"/>
          <w:kern w:val="0"/>
          <w:szCs w:val="21"/>
        </w:rPr>
        <w:t>上海挖财基金销售有限公司</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注册地址：中国(上海)自由贸易试验区杨高南路759号18层03单元</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办公地址：中国(上海)自由贸易试验区杨高南路759号18层03单元</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法定代表人：吕柳霞</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联系人：毛善波</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电话：021-50810687</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传真：021-58300279</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客户服务电话：021-50810673</w:t>
      </w:r>
    </w:p>
    <w:p w:rsidR="00012C16"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网址：www.wacaijijin.com/</w:t>
      </w:r>
    </w:p>
    <w:p w:rsidR="00012C16" w:rsidRDefault="00012C16" w:rsidP="00012C16">
      <w:pPr>
        <w:widowControl/>
        <w:spacing w:line="360" w:lineRule="auto"/>
        <w:ind w:firstLineChars="200" w:firstLine="420"/>
        <w:jc w:val="left"/>
        <w:rPr>
          <w:rFonts w:asciiTheme="minorEastAsia" w:eastAsiaTheme="minorEastAsia" w:hAnsiTheme="minorEastAsia" w:cs="Arial"/>
          <w:kern w:val="0"/>
          <w:szCs w:val="21"/>
        </w:rPr>
      </w:pPr>
    </w:p>
    <w:p w:rsidR="0098471D" w:rsidRPr="00E847F6" w:rsidRDefault="000528B7" w:rsidP="00012C16">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二、通过</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开通上述基金“定期定额投资业务”</w:t>
      </w:r>
    </w:p>
    <w:p w:rsidR="003A1F16" w:rsidRPr="00E847F6" w:rsidRDefault="000528B7" w:rsidP="003A1F16">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“定期定额投资业务”是基金申购业务的一种方式，投资者可以通过</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提交申请，约定每期扣款时间、扣款金额及扣款方式，由</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于约定扣款日在投资者指定的资金账户内自动完成扣款以及基金申购业务。投资者在办理“定期定额投资业务”的同时，仍然可以进行日常申购、赎回业务。</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、适用投资者范围</w:t>
      </w:r>
    </w:p>
    <w:p w:rsidR="006072AD" w:rsidRDefault="000528B7" w:rsidP="00FC3B6D">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“定期定额投资业务”适用于依据中华人民共和国有关法律法规的规定和上述基金的基金合同约定可以投资证券投资基金的个人投资者和机构投资者。</w:t>
      </w:r>
    </w:p>
    <w:p w:rsidR="00F66016" w:rsidRPr="00E847F6" w:rsidRDefault="00F66016" w:rsidP="00F66016">
      <w:pPr>
        <w:widowControl/>
        <w:spacing w:line="360" w:lineRule="auto"/>
        <w:ind w:firstLineChars="200" w:firstLine="420"/>
        <w:jc w:val="left"/>
        <w:rPr>
          <w:rFonts w:asciiTheme="minorEastAsia" w:eastAsiaTheme="minorEastAsia" w:hAnsiTheme="minorEastAsia" w:cs="Arial"/>
          <w:color w:val="000000"/>
          <w:kern w:val="0"/>
          <w:szCs w:val="21"/>
        </w:rPr>
      </w:pPr>
      <w:r w:rsidRPr="00E847F6">
        <w:rPr>
          <w:rFonts w:asciiTheme="minorEastAsia" w:eastAsiaTheme="minorEastAsia" w:hAnsiTheme="minorEastAsia" w:cs="Arial" w:hint="eastAsia"/>
          <w:color w:val="000000"/>
          <w:kern w:val="0"/>
          <w:szCs w:val="21"/>
        </w:rPr>
        <w:t>以下产品</w:t>
      </w:r>
      <w:r>
        <w:rPr>
          <w:rFonts w:asciiTheme="minorEastAsia" w:eastAsiaTheme="minorEastAsia" w:hAnsiTheme="minorEastAsia" w:cs="Arial" w:hint="eastAsia"/>
          <w:color w:val="000000"/>
          <w:kern w:val="0"/>
          <w:szCs w:val="21"/>
        </w:rPr>
        <w:t>未</w:t>
      </w:r>
      <w:r w:rsidRPr="00E847F6">
        <w:rPr>
          <w:rFonts w:asciiTheme="minorEastAsia" w:eastAsiaTheme="minorEastAsia" w:hAnsiTheme="minorEastAsia" w:cs="Arial" w:hint="eastAsia"/>
          <w:color w:val="000000"/>
          <w:kern w:val="0"/>
          <w:szCs w:val="21"/>
        </w:rPr>
        <w:t>开通定期定额投资业务：</w:t>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60"/>
        <w:gridCol w:w="5480"/>
      </w:tblGrid>
      <w:tr w:rsidR="00174B9C" w:rsidRPr="00174B9C" w:rsidTr="00174B9C">
        <w:trPr>
          <w:trHeight w:val="459"/>
        </w:trPr>
        <w:tc>
          <w:tcPr>
            <w:tcW w:w="720" w:type="dxa"/>
            <w:shd w:val="clear" w:color="000000" w:fill="D9D9D9"/>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序号</w:t>
            </w:r>
          </w:p>
        </w:tc>
        <w:tc>
          <w:tcPr>
            <w:tcW w:w="1860" w:type="dxa"/>
            <w:shd w:val="clear" w:color="000000" w:fill="D9D9D9"/>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基金代码</w:t>
            </w:r>
          </w:p>
        </w:tc>
        <w:tc>
          <w:tcPr>
            <w:tcW w:w="5480" w:type="dxa"/>
            <w:shd w:val="clear" w:color="000000" w:fill="D9D9D9"/>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基金全称</w:t>
            </w:r>
          </w:p>
        </w:tc>
      </w:tr>
      <w:tr w:rsidR="00174B9C" w:rsidRPr="00174B9C" w:rsidTr="00174B9C">
        <w:trPr>
          <w:trHeight w:val="617"/>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1</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008850</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景顺长城价值稳进三年定期开放灵活配置混合型证券投资基金</w:t>
            </w:r>
          </w:p>
        </w:tc>
      </w:tr>
      <w:tr w:rsidR="00174B9C" w:rsidRPr="00174B9C" w:rsidTr="00174B9C">
        <w:trPr>
          <w:trHeight w:val="612"/>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2</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008851</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景顺长城量化对冲策略三个月定期开放灵活配置混合型发起式证券投资基金</w:t>
            </w:r>
          </w:p>
        </w:tc>
      </w:tr>
      <w:tr w:rsidR="00174B9C" w:rsidRPr="00174B9C" w:rsidTr="00174B9C">
        <w:trPr>
          <w:trHeight w:val="459"/>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3</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009098</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景顺长城价值领航两年持有期混合型证券投资基金</w:t>
            </w:r>
          </w:p>
        </w:tc>
      </w:tr>
      <w:tr w:rsidR="00174B9C" w:rsidRPr="00174B9C" w:rsidTr="00174B9C">
        <w:trPr>
          <w:trHeight w:val="459"/>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4</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007562</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景顺长城景泰纯利债券型证券投资基金</w:t>
            </w:r>
          </w:p>
        </w:tc>
      </w:tr>
      <w:tr w:rsidR="00174B9C" w:rsidRPr="00174B9C" w:rsidTr="00174B9C">
        <w:trPr>
          <w:trHeight w:val="612"/>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5</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009598</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景顺长城科技创新三年定期开放灵活配置混合型证券投资基金</w:t>
            </w:r>
          </w:p>
        </w:tc>
      </w:tr>
      <w:tr w:rsidR="00174B9C" w:rsidRPr="00174B9C" w:rsidTr="00174B9C">
        <w:trPr>
          <w:trHeight w:val="459"/>
        </w:trPr>
        <w:tc>
          <w:tcPr>
            <w:tcW w:w="72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6</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008999(A类)</w:t>
            </w:r>
          </w:p>
        </w:tc>
        <w:tc>
          <w:tcPr>
            <w:tcW w:w="548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 xml:space="preserve">景顺长城景颐嘉利6个月持有期债券型证券投资基金 </w:t>
            </w:r>
          </w:p>
        </w:tc>
      </w:tr>
      <w:tr w:rsidR="00174B9C" w:rsidRPr="00174B9C" w:rsidTr="00174B9C">
        <w:trPr>
          <w:trHeight w:val="459"/>
        </w:trPr>
        <w:tc>
          <w:tcPr>
            <w:tcW w:w="720" w:type="dxa"/>
            <w:vMerge/>
            <w:vAlign w:val="center"/>
            <w:hideMark/>
          </w:tcPr>
          <w:p w:rsidR="00174B9C" w:rsidRPr="00174B9C" w:rsidRDefault="00174B9C" w:rsidP="00174B9C">
            <w:pPr>
              <w:widowControl/>
              <w:jc w:val="left"/>
              <w:rPr>
                <w:rFonts w:ascii="宋体" w:hAnsi="宋体" w:cs="宋体"/>
                <w:color w:val="000000"/>
                <w:kern w:val="0"/>
                <w:szCs w:val="21"/>
              </w:rPr>
            </w:pP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009000(C类)</w:t>
            </w:r>
          </w:p>
        </w:tc>
        <w:tc>
          <w:tcPr>
            <w:tcW w:w="5480" w:type="dxa"/>
            <w:vMerge/>
            <w:vAlign w:val="center"/>
            <w:hideMark/>
          </w:tcPr>
          <w:p w:rsidR="00174B9C" w:rsidRPr="00174B9C" w:rsidRDefault="00174B9C" w:rsidP="00174B9C">
            <w:pPr>
              <w:widowControl/>
              <w:jc w:val="left"/>
              <w:rPr>
                <w:rFonts w:ascii="宋体" w:hAnsi="宋体" w:cs="宋体"/>
                <w:color w:val="000000"/>
                <w:kern w:val="0"/>
                <w:szCs w:val="21"/>
              </w:rPr>
            </w:pPr>
          </w:p>
        </w:tc>
      </w:tr>
      <w:tr w:rsidR="00174B9C" w:rsidRPr="00174B9C" w:rsidTr="00174B9C">
        <w:trPr>
          <w:trHeight w:val="459"/>
        </w:trPr>
        <w:tc>
          <w:tcPr>
            <w:tcW w:w="72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lastRenderedPageBreak/>
              <w:t>7</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009499(A类)</w:t>
            </w:r>
          </w:p>
        </w:tc>
        <w:tc>
          <w:tcPr>
            <w:tcW w:w="548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景顺长城安鑫回报一年持有期混合型证券投资基金</w:t>
            </w:r>
          </w:p>
        </w:tc>
      </w:tr>
      <w:tr w:rsidR="00174B9C" w:rsidRPr="00174B9C" w:rsidTr="00174B9C">
        <w:trPr>
          <w:trHeight w:val="459"/>
        </w:trPr>
        <w:tc>
          <w:tcPr>
            <w:tcW w:w="720" w:type="dxa"/>
            <w:vMerge/>
            <w:vAlign w:val="center"/>
            <w:hideMark/>
          </w:tcPr>
          <w:p w:rsidR="00174B9C" w:rsidRPr="00174B9C" w:rsidRDefault="00174B9C" w:rsidP="00174B9C">
            <w:pPr>
              <w:widowControl/>
              <w:jc w:val="left"/>
              <w:rPr>
                <w:rFonts w:ascii="宋体" w:hAnsi="宋体" w:cs="宋体"/>
                <w:color w:val="000000"/>
                <w:kern w:val="0"/>
                <w:szCs w:val="21"/>
              </w:rPr>
            </w:pP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009755(C类)</w:t>
            </w:r>
          </w:p>
        </w:tc>
        <w:tc>
          <w:tcPr>
            <w:tcW w:w="5480" w:type="dxa"/>
            <w:vMerge/>
            <w:vAlign w:val="center"/>
            <w:hideMark/>
          </w:tcPr>
          <w:p w:rsidR="00174B9C" w:rsidRPr="00174B9C" w:rsidRDefault="00174B9C" w:rsidP="00174B9C">
            <w:pPr>
              <w:widowControl/>
              <w:jc w:val="left"/>
              <w:rPr>
                <w:rFonts w:ascii="宋体" w:hAnsi="宋体" w:cs="宋体"/>
                <w:color w:val="000000"/>
                <w:kern w:val="0"/>
                <w:szCs w:val="21"/>
              </w:rPr>
            </w:pPr>
          </w:p>
        </w:tc>
      </w:tr>
    </w:tbl>
    <w:p w:rsidR="00F66016" w:rsidRPr="00F66016" w:rsidRDefault="00F66016" w:rsidP="00F66016">
      <w:pPr>
        <w:widowControl/>
        <w:spacing w:line="360" w:lineRule="auto"/>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、定期扣款金额</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投资者可以与</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约定每月固定扣款金额，每期最低申购金额</w:t>
      </w:r>
      <w:r w:rsidR="00541A8D" w:rsidRPr="00E847F6">
        <w:rPr>
          <w:rFonts w:asciiTheme="minorEastAsia" w:eastAsiaTheme="minorEastAsia" w:hAnsiTheme="minorEastAsia" w:cs="Arial" w:hint="eastAsia"/>
          <w:kern w:val="0"/>
          <w:szCs w:val="21"/>
        </w:rPr>
        <w:t>以</w:t>
      </w:r>
      <w:r w:rsidR="00143454">
        <w:rPr>
          <w:rFonts w:asciiTheme="minorEastAsia" w:eastAsiaTheme="minorEastAsia" w:hAnsiTheme="minorEastAsia" w:cs="Arial" w:hint="eastAsia"/>
          <w:kern w:val="0"/>
          <w:szCs w:val="21"/>
        </w:rPr>
        <w:t>挖财基金</w:t>
      </w:r>
      <w:r w:rsidR="00541A8D" w:rsidRPr="00E847F6">
        <w:rPr>
          <w:rFonts w:asciiTheme="minorEastAsia" w:eastAsiaTheme="minorEastAsia" w:hAnsiTheme="minorEastAsia" w:cs="Arial" w:hint="eastAsia"/>
          <w:kern w:val="0"/>
          <w:szCs w:val="21"/>
        </w:rPr>
        <w:t>为准</w:t>
      </w:r>
      <w:r w:rsidRPr="00E847F6">
        <w:rPr>
          <w:rFonts w:asciiTheme="minorEastAsia" w:eastAsiaTheme="minorEastAsia" w:hAnsiTheme="minorEastAsia" w:cs="Arial" w:hint="eastAsia"/>
          <w:kern w:val="0"/>
          <w:szCs w:val="21"/>
        </w:rPr>
        <w:t>，且不设定级差及累计申购限额。</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定期自动代投资者提交的申购金额，应与投资者原定期定额投资业务开通申请中填写的申购金额一致。</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3</w:t>
      </w:r>
      <w:r w:rsidRPr="00E847F6">
        <w:rPr>
          <w:rFonts w:asciiTheme="minorEastAsia" w:eastAsiaTheme="minorEastAsia" w:hAnsiTheme="minorEastAsia" w:cs="Arial" w:hint="eastAsia"/>
          <w:kern w:val="0"/>
          <w:szCs w:val="21"/>
        </w:rPr>
        <w:t>、交易确认</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以每期实际定期定额投资申购申请日（</w:t>
      </w:r>
      <w:r w:rsidRPr="00E847F6">
        <w:rPr>
          <w:rFonts w:asciiTheme="minorEastAsia" w:eastAsiaTheme="minorEastAsia" w:hAnsiTheme="minorEastAsia" w:cs="Arial"/>
          <w:kern w:val="0"/>
          <w:szCs w:val="21"/>
        </w:rPr>
        <w:t>T</w:t>
      </w:r>
      <w:r w:rsidRPr="00E847F6">
        <w:rPr>
          <w:rFonts w:asciiTheme="minorEastAsia" w:eastAsiaTheme="minorEastAsia" w:hAnsiTheme="minorEastAsia" w:cs="Arial" w:hint="eastAsia"/>
          <w:kern w:val="0"/>
          <w:szCs w:val="21"/>
        </w:rPr>
        <w:t>日）的基金份额资产净值为基准计算申购份额。定期定额投资申购的确认以各基金注册登记机构的记录为准。</w:t>
      </w:r>
    </w:p>
    <w:p w:rsidR="0098471D" w:rsidRDefault="000528B7" w:rsidP="00D166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4</w:t>
      </w:r>
      <w:r w:rsidRPr="00E847F6">
        <w:rPr>
          <w:rFonts w:asciiTheme="minorEastAsia" w:eastAsiaTheme="minorEastAsia" w:hAnsiTheme="minorEastAsia" w:cs="Arial" w:hint="eastAsia"/>
          <w:kern w:val="0"/>
          <w:szCs w:val="21"/>
        </w:rPr>
        <w:t>、有关“定期定额投资业务”的具体业务办理规则和程序请遵循</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的有关规定。</w:t>
      </w:r>
    </w:p>
    <w:p w:rsidR="00FC3B6D" w:rsidRPr="00E847F6" w:rsidRDefault="00FC3B6D" w:rsidP="00D16618">
      <w:pPr>
        <w:widowControl/>
        <w:spacing w:line="360" w:lineRule="auto"/>
        <w:ind w:firstLineChars="200" w:firstLine="420"/>
        <w:jc w:val="left"/>
        <w:rPr>
          <w:rFonts w:asciiTheme="minorEastAsia" w:eastAsiaTheme="minorEastAsia" w:hAnsiTheme="minorEastAsia" w:cs="Arial"/>
          <w:kern w:val="0"/>
          <w:szCs w:val="21"/>
        </w:rPr>
      </w:pP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三、通过</w:t>
      </w:r>
      <w:r w:rsidR="00143454">
        <w:rPr>
          <w:rFonts w:asciiTheme="minorEastAsia" w:eastAsiaTheme="minorEastAsia" w:hAnsiTheme="minorEastAsia" w:cs="Arial" w:hint="eastAsia"/>
          <w:kern w:val="0"/>
          <w:szCs w:val="21"/>
        </w:rPr>
        <w:t>挖财基金</w:t>
      </w:r>
      <w:r w:rsidRPr="00E847F6">
        <w:rPr>
          <w:rFonts w:asciiTheme="minorEastAsia" w:eastAsiaTheme="minorEastAsia" w:hAnsiTheme="minorEastAsia" w:cs="Arial" w:hint="eastAsia"/>
          <w:kern w:val="0"/>
          <w:szCs w:val="21"/>
        </w:rPr>
        <w:t>开通上述基金转换业务</w:t>
      </w:r>
    </w:p>
    <w:p w:rsidR="003062AB"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1、本公司自</w:t>
      </w:r>
      <w:r w:rsidR="00032518" w:rsidRPr="00E847F6">
        <w:rPr>
          <w:rFonts w:asciiTheme="minorEastAsia" w:eastAsiaTheme="minorEastAsia" w:hAnsiTheme="minorEastAsia" w:cs="Arial" w:hint="eastAsia"/>
          <w:kern w:val="0"/>
          <w:szCs w:val="21"/>
        </w:rPr>
        <w:t>202</w:t>
      </w:r>
      <w:r w:rsidR="00136B2A">
        <w:rPr>
          <w:rFonts w:asciiTheme="minorEastAsia" w:eastAsiaTheme="minorEastAsia" w:hAnsiTheme="minorEastAsia" w:cs="Arial" w:hint="eastAsia"/>
          <w:kern w:val="0"/>
          <w:szCs w:val="21"/>
        </w:rPr>
        <w:t>1</w:t>
      </w:r>
      <w:r w:rsidR="00032518" w:rsidRPr="00E847F6">
        <w:rPr>
          <w:rFonts w:asciiTheme="minorEastAsia" w:eastAsiaTheme="minorEastAsia" w:hAnsiTheme="minorEastAsia" w:cs="Arial" w:hint="eastAsia"/>
          <w:kern w:val="0"/>
          <w:szCs w:val="21"/>
        </w:rPr>
        <w:t>年</w:t>
      </w:r>
      <w:r w:rsidR="00143454">
        <w:rPr>
          <w:rFonts w:asciiTheme="minorEastAsia" w:eastAsiaTheme="minorEastAsia" w:hAnsiTheme="minorEastAsia" w:cs="Arial" w:hint="eastAsia"/>
          <w:kern w:val="0"/>
          <w:szCs w:val="21"/>
        </w:rPr>
        <w:t>7</w:t>
      </w:r>
      <w:r w:rsidR="00032518" w:rsidRPr="00E847F6">
        <w:rPr>
          <w:rFonts w:asciiTheme="minorEastAsia" w:eastAsiaTheme="minorEastAsia" w:hAnsiTheme="minorEastAsia" w:cs="Arial" w:hint="eastAsia"/>
          <w:kern w:val="0"/>
          <w:szCs w:val="21"/>
        </w:rPr>
        <w:t>月</w:t>
      </w:r>
      <w:r w:rsidR="00FC3B6D">
        <w:rPr>
          <w:rFonts w:asciiTheme="minorEastAsia" w:eastAsiaTheme="minorEastAsia" w:hAnsiTheme="minorEastAsia" w:cs="Arial"/>
          <w:kern w:val="0"/>
          <w:szCs w:val="21"/>
        </w:rPr>
        <w:t>1</w:t>
      </w:r>
      <w:r w:rsidR="00D56477">
        <w:rPr>
          <w:rFonts w:asciiTheme="minorEastAsia" w:eastAsiaTheme="minorEastAsia" w:hAnsiTheme="minorEastAsia" w:cs="Arial"/>
          <w:kern w:val="0"/>
          <w:szCs w:val="21"/>
        </w:rPr>
        <w:t>4</w:t>
      </w:r>
      <w:r w:rsidRPr="00E847F6">
        <w:rPr>
          <w:rFonts w:asciiTheme="minorEastAsia" w:eastAsiaTheme="minorEastAsia" w:hAnsiTheme="minorEastAsia" w:cs="Arial" w:hint="eastAsia"/>
          <w:kern w:val="0"/>
          <w:szCs w:val="21"/>
        </w:rPr>
        <w:t>日起在</w:t>
      </w:r>
      <w:r w:rsidR="00143454">
        <w:rPr>
          <w:rFonts w:asciiTheme="minorEastAsia" w:eastAsiaTheme="minorEastAsia" w:hAnsiTheme="minorEastAsia" w:cs="Arial" w:hint="eastAsia"/>
          <w:kern w:val="0"/>
          <w:szCs w:val="21"/>
        </w:rPr>
        <w:t>挖财基金</w:t>
      </w:r>
      <w:r w:rsidRPr="00E847F6">
        <w:rPr>
          <w:rFonts w:asciiTheme="minorEastAsia" w:eastAsiaTheme="minorEastAsia" w:hAnsiTheme="minorEastAsia" w:cs="Arial" w:hint="eastAsia"/>
          <w:kern w:val="0"/>
          <w:szCs w:val="21"/>
        </w:rPr>
        <w:t>开通</w:t>
      </w:r>
      <w:r w:rsidR="00174B31">
        <w:rPr>
          <w:rFonts w:asciiTheme="minorEastAsia" w:eastAsiaTheme="minorEastAsia" w:hAnsiTheme="minorEastAsia" w:cs="Arial" w:hint="eastAsia"/>
          <w:kern w:val="0"/>
          <w:szCs w:val="21"/>
        </w:rPr>
        <w:t>上述</w:t>
      </w:r>
      <w:r w:rsidR="00C22DC9" w:rsidRPr="00E847F6">
        <w:rPr>
          <w:rFonts w:asciiTheme="minorEastAsia" w:eastAsiaTheme="minorEastAsia" w:hAnsiTheme="minorEastAsia" w:cs="Arial" w:hint="eastAsia"/>
          <w:kern w:val="0"/>
          <w:szCs w:val="21"/>
        </w:rPr>
        <w:t>基金</w:t>
      </w:r>
      <w:r w:rsidR="00E3464C" w:rsidRPr="00E847F6">
        <w:rPr>
          <w:rFonts w:asciiTheme="minorEastAsia" w:eastAsiaTheme="minorEastAsia" w:hAnsiTheme="minorEastAsia" w:cs="Arial" w:hint="eastAsia"/>
          <w:kern w:val="0"/>
          <w:szCs w:val="21"/>
        </w:rPr>
        <w:t>的转换业务</w:t>
      </w:r>
      <w:r w:rsidR="00665A94" w:rsidRPr="00E847F6">
        <w:rPr>
          <w:rFonts w:asciiTheme="minorEastAsia" w:eastAsiaTheme="minorEastAsia" w:hAnsiTheme="minorEastAsia" w:cs="Arial" w:hint="eastAsia"/>
          <w:kern w:val="0"/>
          <w:szCs w:val="21"/>
        </w:rPr>
        <w:t>。</w:t>
      </w:r>
    </w:p>
    <w:p w:rsidR="00174B9C" w:rsidRPr="00174B9C" w:rsidRDefault="00174B9C" w:rsidP="00174B9C">
      <w:pPr>
        <w:widowControl/>
        <w:spacing w:line="360" w:lineRule="auto"/>
        <w:ind w:firstLineChars="200" w:firstLine="420"/>
        <w:jc w:val="left"/>
        <w:rPr>
          <w:rFonts w:asciiTheme="minorEastAsia" w:eastAsiaTheme="minorEastAsia" w:hAnsiTheme="minorEastAsia" w:cs="Arial"/>
          <w:kern w:val="0"/>
          <w:szCs w:val="21"/>
        </w:rPr>
      </w:pPr>
      <w:r w:rsidRPr="001177E7">
        <w:rPr>
          <w:rFonts w:asciiTheme="minorEastAsia" w:eastAsiaTheme="minorEastAsia" w:hAnsiTheme="minorEastAsia" w:cs="Arial" w:hint="eastAsia"/>
          <w:kern w:val="0"/>
          <w:szCs w:val="21"/>
        </w:rPr>
        <w:t>以下产品暂未开通转换业务：</w:t>
      </w:r>
    </w:p>
    <w:tbl>
      <w:tblPr>
        <w:tblW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1860"/>
        <w:gridCol w:w="5480"/>
      </w:tblGrid>
      <w:tr w:rsidR="00174B9C" w:rsidRPr="00174B9C" w:rsidTr="00174B9C">
        <w:trPr>
          <w:trHeight w:val="300"/>
        </w:trPr>
        <w:tc>
          <w:tcPr>
            <w:tcW w:w="720" w:type="dxa"/>
            <w:shd w:val="clear" w:color="000000" w:fill="D9D9D9"/>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序号</w:t>
            </w:r>
          </w:p>
        </w:tc>
        <w:tc>
          <w:tcPr>
            <w:tcW w:w="1860" w:type="dxa"/>
            <w:shd w:val="clear" w:color="000000" w:fill="D9D9D9"/>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基金代码</w:t>
            </w:r>
          </w:p>
        </w:tc>
        <w:tc>
          <w:tcPr>
            <w:tcW w:w="5480" w:type="dxa"/>
            <w:shd w:val="clear" w:color="000000" w:fill="D9D9D9"/>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基金全称</w:t>
            </w:r>
          </w:p>
        </w:tc>
      </w:tr>
      <w:tr w:rsidR="00174B9C" w:rsidRPr="00174B9C" w:rsidTr="00174B9C">
        <w:trPr>
          <w:trHeight w:val="720"/>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1</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007274</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 xml:space="preserve">景顺长城养老目标日期2045五年持有期混合型发起式基金中基金（FOF） </w:t>
            </w:r>
          </w:p>
        </w:tc>
      </w:tr>
      <w:tr w:rsidR="00174B9C" w:rsidRPr="00174B9C" w:rsidTr="00174B9C">
        <w:trPr>
          <w:trHeight w:val="588"/>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2</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008850</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景顺长城价值稳进三年定期开放灵活配置混合型证券投资基金</w:t>
            </w:r>
          </w:p>
        </w:tc>
      </w:tr>
      <w:tr w:rsidR="00174B9C" w:rsidRPr="00174B9C" w:rsidTr="00174B9C">
        <w:trPr>
          <w:trHeight w:val="444"/>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3</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009098</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景顺长城价值领航两年持有期混合型证券投资基金</w:t>
            </w:r>
          </w:p>
        </w:tc>
      </w:tr>
      <w:tr w:rsidR="00174B9C" w:rsidRPr="00174B9C" w:rsidTr="00174B9C">
        <w:trPr>
          <w:trHeight w:val="588"/>
        </w:trPr>
        <w:tc>
          <w:tcPr>
            <w:tcW w:w="72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4</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009598</w:t>
            </w:r>
          </w:p>
        </w:tc>
        <w:tc>
          <w:tcPr>
            <w:tcW w:w="548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景顺长城科技创新三年定期开放灵活配置混合型证券投资基金</w:t>
            </w:r>
          </w:p>
        </w:tc>
      </w:tr>
      <w:tr w:rsidR="00174B9C" w:rsidRPr="00174B9C" w:rsidTr="00174B9C">
        <w:trPr>
          <w:trHeight w:val="300"/>
        </w:trPr>
        <w:tc>
          <w:tcPr>
            <w:tcW w:w="72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5</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008999(A类)</w:t>
            </w:r>
          </w:p>
        </w:tc>
        <w:tc>
          <w:tcPr>
            <w:tcW w:w="548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 xml:space="preserve">景顺长城景颐嘉利6个月持有期债券型证券投资基金 </w:t>
            </w:r>
          </w:p>
        </w:tc>
      </w:tr>
      <w:tr w:rsidR="00174B9C" w:rsidRPr="00174B9C" w:rsidTr="00174B9C">
        <w:trPr>
          <w:trHeight w:val="300"/>
        </w:trPr>
        <w:tc>
          <w:tcPr>
            <w:tcW w:w="720" w:type="dxa"/>
            <w:vMerge/>
            <w:vAlign w:val="center"/>
            <w:hideMark/>
          </w:tcPr>
          <w:p w:rsidR="00174B9C" w:rsidRPr="00174B9C" w:rsidRDefault="00174B9C" w:rsidP="00174B9C">
            <w:pPr>
              <w:widowControl/>
              <w:jc w:val="left"/>
              <w:rPr>
                <w:rFonts w:ascii="宋体" w:hAnsi="宋体" w:cs="宋体"/>
                <w:color w:val="000000"/>
                <w:kern w:val="0"/>
                <w:szCs w:val="21"/>
              </w:rPr>
            </w:pP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009000(C类)</w:t>
            </w:r>
          </w:p>
        </w:tc>
        <w:tc>
          <w:tcPr>
            <w:tcW w:w="5480" w:type="dxa"/>
            <w:vMerge/>
            <w:vAlign w:val="center"/>
            <w:hideMark/>
          </w:tcPr>
          <w:p w:rsidR="00174B9C" w:rsidRPr="00174B9C" w:rsidRDefault="00174B9C" w:rsidP="00174B9C">
            <w:pPr>
              <w:widowControl/>
              <w:jc w:val="left"/>
              <w:rPr>
                <w:rFonts w:ascii="宋体" w:hAnsi="宋体" w:cs="宋体"/>
                <w:color w:val="000000"/>
                <w:kern w:val="0"/>
                <w:szCs w:val="21"/>
              </w:rPr>
            </w:pPr>
          </w:p>
        </w:tc>
      </w:tr>
      <w:tr w:rsidR="00174B9C" w:rsidRPr="00174B9C" w:rsidTr="00174B9C">
        <w:trPr>
          <w:trHeight w:val="300"/>
        </w:trPr>
        <w:tc>
          <w:tcPr>
            <w:tcW w:w="72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6</w:t>
            </w: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009499(A类)</w:t>
            </w:r>
          </w:p>
        </w:tc>
        <w:tc>
          <w:tcPr>
            <w:tcW w:w="5480" w:type="dxa"/>
            <w:vMerge w:val="restart"/>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景顺长城安鑫回报一年持有期混合型证券投资基金</w:t>
            </w:r>
          </w:p>
        </w:tc>
      </w:tr>
      <w:tr w:rsidR="00174B9C" w:rsidRPr="00174B9C" w:rsidTr="00174B9C">
        <w:trPr>
          <w:trHeight w:val="300"/>
        </w:trPr>
        <w:tc>
          <w:tcPr>
            <w:tcW w:w="720" w:type="dxa"/>
            <w:vMerge/>
            <w:vAlign w:val="center"/>
            <w:hideMark/>
          </w:tcPr>
          <w:p w:rsidR="00174B9C" w:rsidRPr="00174B9C" w:rsidRDefault="00174B9C" w:rsidP="00174B9C">
            <w:pPr>
              <w:widowControl/>
              <w:jc w:val="left"/>
              <w:rPr>
                <w:rFonts w:ascii="宋体" w:hAnsi="宋体" w:cs="宋体"/>
                <w:color w:val="000000"/>
                <w:kern w:val="0"/>
                <w:szCs w:val="21"/>
              </w:rPr>
            </w:pPr>
          </w:p>
        </w:tc>
        <w:tc>
          <w:tcPr>
            <w:tcW w:w="1860" w:type="dxa"/>
            <w:shd w:val="clear" w:color="000000" w:fill="FFFFFF"/>
            <w:vAlign w:val="center"/>
            <w:hideMark/>
          </w:tcPr>
          <w:p w:rsidR="00174B9C" w:rsidRPr="00174B9C" w:rsidRDefault="00174B9C" w:rsidP="00174B9C">
            <w:pPr>
              <w:widowControl/>
              <w:jc w:val="center"/>
              <w:rPr>
                <w:rFonts w:ascii="宋体" w:hAnsi="宋体" w:cs="宋体"/>
                <w:color w:val="000000"/>
                <w:kern w:val="0"/>
                <w:szCs w:val="21"/>
              </w:rPr>
            </w:pPr>
            <w:r w:rsidRPr="00174B9C">
              <w:rPr>
                <w:rFonts w:ascii="宋体" w:hAnsi="宋体" w:cs="宋体" w:hint="eastAsia"/>
                <w:color w:val="000000"/>
                <w:kern w:val="0"/>
                <w:szCs w:val="21"/>
              </w:rPr>
              <w:t>009755(C类)</w:t>
            </w:r>
          </w:p>
        </w:tc>
        <w:tc>
          <w:tcPr>
            <w:tcW w:w="5480" w:type="dxa"/>
            <w:vMerge/>
            <w:vAlign w:val="center"/>
            <w:hideMark/>
          </w:tcPr>
          <w:p w:rsidR="00174B9C" w:rsidRPr="00174B9C" w:rsidRDefault="00174B9C" w:rsidP="00174B9C">
            <w:pPr>
              <w:widowControl/>
              <w:jc w:val="left"/>
              <w:rPr>
                <w:rFonts w:ascii="宋体" w:hAnsi="宋体" w:cs="宋体"/>
                <w:color w:val="000000"/>
                <w:kern w:val="0"/>
                <w:szCs w:val="21"/>
              </w:rPr>
            </w:pPr>
          </w:p>
        </w:tc>
      </w:tr>
    </w:tbl>
    <w:p w:rsidR="00174B9C" w:rsidRDefault="00174B9C" w:rsidP="003062AB">
      <w:pPr>
        <w:widowControl/>
        <w:spacing w:line="360" w:lineRule="auto"/>
        <w:ind w:firstLineChars="200" w:firstLine="420"/>
        <w:jc w:val="left"/>
        <w:rPr>
          <w:rFonts w:asciiTheme="minorEastAsia" w:eastAsiaTheme="minorEastAsia" w:hAnsiTheme="minorEastAsia" w:cs="Arial"/>
          <w:kern w:val="0"/>
          <w:szCs w:val="21"/>
        </w:rPr>
      </w:pPr>
    </w:p>
    <w:p w:rsidR="00D16618" w:rsidRPr="007838F6" w:rsidRDefault="00D16618" w:rsidP="00D16618">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投资者在办理上述基金的转换业务时，应留意本公司相关公告，确认转出基金处于可赎回状态，转入基金处于可申购状态。</w:t>
      </w:r>
    </w:p>
    <w:p w:rsidR="001177E7" w:rsidRDefault="003062AB" w:rsidP="001177E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投资者申请基金转换时应遵循</w:t>
      </w:r>
      <w:r w:rsidR="00143454">
        <w:rPr>
          <w:rFonts w:asciiTheme="minorEastAsia" w:eastAsiaTheme="minorEastAsia" w:hAnsiTheme="minorEastAsia" w:cs="Arial" w:hint="eastAsia"/>
          <w:kern w:val="0"/>
          <w:szCs w:val="21"/>
        </w:rPr>
        <w:t>挖财基金</w:t>
      </w:r>
      <w:r w:rsidRPr="00E847F6">
        <w:rPr>
          <w:rFonts w:asciiTheme="minorEastAsia" w:eastAsiaTheme="minorEastAsia" w:hAnsiTheme="minorEastAsia" w:cs="Arial" w:hint="eastAsia"/>
          <w:kern w:val="0"/>
          <w:szCs w:val="21"/>
        </w:rPr>
        <w:t>的规定提交业务申请。</w:t>
      </w:r>
    </w:p>
    <w:p w:rsidR="00FC3B6D" w:rsidRPr="00FC3B6D" w:rsidRDefault="00FC3B6D" w:rsidP="00FC3B6D">
      <w:pPr>
        <w:widowControl/>
        <w:spacing w:line="360" w:lineRule="auto"/>
        <w:ind w:firstLineChars="200" w:firstLine="420"/>
        <w:jc w:val="left"/>
        <w:rPr>
          <w:rFonts w:cs="Arial"/>
          <w:kern w:val="0"/>
          <w:szCs w:val="21"/>
        </w:rPr>
      </w:pPr>
      <w:r w:rsidRPr="001B7F85">
        <w:rPr>
          <w:rFonts w:cs="Arial" w:hint="eastAsia"/>
          <w:kern w:val="0"/>
          <w:szCs w:val="21"/>
        </w:rPr>
        <w:t>注：</w:t>
      </w:r>
      <w:r w:rsidR="007C034B" w:rsidRPr="00123370">
        <w:rPr>
          <w:rFonts w:ascii="宋体" w:hAnsi="宋体" w:cs="宋体" w:hint="eastAsia"/>
          <w:color w:val="000000"/>
          <w:kern w:val="0"/>
          <w:szCs w:val="21"/>
        </w:rPr>
        <w:t>景顺长城改革机遇灵活配置混合型证券投资基金</w:t>
      </w:r>
      <w:r w:rsidR="007C034B">
        <w:rPr>
          <w:rFonts w:ascii="宋体" w:hAnsi="宋体" w:cs="宋体" w:hint="eastAsia"/>
          <w:color w:val="000000"/>
          <w:kern w:val="0"/>
          <w:szCs w:val="21"/>
        </w:rPr>
        <w:t>和</w:t>
      </w:r>
      <w:r w:rsidR="007C034B" w:rsidRPr="00123370">
        <w:rPr>
          <w:rFonts w:ascii="宋体" w:hAnsi="宋体" w:cs="宋体" w:hint="eastAsia"/>
          <w:color w:val="000000"/>
          <w:kern w:val="0"/>
          <w:szCs w:val="21"/>
        </w:rPr>
        <w:t>景顺长城景瑞收益债券型证券投资基金</w:t>
      </w:r>
      <w:r w:rsidRPr="001B7F85">
        <w:rPr>
          <w:rFonts w:cs="Arial" w:hint="eastAsia"/>
          <w:kern w:val="0"/>
          <w:szCs w:val="21"/>
        </w:rPr>
        <w:t>已开通</w:t>
      </w:r>
      <w:r w:rsidRPr="001B7F85">
        <w:rPr>
          <w:rFonts w:cs="Arial" w:hint="eastAsia"/>
          <w:kern w:val="0"/>
          <w:szCs w:val="21"/>
        </w:rPr>
        <w:t>A/C</w:t>
      </w:r>
      <w:r w:rsidRPr="001B7F85">
        <w:rPr>
          <w:rFonts w:cs="Arial" w:hint="eastAsia"/>
          <w:kern w:val="0"/>
          <w:szCs w:val="21"/>
        </w:rPr>
        <w:t>类基金份额之间的相互转换业务</w:t>
      </w:r>
      <w:r>
        <w:rPr>
          <w:rFonts w:cs="Arial" w:hint="eastAsia"/>
          <w:kern w:val="0"/>
          <w:szCs w:val="21"/>
        </w:rPr>
        <w:t>。</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2、基金转换业务的费率计算及规则</w:t>
      </w:r>
    </w:p>
    <w:p w:rsidR="003062AB" w:rsidRPr="00E847F6" w:rsidRDefault="003062AB"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关于基金转换业务的费率计算及规则请另行参见本公司相关公告。</w:t>
      </w:r>
    </w:p>
    <w:p w:rsidR="003062AB" w:rsidRPr="00E847F6" w:rsidRDefault="003062AB" w:rsidP="007838F6">
      <w:pPr>
        <w:widowControl/>
        <w:ind w:firstLineChars="200" w:firstLine="420"/>
        <w:jc w:val="left"/>
        <w:rPr>
          <w:rFonts w:asciiTheme="minorEastAsia" w:eastAsiaTheme="minorEastAsia" w:hAnsiTheme="minorEastAsia" w:cs="Arial"/>
          <w:kern w:val="0"/>
          <w:szCs w:val="21"/>
        </w:rPr>
      </w:pPr>
    </w:p>
    <w:p w:rsidR="00F9726D" w:rsidRPr="00E847F6" w:rsidRDefault="00F9726D" w:rsidP="003062AB">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四</w:t>
      </w:r>
      <w:r w:rsidRPr="00E847F6">
        <w:rPr>
          <w:rFonts w:asciiTheme="minorEastAsia" w:eastAsiaTheme="minorEastAsia" w:hAnsiTheme="minorEastAsia" w:cs="Arial"/>
          <w:kern w:val="0"/>
          <w:szCs w:val="21"/>
        </w:rPr>
        <w:t>、</w:t>
      </w:r>
      <w:r w:rsidR="00A04761" w:rsidRPr="00E847F6">
        <w:rPr>
          <w:rFonts w:asciiTheme="minorEastAsia" w:eastAsiaTheme="minorEastAsia" w:hAnsiTheme="minorEastAsia" w:cs="Arial" w:hint="eastAsia"/>
          <w:kern w:val="0"/>
          <w:szCs w:val="21"/>
        </w:rPr>
        <w:t>优惠活动</w:t>
      </w:r>
      <w:r w:rsidR="00A04761" w:rsidRPr="00E847F6">
        <w:rPr>
          <w:rFonts w:asciiTheme="minorEastAsia" w:eastAsiaTheme="minorEastAsia" w:hAnsiTheme="minorEastAsia" w:cs="Arial"/>
          <w:kern w:val="0"/>
          <w:szCs w:val="21"/>
        </w:rPr>
        <w:t>内容</w:t>
      </w:r>
    </w:p>
    <w:p w:rsidR="00F9726D" w:rsidRPr="00E847F6" w:rsidRDefault="00F9726D" w:rsidP="00F9726D">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投资者</w:t>
      </w:r>
      <w:r w:rsidRPr="00E847F6">
        <w:rPr>
          <w:rFonts w:asciiTheme="minorEastAsia" w:eastAsiaTheme="minorEastAsia" w:hAnsiTheme="minorEastAsia" w:cs="Arial"/>
          <w:kern w:val="0"/>
          <w:szCs w:val="21"/>
        </w:rPr>
        <w:t>通过</w:t>
      </w:r>
      <w:r w:rsidR="00143454">
        <w:rPr>
          <w:rFonts w:asciiTheme="minorEastAsia" w:eastAsiaTheme="minorEastAsia" w:hAnsiTheme="minorEastAsia" w:cs="Arial" w:hint="eastAsia"/>
          <w:kern w:val="0"/>
          <w:szCs w:val="21"/>
        </w:rPr>
        <w:t>挖财基金</w:t>
      </w:r>
      <w:r w:rsidRPr="00E847F6">
        <w:rPr>
          <w:rFonts w:asciiTheme="minorEastAsia" w:eastAsiaTheme="minorEastAsia" w:hAnsiTheme="minorEastAsia" w:cs="Arial"/>
          <w:kern w:val="0"/>
          <w:szCs w:val="21"/>
        </w:rPr>
        <w:t>一次性申购或定期定额投资申购本公司上述基金（</w:t>
      </w:r>
      <w:r w:rsidRPr="00E847F6">
        <w:rPr>
          <w:rFonts w:asciiTheme="minorEastAsia" w:eastAsiaTheme="minorEastAsia" w:hAnsiTheme="minorEastAsia" w:cs="Arial" w:hint="eastAsia"/>
          <w:kern w:val="0"/>
          <w:szCs w:val="21"/>
        </w:rPr>
        <w:t>限</w:t>
      </w:r>
      <w:r w:rsidRPr="00E847F6">
        <w:rPr>
          <w:rFonts w:asciiTheme="minorEastAsia" w:eastAsiaTheme="minorEastAsia" w:hAnsiTheme="minorEastAsia" w:cs="Arial"/>
          <w:kern w:val="0"/>
          <w:szCs w:val="21"/>
        </w:rPr>
        <w:t>前端收费模式）</w:t>
      </w:r>
      <w:r w:rsidRPr="00E847F6">
        <w:rPr>
          <w:rFonts w:asciiTheme="minorEastAsia" w:eastAsiaTheme="minorEastAsia" w:hAnsiTheme="minorEastAsia" w:cs="Arial" w:hint="eastAsia"/>
          <w:kern w:val="0"/>
          <w:szCs w:val="21"/>
        </w:rPr>
        <w:t>，可</w:t>
      </w:r>
      <w:r w:rsidRPr="00E847F6">
        <w:rPr>
          <w:rFonts w:asciiTheme="minorEastAsia" w:eastAsiaTheme="minorEastAsia" w:hAnsiTheme="minorEastAsia" w:cs="Arial"/>
          <w:kern w:val="0"/>
          <w:szCs w:val="21"/>
        </w:rPr>
        <w:t>享受</w:t>
      </w:r>
      <w:r w:rsidRPr="00E847F6">
        <w:rPr>
          <w:rFonts w:asciiTheme="minorEastAsia" w:eastAsiaTheme="minorEastAsia" w:hAnsiTheme="minorEastAsia" w:cs="Arial" w:hint="eastAsia"/>
          <w:kern w:val="0"/>
          <w:szCs w:val="21"/>
        </w:rPr>
        <w:t>申购</w:t>
      </w:r>
      <w:r w:rsidRPr="00E847F6">
        <w:rPr>
          <w:rFonts w:asciiTheme="minorEastAsia" w:eastAsiaTheme="minorEastAsia" w:hAnsiTheme="minorEastAsia" w:cs="Arial"/>
          <w:kern w:val="0"/>
          <w:szCs w:val="21"/>
        </w:rPr>
        <w:t>费率折扣</w:t>
      </w:r>
      <w:r w:rsidRPr="00E847F6">
        <w:rPr>
          <w:rFonts w:asciiTheme="minorEastAsia" w:eastAsiaTheme="minorEastAsia" w:hAnsiTheme="minorEastAsia" w:cs="Arial" w:hint="eastAsia"/>
          <w:kern w:val="0"/>
          <w:szCs w:val="21"/>
        </w:rPr>
        <w:t>优惠</w:t>
      </w:r>
      <w:r w:rsidRPr="00E847F6">
        <w:rPr>
          <w:rFonts w:asciiTheme="minorEastAsia" w:eastAsiaTheme="minorEastAsia" w:hAnsiTheme="minorEastAsia" w:cs="Arial"/>
          <w:kern w:val="0"/>
          <w:szCs w:val="21"/>
        </w:rPr>
        <w:t>，具体的</w:t>
      </w:r>
      <w:r w:rsidRPr="00E847F6">
        <w:rPr>
          <w:rFonts w:asciiTheme="minorEastAsia" w:eastAsiaTheme="minorEastAsia" w:hAnsiTheme="minorEastAsia" w:cs="Arial" w:hint="eastAsia"/>
          <w:kern w:val="0"/>
          <w:szCs w:val="21"/>
        </w:rPr>
        <w:t>费率</w:t>
      </w:r>
      <w:r w:rsidRPr="00E847F6">
        <w:rPr>
          <w:rFonts w:asciiTheme="minorEastAsia" w:eastAsiaTheme="minorEastAsia" w:hAnsiTheme="minorEastAsia" w:cs="Arial"/>
          <w:kern w:val="0"/>
          <w:szCs w:val="21"/>
        </w:rPr>
        <w:t>优惠规则，以</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kern w:val="0"/>
          <w:szCs w:val="21"/>
        </w:rPr>
        <w:t>的安排和规定为准。</w:t>
      </w:r>
    </w:p>
    <w:p w:rsidR="00D870ED" w:rsidRPr="00E847F6" w:rsidRDefault="00D870ED" w:rsidP="007838F6">
      <w:pPr>
        <w:widowControl/>
        <w:ind w:firstLineChars="200" w:firstLine="420"/>
        <w:jc w:val="left"/>
        <w:rPr>
          <w:rFonts w:asciiTheme="minorEastAsia" w:eastAsiaTheme="minorEastAsia" w:hAnsiTheme="minorEastAsia" w:cs="Arial"/>
          <w:kern w:val="0"/>
          <w:szCs w:val="21"/>
        </w:rPr>
      </w:pPr>
    </w:p>
    <w:p w:rsidR="00EF4BB2" w:rsidRPr="00E847F6" w:rsidRDefault="00D5324E" w:rsidP="00541A8D">
      <w:pPr>
        <w:widowControl/>
        <w:spacing w:line="360" w:lineRule="auto"/>
        <w:ind w:firstLineChars="200" w:firstLine="420"/>
        <w:jc w:val="left"/>
        <w:rPr>
          <w:rFonts w:asciiTheme="minorEastAsia" w:eastAsiaTheme="minorEastAsia" w:hAnsiTheme="minorEastAsia" w:cs="Arial"/>
          <w:szCs w:val="21"/>
        </w:rPr>
      </w:pPr>
      <w:r w:rsidRPr="00E847F6">
        <w:rPr>
          <w:rFonts w:asciiTheme="minorEastAsia" w:eastAsiaTheme="minorEastAsia" w:hAnsiTheme="minorEastAsia" w:cs="Arial" w:hint="eastAsia"/>
          <w:kern w:val="0"/>
          <w:szCs w:val="21"/>
        </w:rPr>
        <w:t>五</w:t>
      </w:r>
      <w:r w:rsidR="000528B7" w:rsidRPr="00E847F6">
        <w:rPr>
          <w:rFonts w:asciiTheme="minorEastAsia" w:eastAsiaTheme="minorEastAsia" w:hAnsiTheme="minorEastAsia" w:cs="Arial" w:hint="eastAsia"/>
          <w:kern w:val="0"/>
          <w:szCs w:val="21"/>
        </w:rPr>
        <w:t>、</w:t>
      </w:r>
      <w:r w:rsidR="00EF4BB2" w:rsidRPr="00E847F6">
        <w:rPr>
          <w:rFonts w:asciiTheme="minorEastAsia" w:eastAsiaTheme="minorEastAsia" w:hAnsiTheme="minorEastAsia" w:cs="Arial" w:hint="eastAsia"/>
          <w:szCs w:val="21"/>
        </w:rPr>
        <w:t>相关</w:t>
      </w:r>
      <w:r w:rsidR="00EF4BB2" w:rsidRPr="00E847F6">
        <w:rPr>
          <w:rFonts w:asciiTheme="minorEastAsia" w:eastAsiaTheme="minorEastAsia" w:hAnsiTheme="minorEastAsia" w:cs="Arial"/>
          <w:szCs w:val="21"/>
        </w:rPr>
        <w:t>说明</w:t>
      </w:r>
    </w:p>
    <w:p w:rsidR="00EF4BB2" w:rsidRPr="00E847F6" w:rsidRDefault="00EF4BB2" w:rsidP="00EF4BB2">
      <w:pPr>
        <w:widowControl/>
        <w:spacing w:line="360" w:lineRule="auto"/>
        <w:ind w:firstLine="48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szCs w:val="21"/>
        </w:rPr>
        <w:t>若</w:t>
      </w:r>
      <w:r w:rsidRPr="00E847F6">
        <w:rPr>
          <w:rFonts w:asciiTheme="minorEastAsia" w:eastAsiaTheme="minorEastAsia" w:hAnsiTheme="minorEastAsia" w:cs="Arial" w:hint="eastAsia"/>
          <w:kern w:val="0"/>
          <w:szCs w:val="21"/>
        </w:rPr>
        <w:t>今后</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依据法律法规及基金相关法律文件对投资起点金额、级差及累计申购限额等</w:t>
      </w:r>
      <w:r w:rsidRPr="00E847F6">
        <w:rPr>
          <w:rFonts w:asciiTheme="minorEastAsia" w:eastAsiaTheme="minorEastAsia" w:hAnsiTheme="minorEastAsia" w:cs="Arial"/>
          <w:kern w:val="0"/>
          <w:szCs w:val="21"/>
        </w:rPr>
        <w:t>标准</w:t>
      </w:r>
      <w:r w:rsidRPr="00E847F6">
        <w:rPr>
          <w:rFonts w:asciiTheme="minorEastAsia" w:eastAsiaTheme="minorEastAsia" w:hAnsiTheme="minorEastAsia" w:cs="Arial" w:hint="eastAsia"/>
          <w:kern w:val="0"/>
          <w:szCs w:val="21"/>
        </w:rPr>
        <w:t>进行调整，以</w:t>
      </w:r>
      <w:r w:rsidR="00143454">
        <w:rPr>
          <w:rFonts w:asciiTheme="minorEastAsia" w:eastAsiaTheme="minorEastAsia" w:hAnsiTheme="minorEastAsia" w:cs="Arial"/>
          <w:kern w:val="0"/>
          <w:szCs w:val="21"/>
        </w:rPr>
        <w:t>挖财基金</w:t>
      </w:r>
      <w:r w:rsidRPr="00E847F6">
        <w:rPr>
          <w:rFonts w:asciiTheme="minorEastAsia" w:eastAsiaTheme="minorEastAsia" w:hAnsiTheme="minorEastAsia" w:cs="Arial" w:hint="eastAsia"/>
          <w:kern w:val="0"/>
          <w:szCs w:val="21"/>
        </w:rPr>
        <w:t>最新规定为准。</w:t>
      </w:r>
    </w:p>
    <w:p w:rsidR="007838F6" w:rsidRPr="00E847F6" w:rsidRDefault="007838F6" w:rsidP="007838F6">
      <w:pPr>
        <w:widowControl/>
        <w:ind w:firstLineChars="200" w:firstLine="420"/>
        <w:jc w:val="left"/>
        <w:rPr>
          <w:rFonts w:asciiTheme="minorEastAsia" w:eastAsiaTheme="minorEastAsia" w:hAnsiTheme="minorEastAsia" w:cs="Arial"/>
          <w:kern w:val="0"/>
          <w:szCs w:val="21"/>
        </w:rPr>
      </w:pPr>
    </w:p>
    <w:p w:rsidR="0098471D" w:rsidRPr="00E847F6" w:rsidRDefault="00D5324E">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六</w:t>
      </w:r>
      <w:r w:rsidR="000528B7" w:rsidRPr="00E847F6">
        <w:rPr>
          <w:rFonts w:asciiTheme="minorEastAsia" w:eastAsiaTheme="minorEastAsia" w:hAnsiTheme="minorEastAsia" w:cs="Arial" w:hint="eastAsia"/>
          <w:kern w:val="0"/>
          <w:szCs w:val="21"/>
        </w:rPr>
        <w:t>、业务咨询</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1</w:t>
      </w: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客户服务电话：</w:t>
      </w:r>
      <w:r w:rsidRPr="00E847F6">
        <w:rPr>
          <w:rFonts w:asciiTheme="minorEastAsia" w:eastAsiaTheme="minorEastAsia" w:hAnsiTheme="minorEastAsia" w:cs="Arial"/>
          <w:kern w:val="0"/>
          <w:szCs w:val="21"/>
        </w:rPr>
        <w:t>400 8888 606</w:t>
      </w:r>
      <w:r w:rsidRPr="00E847F6">
        <w:rPr>
          <w:rFonts w:asciiTheme="minorEastAsia" w:eastAsiaTheme="minorEastAsia" w:hAnsiTheme="minorEastAsia" w:cs="Arial" w:hint="eastAsia"/>
          <w:kern w:val="0"/>
          <w:szCs w:val="21"/>
        </w:rPr>
        <w:t>、</w:t>
      </w:r>
      <w:r w:rsidRPr="00E847F6">
        <w:rPr>
          <w:rFonts w:asciiTheme="minorEastAsia" w:eastAsiaTheme="minorEastAsia" w:hAnsiTheme="minorEastAsia" w:cs="Arial"/>
          <w:kern w:val="0"/>
          <w:szCs w:val="21"/>
        </w:rPr>
        <w:t>0755-82370688</w:t>
      </w:r>
    </w:p>
    <w:p w:rsidR="0098471D" w:rsidRPr="00E847F6" w:rsidRDefault="000528B7">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网址：</w:t>
      </w:r>
      <w:r w:rsidRPr="00E847F6">
        <w:rPr>
          <w:rFonts w:asciiTheme="minorEastAsia" w:eastAsiaTheme="minorEastAsia" w:hAnsiTheme="minorEastAsia" w:cs="Arial"/>
          <w:kern w:val="0"/>
          <w:szCs w:val="21"/>
        </w:rPr>
        <w:t>www.igwfmc.com</w:t>
      </w:r>
    </w:p>
    <w:p w:rsidR="00F22733" w:rsidRDefault="000528B7" w:rsidP="00F14B04">
      <w:pPr>
        <w:widowControl/>
        <w:spacing w:line="36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kern w:val="0"/>
          <w:szCs w:val="21"/>
        </w:rPr>
        <w:t>2</w:t>
      </w:r>
      <w:r w:rsidRPr="00E847F6">
        <w:rPr>
          <w:rFonts w:asciiTheme="minorEastAsia" w:eastAsiaTheme="minorEastAsia" w:hAnsiTheme="minorEastAsia" w:cs="Arial" w:hint="eastAsia"/>
          <w:kern w:val="0"/>
          <w:szCs w:val="21"/>
        </w:rPr>
        <w:t>、</w:t>
      </w:r>
      <w:r w:rsidR="00143454" w:rsidRPr="00143454">
        <w:rPr>
          <w:rFonts w:asciiTheme="minorEastAsia" w:eastAsiaTheme="minorEastAsia" w:hAnsiTheme="minorEastAsia" w:cs="Arial" w:hint="eastAsia"/>
          <w:kern w:val="0"/>
          <w:szCs w:val="21"/>
        </w:rPr>
        <w:t>上海挖财基金销售有限公司</w:t>
      </w:r>
    </w:p>
    <w:p w:rsidR="00143454" w:rsidRPr="00143454"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客户服务电话：021-50810673</w:t>
      </w:r>
    </w:p>
    <w:p w:rsidR="00F22733" w:rsidRDefault="00143454" w:rsidP="00143454">
      <w:pPr>
        <w:widowControl/>
        <w:spacing w:line="360" w:lineRule="auto"/>
        <w:ind w:firstLineChars="200" w:firstLine="420"/>
        <w:jc w:val="left"/>
        <w:rPr>
          <w:rFonts w:asciiTheme="minorEastAsia" w:eastAsiaTheme="minorEastAsia" w:hAnsiTheme="minorEastAsia" w:cs="Arial"/>
          <w:kern w:val="0"/>
          <w:szCs w:val="21"/>
        </w:rPr>
      </w:pPr>
      <w:r w:rsidRPr="00143454">
        <w:rPr>
          <w:rFonts w:asciiTheme="minorEastAsia" w:eastAsiaTheme="minorEastAsia" w:hAnsiTheme="minorEastAsia" w:cs="Arial" w:hint="eastAsia"/>
          <w:kern w:val="0"/>
          <w:szCs w:val="21"/>
        </w:rPr>
        <w:t>网址：www.wacaijijin.com/</w:t>
      </w:r>
    </w:p>
    <w:p w:rsidR="007838F6" w:rsidRPr="00F22733" w:rsidRDefault="007838F6" w:rsidP="007838F6">
      <w:pPr>
        <w:widowControl/>
        <w:ind w:firstLineChars="200" w:firstLine="420"/>
        <w:jc w:val="left"/>
        <w:rPr>
          <w:rFonts w:asciiTheme="minorEastAsia" w:eastAsiaTheme="minorEastAsia" w:hAnsiTheme="minorEastAsia" w:cs="Arial"/>
          <w:kern w:val="0"/>
          <w:szCs w:val="21"/>
        </w:rPr>
      </w:pPr>
    </w:p>
    <w:p w:rsidR="0098471D" w:rsidRPr="00E847F6" w:rsidRDefault="000528B7" w:rsidP="007838F6">
      <w:pPr>
        <w:widowControl/>
        <w:spacing w:line="300" w:lineRule="auto"/>
        <w:ind w:firstLineChars="200" w:firstLine="420"/>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7838F6" w:rsidRPr="00E847F6" w:rsidRDefault="007838F6" w:rsidP="007838F6">
      <w:pPr>
        <w:widowControl/>
        <w:ind w:firstLineChars="200" w:firstLine="420"/>
        <w:jc w:val="left"/>
        <w:rPr>
          <w:rFonts w:asciiTheme="minorEastAsia" w:eastAsiaTheme="minorEastAsia" w:hAnsiTheme="minorEastAsia" w:cs="Arial"/>
          <w:kern w:val="0"/>
          <w:szCs w:val="21"/>
        </w:rPr>
      </w:pPr>
    </w:p>
    <w:p w:rsidR="0098471D" w:rsidRPr="00E847F6" w:rsidRDefault="000528B7" w:rsidP="007838F6">
      <w:pPr>
        <w:widowControl/>
        <w:spacing w:line="360" w:lineRule="auto"/>
        <w:ind w:firstLineChars="150" w:firstLine="315"/>
        <w:jc w:val="lef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特此公告。</w:t>
      </w:r>
    </w:p>
    <w:p w:rsidR="007838F6" w:rsidRPr="00E847F6" w:rsidRDefault="007838F6" w:rsidP="007838F6">
      <w:pPr>
        <w:widowControl/>
        <w:jc w:val="left"/>
        <w:rPr>
          <w:rFonts w:asciiTheme="minorEastAsia" w:eastAsiaTheme="minorEastAsia" w:hAnsiTheme="minorEastAsia" w:cs="Arial"/>
          <w:kern w:val="0"/>
          <w:szCs w:val="21"/>
        </w:rPr>
      </w:pPr>
    </w:p>
    <w:p w:rsidR="0098471D" w:rsidRPr="00E847F6" w:rsidRDefault="000528B7">
      <w:pPr>
        <w:widowControl/>
        <w:spacing w:line="360" w:lineRule="auto"/>
        <w:ind w:firstLineChars="200" w:firstLine="420"/>
        <w:jc w:val="right"/>
        <w:rPr>
          <w:rFonts w:asciiTheme="minorEastAsia" w:eastAsiaTheme="minorEastAsia" w:hAnsiTheme="minorEastAsia" w:cs="Arial"/>
          <w:kern w:val="0"/>
          <w:szCs w:val="21"/>
        </w:rPr>
      </w:pPr>
      <w:r w:rsidRPr="00E847F6">
        <w:rPr>
          <w:rFonts w:asciiTheme="minorEastAsia" w:eastAsiaTheme="minorEastAsia" w:hAnsiTheme="minorEastAsia" w:cs="Arial" w:hint="eastAsia"/>
          <w:kern w:val="0"/>
          <w:szCs w:val="21"/>
        </w:rPr>
        <w:t>景顺长城基金管理有限公司</w:t>
      </w:r>
    </w:p>
    <w:p w:rsidR="0098471D" w:rsidRPr="00E847F6" w:rsidRDefault="000528B7">
      <w:pPr>
        <w:widowControl/>
        <w:spacing w:line="360" w:lineRule="auto"/>
        <w:jc w:val="right"/>
        <w:rPr>
          <w:rFonts w:asciiTheme="minorEastAsia" w:eastAsiaTheme="minorEastAsia" w:hAnsiTheme="minorEastAsia"/>
          <w:szCs w:val="21"/>
        </w:rPr>
      </w:pPr>
      <w:r w:rsidRPr="00E847F6">
        <w:rPr>
          <w:rFonts w:asciiTheme="minorEastAsia" w:eastAsiaTheme="minorEastAsia" w:hAnsiTheme="minorEastAsia" w:cs="Arial" w:hint="eastAsia"/>
          <w:kern w:val="0"/>
          <w:szCs w:val="21"/>
        </w:rPr>
        <w:t>二○</w:t>
      </w:r>
      <w:r w:rsidR="00A7005D" w:rsidRPr="00E847F6">
        <w:rPr>
          <w:rFonts w:asciiTheme="minorEastAsia" w:eastAsiaTheme="minorEastAsia" w:hAnsiTheme="minorEastAsia" w:cs="Arial" w:hint="eastAsia"/>
          <w:kern w:val="0"/>
          <w:szCs w:val="21"/>
        </w:rPr>
        <w:t>二</w:t>
      </w:r>
      <w:r w:rsidR="00136B2A">
        <w:rPr>
          <w:rFonts w:asciiTheme="minorEastAsia" w:eastAsiaTheme="minorEastAsia" w:hAnsiTheme="minorEastAsia" w:cs="Arial" w:hint="eastAsia"/>
          <w:kern w:val="0"/>
          <w:szCs w:val="21"/>
        </w:rPr>
        <w:t>一</w:t>
      </w:r>
      <w:r w:rsidRPr="00E847F6">
        <w:rPr>
          <w:rFonts w:asciiTheme="minorEastAsia" w:eastAsiaTheme="minorEastAsia" w:hAnsiTheme="minorEastAsia" w:cs="Arial" w:hint="eastAsia"/>
          <w:kern w:val="0"/>
          <w:szCs w:val="21"/>
        </w:rPr>
        <w:t>年</w:t>
      </w:r>
      <w:r w:rsidR="00143454">
        <w:rPr>
          <w:rFonts w:asciiTheme="minorEastAsia" w:eastAsiaTheme="minorEastAsia" w:hAnsiTheme="minorEastAsia" w:cs="Arial" w:hint="eastAsia"/>
          <w:kern w:val="0"/>
          <w:szCs w:val="21"/>
        </w:rPr>
        <w:t>七</w:t>
      </w:r>
      <w:r w:rsidR="00527CFF" w:rsidRPr="00E847F6">
        <w:rPr>
          <w:rFonts w:asciiTheme="minorEastAsia" w:eastAsiaTheme="minorEastAsia" w:hAnsiTheme="minorEastAsia" w:cs="Arial" w:hint="eastAsia"/>
          <w:kern w:val="0"/>
          <w:szCs w:val="21"/>
        </w:rPr>
        <w:t>月</w:t>
      </w:r>
      <w:r w:rsidR="00143454">
        <w:rPr>
          <w:rFonts w:asciiTheme="minorEastAsia" w:eastAsiaTheme="minorEastAsia" w:hAnsiTheme="minorEastAsia" w:cs="Arial" w:hint="eastAsia"/>
          <w:kern w:val="0"/>
          <w:szCs w:val="21"/>
        </w:rPr>
        <w:t>十</w:t>
      </w:r>
      <w:r w:rsidR="00D56477">
        <w:rPr>
          <w:rFonts w:asciiTheme="minorEastAsia" w:eastAsiaTheme="minorEastAsia" w:hAnsiTheme="minorEastAsia" w:cs="Arial" w:hint="eastAsia"/>
          <w:kern w:val="0"/>
          <w:szCs w:val="21"/>
        </w:rPr>
        <w:t>四</w:t>
      </w:r>
      <w:bookmarkStart w:id="0" w:name="_GoBack"/>
      <w:bookmarkEnd w:id="0"/>
      <w:r w:rsidR="00527CFF" w:rsidRPr="00E847F6">
        <w:rPr>
          <w:rFonts w:asciiTheme="minorEastAsia" w:eastAsiaTheme="minorEastAsia" w:hAnsiTheme="minorEastAsia" w:cs="Arial" w:hint="eastAsia"/>
          <w:kern w:val="0"/>
          <w:szCs w:val="21"/>
        </w:rPr>
        <w:t>日</w:t>
      </w:r>
    </w:p>
    <w:sectPr w:rsidR="0098471D" w:rsidRPr="00E847F6" w:rsidSect="0098471D">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D4C68" w16cid:durableId="1ED36293"/>
  <w16cid:commentId w16cid:paraId="729919EE" w16cid:durableId="1ED362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0F" w:rsidRDefault="00E9630F" w:rsidP="008E6554">
      <w:r>
        <w:separator/>
      </w:r>
    </w:p>
  </w:endnote>
  <w:endnote w:type="continuationSeparator" w:id="0">
    <w:p w:rsidR="00E9630F" w:rsidRDefault="00E9630F" w:rsidP="008E6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0F" w:rsidRDefault="00E9630F" w:rsidP="008E6554">
      <w:r>
        <w:separator/>
      </w:r>
    </w:p>
  </w:footnote>
  <w:footnote w:type="continuationSeparator" w:id="0">
    <w:p w:rsidR="00E9630F" w:rsidRDefault="00E9630F" w:rsidP="008E65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3615A"/>
    <w:rsid w:val="000028D4"/>
    <w:rsid w:val="00003971"/>
    <w:rsid w:val="00006EC6"/>
    <w:rsid w:val="0001125E"/>
    <w:rsid w:val="00011A96"/>
    <w:rsid w:val="00012C16"/>
    <w:rsid w:val="00015681"/>
    <w:rsid w:val="00032518"/>
    <w:rsid w:val="00044302"/>
    <w:rsid w:val="00047E91"/>
    <w:rsid w:val="00050352"/>
    <w:rsid w:val="00050DD0"/>
    <w:rsid w:val="000528B7"/>
    <w:rsid w:val="0006655E"/>
    <w:rsid w:val="000863EA"/>
    <w:rsid w:val="0009138D"/>
    <w:rsid w:val="00093D33"/>
    <w:rsid w:val="000975F7"/>
    <w:rsid w:val="000A2295"/>
    <w:rsid w:val="000B4D9B"/>
    <w:rsid w:val="000C1AEC"/>
    <w:rsid w:val="000E0F94"/>
    <w:rsid w:val="000E27C1"/>
    <w:rsid w:val="000E4EFF"/>
    <w:rsid w:val="000E519B"/>
    <w:rsid w:val="000F2CC2"/>
    <w:rsid w:val="000F77C2"/>
    <w:rsid w:val="000F7828"/>
    <w:rsid w:val="001177E7"/>
    <w:rsid w:val="00123370"/>
    <w:rsid w:val="00127C63"/>
    <w:rsid w:val="00136B2A"/>
    <w:rsid w:val="00143454"/>
    <w:rsid w:val="00147743"/>
    <w:rsid w:val="0015086E"/>
    <w:rsid w:val="00156239"/>
    <w:rsid w:val="00156ED8"/>
    <w:rsid w:val="00160AC4"/>
    <w:rsid w:val="001634A3"/>
    <w:rsid w:val="001672E8"/>
    <w:rsid w:val="0017061B"/>
    <w:rsid w:val="001745A4"/>
    <w:rsid w:val="00174B31"/>
    <w:rsid w:val="00174B9C"/>
    <w:rsid w:val="001821D8"/>
    <w:rsid w:val="00182CCD"/>
    <w:rsid w:val="001B13A9"/>
    <w:rsid w:val="001C13F3"/>
    <w:rsid w:val="001D2CB0"/>
    <w:rsid w:val="001E4619"/>
    <w:rsid w:val="001E7D97"/>
    <w:rsid w:val="001F2A04"/>
    <w:rsid w:val="001F2E05"/>
    <w:rsid w:val="001F526F"/>
    <w:rsid w:val="00202B24"/>
    <w:rsid w:val="00204C10"/>
    <w:rsid w:val="00211CF7"/>
    <w:rsid w:val="00212012"/>
    <w:rsid w:val="002173ED"/>
    <w:rsid w:val="0022685D"/>
    <w:rsid w:val="00231D19"/>
    <w:rsid w:val="00233787"/>
    <w:rsid w:val="0023615A"/>
    <w:rsid w:val="00237082"/>
    <w:rsid w:val="00244686"/>
    <w:rsid w:val="00244FD4"/>
    <w:rsid w:val="0024632E"/>
    <w:rsid w:val="0025482E"/>
    <w:rsid w:val="002603E0"/>
    <w:rsid w:val="00270632"/>
    <w:rsid w:val="0027124D"/>
    <w:rsid w:val="00274C05"/>
    <w:rsid w:val="00280DB3"/>
    <w:rsid w:val="00294EF4"/>
    <w:rsid w:val="0029650B"/>
    <w:rsid w:val="002A3C16"/>
    <w:rsid w:val="002A4E9E"/>
    <w:rsid w:val="002A5EA8"/>
    <w:rsid w:val="002B02C5"/>
    <w:rsid w:val="002B7B4C"/>
    <w:rsid w:val="002D6E17"/>
    <w:rsid w:val="002D7DDC"/>
    <w:rsid w:val="002E2274"/>
    <w:rsid w:val="002E41B3"/>
    <w:rsid w:val="002E58FA"/>
    <w:rsid w:val="002E61B7"/>
    <w:rsid w:val="002E68CF"/>
    <w:rsid w:val="002E69D4"/>
    <w:rsid w:val="002F785E"/>
    <w:rsid w:val="003062AB"/>
    <w:rsid w:val="003202FA"/>
    <w:rsid w:val="00320702"/>
    <w:rsid w:val="0032344A"/>
    <w:rsid w:val="003375B8"/>
    <w:rsid w:val="0034279F"/>
    <w:rsid w:val="003434B9"/>
    <w:rsid w:val="003465C4"/>
    <w:rsid w:val="00351625"/>
    <w:rsid w:val="003555D0"/>
    <w:rsid w:val="00355879"/>
    <w:rsid w:val="003648A3"/>
    <w:rsid w:val="00366EAA"/>
    <w:rsid w:val="003762D2"/>
    <w:rsid w:val="003771C3"/>
    <w:rsid w:val="003801D7"/>
    <w:rsid w:val="00384C5E"/>
    <w:rsid w:val="00387125"/>
    <w:rsid w:val="003A0B39"/>
    <w:rsid w:val="003A1F16"/>
    <w:rsid w:val="003A5DF4"/>
    <w:rsid w:val="003A64B2"/>
    <w:rsid w:val="003A7FBF"/>
    <w:rsid w:val="003B2CB1"/>
    <w:rsid w:val="003B5AD4"/>
    <w:rsid w:val="003C51B9"/>
    <w:rsid w:val="003C6C3E"/>
    <w:rsid w:val="003D265E"/>
    <w:rsid w:val="003E0E29"/>
    <w:rsid w:val="003E4B8E"/>
    <w:rsid w:val="003F03E2"/>
    <w:rsid w:val="003F5F55"/>
    <w:rsid w:val="003F691A"/>
    <w:rsid w:val="00401ABC"/>
    <w:rsid w:val="004055B6"/>
    <w:rsid w:val="0042334C"/>
    <w:rsid w:val="00433A06"/>
    <w:rsid w:val="0043521C"/>
    <w:rsid w:val="00454120"/>
    <w:rsid w:val="00473665"/>
    <w:rsid w:val="00474CD6"/>
    <w:rsid w:val="00477944"/>
    <w:rsid w:val="004804CC"/>
    <w:rsid w:val="00481844"/>
    <w:rsid w:val="00481981"/>
    <w:rsid w:val="004836B4"/>
    <w:rsid w:val="00484125"/>
    <w:rsid w:val="00487C2B"/>
    <w:rsid w:val="00490AE0"/>
    <w:rsid w:val="004956FF"/>
    <w:rsid w:val="004A03A6"/>
    <w:rsid w:val="004B48E2"/>
    <w:rsid w:val="004B554A"/>
    <w:rsid w:val="004B6D59"/>
    <w:rsid w:val="004F7288"/>
    <w:rsid w:val="005250BF"/>
    <w:rsid w:val="00527CFF"/>
    <w:rsid w:val="00535CB2"/>
    <w:rsid w:val="005376A4"/>
    <w:rsid w:val="00540DB7"/>
    <w:rsid w:val="00541A8D"/>
    <w:rsid w:val="0055708B"/>
    <w:rsid w:val="005606A2"/>
    <w:rsid w:val="00560DB9"/>
    <w:rsid w:val="005639C7"/>
    <w:rsid w:val="00565230"/>
    <w:rsid w:val="0057475A"/>
    <w:rsid w:val="00574C87"/>
    <w:rsid w:val="00575AE2"/>
    <w:rsid w:val="0057728B"/>
    <w:rsid w:val="0058537A"/>
    <w:rsid w:val="00590695"/>
    <w:rsid w:val="0059480F"/>
    <w:rsid w:val="00596767"/>
    <w:rsid w:val="005A6888"/>
    <w:rsid w:val="005B4907"/>
    <w:rsid w:val="005B501A"/>
    <w:rsid w:val="005B5F71"/>
    <w:rsid w:val="005C0B0B"/>
    <w:rsid w:val="005C3C00"/>
    <w:rsid w:val="005C4444"/>
    <w:rsid w:val="005C6ACA"/>
    <w:rsid w:val="005E0079"/>
    <w:rsid w:val="005E0635"/>
    <w:rsid w:val="005E110D"/>
    <w:rsid w:val="005E2FEF"/>
    <w:rsid w:val="005E5012"/>
    <w:rsid w:val="005F0033"/>
    <w:rsid w:val="006072AD"/>
    <w:rsid w:val="00610E26"/>
    <w:rsid w:val="006126E5"/>
    <w:rsid w:val="006171A2"/>
    <w:rsid w:val="0062408D"/>
    <w:rsid w:val="006274D8"/>
    <w:rsid w:val="00636162"/>
    <w:rsid w:val="0063778C"/>
    <w:rsid w:val="006427C4"/>
    <w:rsid w:val="0064495D"/>
    <w:rsid w:val="00650350"/>
    <w:rsid w:val="006542BA"/>
    <w:rsid w:val="00657AC7"/>
    <w:rsid w:val="006604BB"/>
    <w:rsid w:val="006607A2"/>
    <w:rsid w:val="00665A94"/>
    <w:rsid w:val="00677D38"/>
    <w:rsid w:val="00681EEC"/>
    <w:rsid w:val="006909DF"/>
    <w:rsid w:val="0069540A"/>
    <w:rsid w:val="00697CBA"/>
    <w:rsid w:val="006B400E"/>
    <w:rsid w:val="006B7217"/>
    <w:rsid w:val="006B7BF1"/>
    <w:rsid w:val="006C0C60"/>
    <w:rsid w:val="006C10CC"/>
    <w:rsid w:val="006C17F9"/>
    <w:rsid w:val="006C1CCC"/>
    <w:rsid w:val="006E03F8"/>
    <w:rsid w:val="006E61CE"/>
    <w:rsid w:val="006E7494"/>
    <w:rsid w:val="006F2854"/>
    <w:rsid w:val="006F3F21"/>
    <w:rsid w:val="006F52E7"/>
    <w:rsid w:val="00700967"/>
    <w:rsid w:val="00701E6B"/>
    <w:rsid w:val="00702AC9"/>
    <w:rsid w:val="007124FC"/>
    <w:rsid w:val="0071254D"/>
    <w:rsid w:val="0073236E"/>
    <w:rsid w:val="00732E71"/>
    <w:rsid w:val="007332D9"/>
    <w:rsid w:val="007459FF"/>
    <w:rsid w:val="00747446"/>
    <w:rsid w:val="00755DF1"/>
    <w:rsid w:val="00765121"/>
    <w:rsid w:val="00765D9F"/>
    <w:rsid w:val="00771F5C"/>
    <w:rsid w:val="00772661"/>
    <w:rsid w:val="00773EF4"/>
    <w:rsid w:val="007756F3"/>
    <w:rsid w:val="0077688E"/>
    <w:rsid w:val="007838F6"/>
    <w:rsid w:val="00794CB5"/>
    <w:rsid w:val="00794FE2"/>
    <w:rsid w:val="007A1BC3"/>
    <w:rsid w:val="007A54E7"/>
    <w:rsid w:val="007B0164"/>
    <w:rsid w:val="007B0F40"/>
    <w:rsid w:val="007B1208"/>
    <w:rsid w:val="007B3CC8"/>
    <w:rsid w:val="007B4377"/>
    <w:rsid w:val="007B6639"/>
    <w:rsid w:val="007C034B"/>
    <w:rsid w:val="007D3CD6"/>
    <w:rsid w:val="007D6EA3"/>
    <w:rsid w:val="007E228A"/>
    <w:rsid w:val="007E72F2"/>
    <w:rsid w:val="007F4E1C"/>
    <w:rsid w:val="007F62BF"/>
    <w:rsid w:val="007F6941"/>
    <w:rsid w:val="007F6D8E"/>
    <w:rsid w:val="0081417C"/>
    <w:rsid w:val="008201EF"/>
    <w:rsid w:val="00826885"/>
    <w:rsid w:val="00830255"/>
    <w:rsid w:val="008302C5"/>
    <w:rsid w:val="00840CA7"/>
    <w:rsid w:val="0085136B"/>
    <w:rsid w:val="00851E74"/>
    <w:rsid w:val="0085691C"/>
    <w:rsid w:val="00860D1C"/>
    <w:rsid w:val="00861F3F"/>
    <w:rsid w:val="008804A8"/>
    <w:rsid w:val="00893EED"/>
    <w:rsid w:val="00895D58"/>
    <w:rsid w:val="008A58D4"/>
    <w:rsid w:val="008A5F97"/>
    <w:rsid w:val="008B16A3"/>
    <w:rsid w:val="008B7C3E"/>
    <w:rsid w:val="008C5352"/>
    <w:rsid w:val="008C756C"/>
    <w:rsid w:val="008E6554"/>
    <w:rsid w:val="008E69FE"/>
    <w:rsid w:val="008E6BF4"/>
    <w:rsid w:val="008F10FB"/>
    <w:rsid w:val="008F5136"/>
    <w:rsid w:val="00903B4A"/>
    <w:rsid w:val="00906B42"/>
    <w:rsid w:val="0091122A"/>
    <w:rsid w:val="00924A75"/>
    <w:rsid w:val="009253FF"/>
    <w:rsid w:val="009354DB"/>
    <w:rsid w:val="00937946"/>
    <w:rsid w:val="00946C01"/>
    <w:rsid w:val="00954275"/>
    <w:rsid w:val="009562E6"/>
    <w:rsid w:val="009617F9"/>
    <w:rsid w:val="009652A4"/>
    <w:rsid w:val="00966397"/>
    <w:rsid w:val="00966B34"/>
    <w:rsid w:val="00967C70"/>
    <w:rsid w:val="00982692"/>
    <w:rsid w:val="0098471D"/>
    <w:rsid w:val="00987576"/>
    <w:rsid w:val="00990D0C"/>
    <w:rsid w:val="00991EB6"/>
    <w:rsid w:val="009A4310"/>
    <w:rsid w:val="009B5F59"/>
    <w:rsid w:val="009C0FFA"/>
    <w:rsid w:val="009C172E"/>
    <w:rsid w:val="009C52F8"/>
    <w:rsid w:val="009E1337"/>
    <w:rsid w:val="009E6927"/>
    <w:rsid w:val="009F6AAE"/>
    <w:rsid w:val="009F7E52"/>
    <w:rsid w:val="00A02A5A"/>
    <w:rsid w:val="00A04761"/>
    <w:rsid w:val="00A1243A"/>
    <w:rsid w:val="00A21162"/>
    <w:rsid w:val="00A219C8"/>
    <w:rsid w:val="00A22632"/>
    <w:rsid w:val="00A256C9"/>
    <w:rsid w:val="00A35144"/>
    <w:rsid w:val="00A4232F"/>
    <w:rsid w:val="00A5234E"/>
    <w:rsid w:val="00A54B19"/>
    <w:rsid w:val="00A55ED3"/>
    <w:rsid w:val="00A5691A"/>
    <w:rsid w:val="00A63940"/>
    <w:rsid w:val="00A63F11"/>
    <w:rsid w:val="00A7005D"/>
    <w:rsid w:val="00A87611"/>
    <w:rsid w:val="00A934A4"/>
    <w:rsid w:val="00A94AE7"/>
    <w:rsid w:val="00AA3A74"/>
    <w:rsid w:val="00AB47F9"/>
    <w:rsid w:val="00AC4801"/>
    <w:rsid w:val="00AD2FF8"/>
    <w:rsid w:val="00AD7B70"/>
    <w:rsid w:val="00AE0483"/>
    <w:rsid w:val="00AE0E6D"/>
    <w:rsid w:val="00AE5342"/>
    <w:rsid w:val="00AF10BF"/>
    <w:rsid w:val="00B0433F"/>
    <w:rsid w:val="00B07B2B"/>
    <w:rsid w:val="00B16AFD"/>
    <w:rsid w:val="00B22640"/>
    <w:rsid w:val="00B3369A"/>
    <w:rsid w:val="00B405C8"/>
    <w:rsid w:val="00B42242"/>
    <w:rsid w:val="00B425D5"/>
    <w:rsid w:val="00B46D00"/>
    <w:rsid w:val="00B55515"/>
    <w:rsid w:val="00B61B14"/>
    <w:rsid w:val="00B753AD"/>
    <w:rsid w:val="00B86E81"/>
    <w:rsid w:val="00B94F4F"/>
    <w:rsid w:val="00B951BD"/>
    <w:rsid w:val="00B962A1"/>
    <w:rsid w:val="00BA0262"/>
    <w:rsid w:val="00BA119A"/>
    <w:rsid w:val="00BA44DB"/>
    <w:rsid w:val="00BB03D2"/>
    <w:rsid w:val="00BB12A1"/>
    <w:rsid w:val="00BB190B"/>
    <w:rsid w:val="00BB3D54"/>
    <w:rsid w:val="00BC6565"/>
    <w:rsid w:val="00BC657E"/>
    <w:rsid w:val="00BD02BA"/>
    <w:rsid w:val="00BD15FF"/>
    <w:rsid w:val="00BD3681"/>
    <w:rsid w:val="00BD61AD"/>
    <w:rsid w:val="00C057E4"/>
    <w:rsid w:val="00C06895"/>
    <w:rsid w:val="00C11517"/>
    <w:rsid w:val="00C22DC9"/>
    <w:rsid w:val="00C35F6A"/>
    <w:rsid w:val="00C405EC"/>
    <w:rsid w:val="00C4350D"/>
    <w:rsid w:val="00C45F64"/>
    <w:rsid w:val="00C53026"/>
    <w:rsid w:val="00C62558"/>
    <w:rsid w:val="00C63875"/>
    <w:rsid w:val="00C816E4"/>
    <w:rsid w:val="00C83A06"/>
    <w:rsid w:val="00C84AB3"/>
    <w:rsid w:val="00C87754"/>
    <w:rsid w:val="00C91010"/>
    <w:rsid w:val="00C94AEA"/>
    <w:rsid w:val="00C95E03"/>
    <w:rsid w:val="00C978D0"/>
    <w:rsid w:val="00CA0DBB"/>
    <w:rsid w:val="00CB095C"/>
    <w:rsid w:val="00CB11BE"/>
    <w:rsid w:val="00CB470F"/>
    <w:rsid w:val="00CD1213"/>
    <w:rsid w:val="00CD2173"/>
    <w:rsid w:val="00CD2D2A"/>
    <w:rsid w:val="00CE2D0D"/>
    <w:rsid w:val="00CF0318"/>
    <w:rsid w:val="00CF1A96"/>
    <w:rsid w:val="00CF2218"/>
    <w:rsid w:val="00CF3D71"/>
    <w:rsid w:val="00D01CB9"/>
    <w:rsid w:val="00D124F5"/>
    <w:rsid w:val="00D16613"/>
    <w:rsid w:val="00D16618"/>
    <w:rsid w:val="00D20C9A"/>
    <w:rsid w:val="00D2455A"/>
    <w:rsid w:val="00D2507B"/>
    <w:rsid w:val="00D3065A"/>
    <w:rsid w:val="00D3591D"/>
    <w:rsid w:val="00D43A97"/>
    <w:rsid w:val="00D4414A"/>
    <w:rsid w:val="00D44C8A"/>
    <w:rsid w:val="00D5324E"/>
    <w:rsid w:val="00D56477"/>
    <w:rsid w:val="00D60D84"/>
    <w:rsid w:val="00D65C0F"/>
    <w:rsid w:val="00D81AA4"/>
    <w:rsid w:val="00D82018"/>
    <w:rsid w:val="00D870ED"/>
    <w:rsid w:val="00D91FA3"/>
    <w:rsid w:val="00DA2931"/>
    <w:rsid w:val="00DA34C7"/>
    <w:rsid w:val="00DA4B15"/>
    <w:rsid w:val="00DA57CC"/>
    <w:rsid w:val="00DB545C"/>
    <w:rsid w:val="00DC0D2B"/>
    <w:rsid w:val="00DC1E66"/>
    <w:rsid w:val="00DC458A"/>
    <w:rsid w:val="00DC5FCC"/>
    <w:rsid w:val="00DF1224"/>
    <w:rsid w:val="00DF3229"/>
    <w:rsid w:val="00DF41E4"/>
    <w:rsid w:val="00DF57DF"/>
    <w:rsid w:val="00DF7912"/>
    <w:rsid w:val="00E04306"/>
    <w:rsid w:val="00E047F2"/>
    <w:rsid w:val="00E11B16"/>
    <w:rsid w:val="00E15C1D"/>
    <w:rsid w:val="00E23889"/>
    <w:rsid w:val="00E3464C"/>
    <w:rsid w:val="00E41019"/>
    <w:rsid w:val="00E41BE9"/>
    <w:rsid w:val="00E512DC"/>
    <w:rsid w:val="00E6250C"/>
    <w:rsid w:val="00E73DE9"/>
    <w:rsid w:val="00E847F6"/>
    <w:rsid w:val="00E84F28"/>
    <w:rsid w:val="00E913F6"/>
    <w:rsid w:val="00E9630F"/>
    <w:rsid w:val="00EA161C"/>
    <w:rsid w:val="00EA2824"/>
    <w:rsid w:val="00EB3448"/>
    <w:rsid w:val="00EB40D2"/>
    <w:rsid w:val="00EB5D68"/>
    <w:rsid w:val="00EC1D5D"/>
    <w:rsid w:val="00EC431C"/>
    <w:rsid w:val="00ED4BFA"/>
    <w:rsid w:val="00ED6928"/>
    <w:rsid w:val="00EF4BB2"/>
    <w:rsid w:val="00F0297F"/>
    <w:rsid w:val="00F03DB3"/>
    <w:rsid w:val="00F06DDB"/>
    <w:rsid w:val="00F14B04"/>
    <w:rsid w:val="00F22733"/>
    <w:rsid w:val="00F343D0"/>
    <w:rsid w:val="00F34693"/>
    <w:rsid w:val="00F401A7"/>
    <w:rsid w:val="00F42F90"/>
    <w:rsid w:val="00F5481C"/>
    <w:rsid w:val="00F66016"/>
    <w:rsid w:val="00F83ABF"/>
    <w:rsid w:val="00F8402A"/>
    <w:rsid w:val="00F90593"/>
    <w:rsid w:val="00F94E2B"/>
    <w:rsid w:val="00F962CA"/>
    <w:rsid w:val="00F9726D"/>
    <w:rsid w:val="00F979F8"/>
    <w:rsid w:val="00FA0D4C"/>
    <w:rsid w:val="00FA0F8B"/>
    <w:rsid w:val="00FA2BBD"/>
    <w:rsid w:val="00FB22BB"/>
    <w:rsid w:val="00FC3235"/>
    <w:rsid w:val="00FC3B6D"/>
    <w:rsid w:val="00FC5B13"/>
    <w:rsid w:val="00FD4F6A"/>
    <w:rsid w:val="00FD6080"/>
    <w:rsid w:val="00FE6A70"/>
    <w:rsid w:val="01716A79"/>
    <w:rsid w:val="0A8B4EF1"/>
    <w:rsid w:val="323B1829"/>
    <w:rsid w:val="36493934"/>
    <w:rsid w:val="45192A88"/>
    <w:rsid w:val="523353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71D"/>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98471D"/>
    <w:rPr>
      <w:b/>
      <w:bCs/>
    </w:rPr>
  </w:style>
  <w:style w:type="paragraph" w:styleId="a4">
    <w:name w:val="annotation text"/>
    <w:basedOn w:val="a"/>
    <w:link w:val="Char0"/>
    <w:uiPriority w:val="99"/>
    <w:unhideWhenUsed/>
    <w:rsid w:val="0098471D"/>
    <w:pPr>
      <w:jc w:val="left"/>
    </w:pPr>
  </w:style>
  <w:style w:type="paragraph" w:styleId="a5">
    <w:name w:val="Balloon Text"/>
    <w:basedOn w:val="a"/>
    <w:link w:val="Char1"/>
    <w:uiPriority w:val="99"/>
    <w:unhideWhenUsed/>
    <w:qFormat/>
    <w:rsid w:val="0098471D"/>
    <w:rPr>
      <w:sz w:val="18"/>
      <w:szCs w:val="18"/>
    </w:rPr>
  </w:style>
  <w:style w:type="paragraph" w:styleId="a6">
    <w:name w:val="footer"/>
    <w:basedOn w:val="a"/>
    <w:link w:val="Char2"/>
    <w:uiPriority w:val="99"/>
    <w:unhideWhenUsed/>
    <w:rsid w:val="0098471D"/>
    <w:pPr>
      <w:tabs>
        <w:tab w:val="center" w:pos="4153"/>
        <w:tab w:val="right" w:pos="8306"/>
      </w:tabs>
      <w:snapToGrid w:val="0"/>
      <w:jc w:val="left"/>
    </w:pPr>
    <w:rPr>
      <w:kern w:val="0"/>
      <w:sz w:val="18"/>
      <w:szCs w:val="18"/>
    </w:rPr>
  </w:style>
  <w:style w:type="paragraph" w:styleId="a7">
    <w:name w:val="header"/>
    <w:basedOn w:val="a"/>
    <w:link w:val="Char3"/>
    <w:uiPriority w:val="99"/>
    <w:unhideWhenUsed/>
    <w:rsid w:val="0098471D"/>
    <w:pPr>
      <w:pBdr>
        <w:bottom w:val="single" w:sz="6" w:space="1" w:color="auto"/>
      </w:pBdr>
      <w:tabs>
        <w:tab w:val="center" w:pos="4153"/>
        <w:tab w:val="right" w:pos="8306"/>
      </w:tabs>
      <w:snapToGrid w:val="0"/>
      <w:jc w:val="center"/>
    </w:pPr>
    <w:rPr>
      <w:kern w:val="0"/>
      <w:sz w:val="18"/>
      <w:szCs w:val="18"/>
    </w:rPr>
  </w:style>
  <w:style w:type="character" w:styleId="a8">
    <w:name w:val="Hyperlink"/>
    <w:uiPriority w:val="99"/>
    <w:unhideWhenUsed/>
    <w:rsid w:val="0098471D"/>
    <w:rPr>
      <w:color w:val="0563C1"/>
      <w:u w:val="single"/>
    </w:rPr>
  </w:style>
  <w:style w:type="character" w:styleId="a9">
    <w:name w:val="annotation reference"/>
    <w:uiPriority w:val="99"/>
    <w:unhideWhenUsed/>
    <w:qFormat/>
    <w:rsid w:val="0098471D"/>
    <w:rPr>
      <w:sz w:val="21"/>
      <w:szCs w:val="21"/>
    </w:rPr>
  </w:style>
  <w:style w:type="character" w:customStyle="1" w:styleId="Char">
    <w:name w:val="批注主题 Char"/>
    <w:link w:val="a3"/>
    <w:uiPriority w:val="99"/>
    <w:semiHidden/>
    <w:qFormat/>
    <w:rsid w:val="0098471D"/>
    <w:rPr>
      <w:b/>
      <w:bCs/>
      <w:kern w:val="2"/>
      <w:sz w:val="21"/>
      <w:szCs w:val="22"/>
    </w:rPr>
  </w:style>
  <w:style w:type="character" w:customStyle="1" w:styleId="Char0">
    <w:name w:val="批注文字 Char"/>
    <w:link w:val="a4"/>
    <w:uiPriority w:val="99"/>
    <w:semiHidden/>
    <w:rsid w:val="0098471D"/>
    <w:rPr>
      <w:kern w:val="2"/>
      <w:sz w:val="21"/>
      <w:szCs w:val="22"/>
    </w:rPr>
  </w:style>
  <w:style w:type="character" w:customStyle="1" w:styleId="Char1">
    <w:name w:val="批注框文本 Char"/>
    <w:link w:val="a5"/>
    <w:uiPriority w:val="99"/>
    <w:semiHidden/>
    <w:qFormat/>
    <w:rsid w:val="0098471D"/>
    <w:rPr>
      <w:kern w:val="2"/>
      <w:sz w:val="18"/>
      <w:szCs w:val="18"/>
    </w:rPr>
  </w:style>
  <w:style w:type="character" w:customStyle="1" w:styleId="Char3">
    <w:name w:val="页眉 Char"/>
    <w:link w:val="a7"/>
    <w:uiPriority w:val="99"/>
    <w:qFormat/>
    <w:rsid w:val="0098471D"/>
    <w:rPr>
      <w:sz w:val="18"/>
      <w:szCs w:val="18"/>
    </w:rPr>
  </w:style>
  <w:style w:type="character" w:customStyle="1" w:styleId="Char2">
    <w:name w:val="页脚 Char"/>
    <w:link w:val="a6"/>
    <w:uiPriority w:val="99"/>
    <w:rsid w:val="0098471D"/>
    <w:rPr>
      <w:sz w:val="18"/>
      <w:szCs w:val="18"/>
    </w:rPr>
  </w:style>
  <w:style w:type="character" w:customStyle="1" w:styleId="apple-converted-space">
    <w:name w:val="apple-converted-space"/>
    <w:basedOn w:val="a0"/>
    <w:qFormat/>
    <w:rsid w:val="0098471D"/>
  </w:style>
  <w:style w:type="character" w:customStyle="1" w:styleId="copyright">
    <w:name w:val="copyright"/>
    <w:basedOn w:val="a0"/>
    <w:rsid w:val="001D2CB0"/>
  </w:style>
</w:styles>
</file>

<file path=word/webSettings.xml><?xml version="1.0" encoding="utf-8"?>
<w:webSettings xmlns:r="http://schemas.openxmlformats.org/officeDocument/2006/relationships" xmlns:w="http://schemas.openxmlformats.org/wordprocessingml/2006/main">
  <w:divs>
    <w:div w:id="84307460">
      <w:bodyDiv w:val="1"/>
      <w:marLeft w:val="0"/>
      <w:marRight w:val="0"/>
      <w:marTop w:val="0"/>
      <w:marBottom w:val="0"/>
      <w:divBdr>
        <w:top w:val="none" w:sz="0" w:space="0" w:color="auto"/>
        <w:left w:val="none" w:sz="0" w:space="0" w:color="auto"/>
        <w:bottom w:val="none" w:sz="0" w:space="0" w:color="auto"/>
        <w:right w:val="none" w:sz="0" w:space="0" w:color="auto"/>
      </w:divBdr>
    </w:div>
    <w:div w:id="157429842">
      <w:bodyDiv w:val="1"/>
      <w:marLeft w:val="0"/>
      <w:marRight w:val="0"/>
      <w:marTop w:val="0"/>
      <w:marBottom w:val="0"/>
      <w:divBdr>
        <w:top w:val="none" w:sz="0" w:space="0" w:color="auto"/>
        <w:left w:val="none" w:sz="0" w:space="0" w:color="auto"/>
        <w:bottom w:val="none" w:sz="0" w:space="0" w:color="auto"/>
        <w:right w:val="none" w:sz="0" w:space="0" w:color="auto"/>
      </w:divBdr>
    </w:div>
    <w:div w:id="218171354">
      <w:bodyDiv w:val="1"/>
      <w:marLeft w:val="0"/>
      <w:marRight w:val="0"/>
      <w:marTop w:val="0"/>
      <w:marBottom w:val="0"/>
      <w:divBdr>
        <w:top w:val="none" w:sz="0" w:space="0" w:color="auto"/>
        <w:left w:val="none" w:sz="0" w:space="0" w:color="auto"/>
        <w:bottom w:val="none" w:sz="0" w:space="0" w:color="auto"/>
        <w:right w:val="none" w:sz="0" w:space="0" w:color="auto"/>
      </w:divBdr>
    </w:div>
    <w:div w:id="405808004">
      <w:bodyDiv w:val="1"/>
      <w:marLeft w:val="0"/>
      <w:marRight w:val="0"/>
      <w:marTop w:val="0"/>
      <w:marBottom w:val="0"/>
      <w:divBdr>
        <w:top w:val="none" w:sz="0" w:space="0" w:color="auto"/>
        <w:left w:val="none" w:sz="0" w:space="0" w:color="auto"/>
        <w:bottom w:val="none" w:sz="0" w:space="0" w:color="auto"/>
        <w:right w:val="none" w:sz="0" w:space="0" w:color="auto"/>
      </w:divBdr>
    </w:div>
    <w:div w:id="409693712">
      <w:bodyDiv w:val="1"/>
      <w:marLeft w:val="0"/>
      <w:marRight w:val="0"/>
      <w:marTop w:val="0"/>
      <w:marBottom w:val="0"/>
      <w:divBdr>
        <w:top w:val="none" w:sz="0" w:space="0" w:color="auto"/>
        <w:left w:val="none" w:sz="0" w:space="0" w:color="auto"/>
        <w:bottom w:val="none" w:sz="0" w:space="0" w:color="auto"/>
        <w:right w:val="none" w:sz="0" w:space="0" w:color="auto"/>
      </w:divBdr>
    </w:div>
    <w:div w:id="429201519">
      <w:bodyDiv w:val="1"/>
      <w:marLeft w:val="0"/>
      <w:marRight w:val="0"/>
      <w:marTop w:val="0"/>
      <w:marBottom w:val="0"/>
      <w:divBdr>
        <w:top w:val="none" w:sz="0" w:space="0" w:color="auto"/>
        <w:left w:val="none" w:sz="0" w:space="0" w:color="auto"/>
        <w:bottom w:val="none" w:sz="0" w:space="0" w:color="auto"/>
        <w:right w:val="none" w:sz="0" w:space="0" w:color="auto"/>
      </w:divBdr>
    </w:div>
    <w:div w:id="455681661">
      <w:bodyDiv w:val="1"/>
      <w:marLeft w:val="0"/>
      <w:marRight w:val="0"/>
      <w:marTop w:val="0"/>
      <w:marBottom w:val="0"/>
      <w:divBdr>
        <w:top w:val="none" w:sz="0" w:space="0" w:color="auto"/>
        <w:left w:val="none" w:sz="0" w:space="0" w:color="auto"/>
        <w:bottom w:val="none" w:sz="0" w:space="0" w:color="auto"/>
        <w:right w:val="none" w:sz="0" w:space="0" w:color="auto"/>
      </w:divBdr>
    </w:div>
    <w:div w:id="486437797">
      <w:bodyDiv w:val="1"/>
      <w:marLeft w:val="0"/>
      <w:marRight w:val="0"/>
      <w:marTop w:val="0"/>
      <w:marBottom w:val="0"/>
      <w:divBdr>
        <w:top w:val="none" w:sz="0" w:space="0" w:color="auto"/>
        <w:left w:val="none" w:sz="0" w:space="0" w:color="auto"/>
        <w:bottom w:val="none" w:sz="0" w:space="0" w:color="auto"/>
        <w:right w:val="none" w:sz="0" w:space="0" w:color="auto"/>
      </w:divBdr>
    </w:div>
    <w:div w:id="503475066">
      <w:bodyDiv w:val="1"/>
      <w:marLeft w:val="0"/>
      <w:marRight w:val="0"/>
      <w:marTop w:val="0"/>
      <w:marBottom w:val="0"/>
      <w:divBdr>
        <w:top w:val="none" w:sz="0" w:space="0" w:color="auto"/>
        <w:left w:val="none" w:sz="0" w:space="0" w:color="auto"/>
        <w:bottom w:val="none" w:sz="0" w:space="0" w:color="auto"/>
        <w:right w:val="none" w:sz="0" w:space="0" w:color="auto"/>
      </w:divBdr>
    </w:div>
    <w:div w:id="510991535">
      <w:bodyDiv w:val="1"/>
      <w:marLeft w:val="0"/>
      <w:marRight w:val="0"/>
      <w:marTop w:val="0"/>
      <w:marBottom w:val="0"/>
      <w:divBdr>
        <w:top w:val="none" w:sz="0" w:space="0" w:color="auto"/>
        <w:left w:val="none" w:sz="0" w:space="0" w:color="auto"/>
        <w:bottom w:val="none" w:sz="0" w:space="0" w:color="auto"/>
        <w:right w:val="none" w:sz="0" w:space="0" w:color="auto"/>
      </w:divBdr>
    </w:div>
    <w:div w:id="634414849">
      <w:bodyDiv w:val="1"/>
      <w:marLeft w:val="0"/>
      <w:marRight w:val="0"/>
      <w:marTop w:val="0"/>
      <w:marBottom w:val="0"/>
      <w:divBdr>
        <w:top w:val="none" w:sz="0" w:space="0" w:color="auto"/>
        <w:left w:val="none" w:sz="0" w:space="0" w:color="auto"/>
        <w:bottom w:val="none" w:sz="0" w:space="0" w:color="auto"/>
        <w:right w:val="none" w:sz="0" w:space="0" w:color="auto"/>
      </w:divBdr>
    </w:div>
    <w:div w:id="636373075">
      <w:bodyDiv w:val="1"/>
      <w:marLeft w:val="0"/>
      <w:marRight w:val="0"/>
      <w:marTop w:val="0"/>
      <w:marBottom w:val="0"/>
      <w:divBdr>
        <w:top w:val="none" w:sz="0" w:space="0" w:color="auto"/>
        <w:left w:val="none" w:sz="0" w:space="0" w:color="auto"/>
        <w:bottom w:val="none" w:sz="0" w:space="0" w:color="auto"/>
        <w:right w:val="none" w:sz="0" w:space="0" w:color="auto"/>
      </w:divBdr>
    </w:div>
    <w:div w:id="754329409">
      <w:bodyDiv w:val="1"/>
      <w:marLeft w:val="0"/>
      <w:marRight w:val="0"/>
      <w:marTop w:val="0"/>
      <w:marBottom w:val="0"/>
      <w:divBdr>
        <w:top w:val="none" w:sz="0" w:space="0" w:color="auto"/>
        <w:left w:val="none" w:sz="0" w:space="0" w:color="auto"/>
        <w:bottom w:val="none" w:sz="0" w:space="0" w:color="auto"/>
        <w:right w:val="none" w:sz="0" w:space="0" w:color="auto"/>
      </w:divBdr>
    </w:div>
    <w:div w:id="762843951">
      <w:bodyDiv w:val="1"/>
      <w:marLeft w:val="0"/>
      <w:marRight w:val="0"/>
      <w:marTop w:val="0"/>
      <w:marBottom w:val="0"/>
      <w:divBdr>
        <w:top w:val="none" w:sz="0" w:space="0" w:color="auto"/>
        <w:left w:val="none" w:sz="0" w:space="0" w:color="auto"/>
        <w:bottom w:val="none" w:sz="0" w:space="0" w:color="auto"/>
        <w:right w:val="none" w:sz="0" w:space="0" w:color="auto"/>
      </w:divBdr>
    </w:div>
    <w:div w:id="763771105">
      <w:bodyDiv w:val="1"/>
      <w:marLeft w:val="0"/>
      <w:marRight w:val="0"/>
      <w:marTop w:val="0"/>
      <w:marBottom w:val="0"/>
      <w:divBdr>
        <w:top w:val="none" w:sz="0" w:space="0" w:color="auto"/>
        <w:left w:val="none" w:sz="0" w:space="0" w:color="auto"/>
        <w:bottom w:val="none" w:sz="0" w:space="0" w:color="auto"/>
        <w:right w:val="none" w:sz="0" w:space="0" w:color="auto"/>
      </w:divBdr>
    </w:div>
    <w:div w:id="771122156">
      <w:bodyDiv w:val="1"/>
      <w:marLeft w:val="0"/>
      <w:marRight w:val="0"/>
      <w:marTop w:val="0"/>
      <w:marBottom w:val="0"/>
      <w:divBdr>
        <w:top w:val="none" w:sz="0" w:space="0" w:color="auto"/>
        <w:left w:val="none" w:sz="0" w:space="0" w:color="auto"/>
        <w:bottom w:val="none" w:sz="0" w:space="0" w:color="auto"/>
        <w:right w:val="none" w:sz="0" w:space="0" w:color="auto"/>
      </w:divBdr>
    </w:div>
    <w:div w:id="861746534">
      <w:bodyDiv w:val="1"/>
      <w:marLeft w:val="0"/>
      <w:marRight w:val="0"/>
      <w:marTop w:val="0"/>
      <w:marBottom w:val="0"/>
      <w:divBdr>
        <w:top w:val="none" w:sz="0" w:space="0" w:color="auto"/>
        <w:left w:val="none" w:sz="0" w:space="0" w:color="auto"/>
        <w:bottom w:val="none" w:sz="0" w:space="0" w:color="auto"/>
        <w:right w:val="none" w:sz="0" w:space="0" w:color="auto"/>
      </w:divBdr>
    </w:div>
    <w:div w:id="873464727">
      <w:bodyDiv w:val="1"/>
      <w:marLeft w:val="0"/>
      <w:marRight w:val="0"/>
      <w:marTop w:val="0"/>
      <w:marBottom w:val="0"/>
      <w:divBdr>
        <w:top w:val="none" w:sz="0" w:space="0" w:color="auto"/>
        <w:left w:val="none" w:sz="0" w:space="0" w:color="auto"/>
        <w:bottom w:val="none" w:sz="0" w:space="0" w:color="auto"/>
        <w:right w:val="none" w:sz="0" w:space="0" w:color="auto"/>
      </w:divBdr>
    </w:div>
    <w:div w:id="892934832">
      <w:bodyDiv w:val="1"/>
      <w:marLeft w:val="0"/>
      <w:marRight w:val="0"/>
      <w:marTop w:val="0"/>
      <w:marBottom w:val="0"/>
      <w:divBdr>
        <w:top w:val="none" w:sz="0" w:space="0" w:color="auto"/>
        <w:left w:val="none" w:sz="0" w:space="0" w:color="auto"/>
        <w:bottom w:val="none" w:sz="0" w:space="0" w:color="auto"/>
        <w:right w:val="none" w:sz="0" w:space="0" w:color="auto"/>
      </w:divBdr>
    </w:div>
    <w:div w:id="1114012670">
      <w:bodyDiv w:val="1"/>
      <w:marLeft w:val="0"/>
      <w:marRight w:val="0"/>
      <w:marTop w:val="0"/>
      <w:marBottom w:val="0"/>
      <w:divBdr>
        <w:top w:val="none" w:sz="0" w:space="0" w:color="auto"/>
        <w:left w:val="none" w:sz="0" w:space="0" w:color="auto"/>
        <w:bottom w:val="none" w:sz="0" w:space="0" w:color="auto"/>
        <w:right w:val="none" w:sz="0" w:space="0" w:color="auto"/>
      </w:divBdr>
    </w:div>
    <w:div w:id="1260479254">
      <w:bodyDiv w:val="1"/>
      <w:marLeft w:val="0"/>
      <w:marRight w:val="0"/>
      <w:marTop w:val="0"/>
      <w:marBottom w:val="0"/>
      <w:divBdr>
        <w:top w:val="none" w:sz="0" w:space="0" w:color="auto"/>
        <w:left w:val="none" w:sz="0" w:space="0" w:color="auto"/>
        <w:bottom w:val="none" w:sz="0" w:space="0" w:color="auto"/>
        <w:right w:val="none" w:sz="0" w:space="0" w:color="auto"/>
      </w:divBdr>
    </w:div>
    <w:div w:id="1271472602">
      <w:bodyDiv w:val="1"/>
      <w:marLeft w:val="0"/>
      <w:marRight w:val="0"/>
      <w:marTop w:val="0"/>
      <w:marBottom w:val="0"/>
      <w:divBdr>
        <w:top w:val="none" w:sz="0" w:space="0" w:color="auto"/>
        <w:left w:val="none" w:sz="0" w:space="0" w:color="auto"/>
        <w:bottom w:val="none" w:sz="0" w:space="0" w:color="auto"/>
        <w:right w:val="none" w:sz="0" w:space="0" w:color="auto"/>
      </w:divBdr>
    </w:div>
    <w:div w:id="1347096056">
      <w:bodyDiv w:val="1"/>
      <w:marLeft w:val="0"/>
      <w:marRight w:val="0"/>
      <w:marTop w:val="0"/>
      <w:marBottom w:val="0"/>
      <w:divBdr>
        <w:top w:val="none" w:sz="0" w:space="0" w:color="auto"/>
        <w:left w:val="none" w:sz="0" w:space="0" w:color="auto"/>
        <w:bottom w:val="none" w:sz="0" w:space="0" w:color="auto"/>
        <w:right w:val="none" w:sz="0" w:space="0" w:color="auto"/>
      </w:divBdr>
    </w:div>
    <w:div w:id="1436172561">
      <w:bodyDiv w:val="1"/>
      <w:marLeft w:val="0"/>
      <w:marRight w:val="0"/>
      <w:marTop w:val="0"/>
      <w:marBottom w:val="0"/>
      <w:divBdr>
        <w:top w:val="none" w:sz="0" w:space="0" w:color="auto"/>
        <w:left w:val="none" w:sz="0" w:space="0" w:color="auto"/>
        <w:bottom w:val="none" w:sz="0" w:space="0" w:color="auto"/>
        <w:right w:val="none" w:sz="0" w:space="0" w:color="auto"/>
      </w:divBdr>
    </w:div>
    <w:div w:id="1501382345">
      <w:bodyDiv w:val="1"/>
      <w:marLeft w:val="0"/>
      <w:marRight w:val="0"/>
      <w:marTop w:val="0"/>
      <w:marBottom w:val="0"/>
      <w:divBdr>
        <w:top w:val="none" w:sz="0" w:space="0" w:color="auto"/>
        <w:left w:val="none" w:sz="0" w:space="0" w:color="auto"/>
        <w:bottom w:val="none" w:sz="0" w:space="0" w:color="auto"/>
        <w:right w:val="none" w:sz="0" w:space="0" w:color="auto"/>
      </w:divBdr>
    </w:div>
    <w:div w:id="1562251796">
      <w:bodyDiv w:val="1"/>
      <w:marLeft w:val="0"/>
      <w:marRight w:val="0"/>
      <w:marTop w:val="0"/>
      <w:marBottom w:val="0"/>
      <w:divBdr>
        <w:top w:val="none" w:sz="0" w:space="0" w:color="auto"/>
        <w:left w:val="none" w:sz="0" w:space="0" w:color="auto"/>
        <w:bottom w:val="none" w:sz="0" w:space="0" w:color="auto"/>
        <w:right w:val="none" w:sz="0" w:space="0" w:color="auto"/>
      </w:divBdr>
    </w:div>
    <w:div w:id="1612123206">
      <w:bodyDiv w:val="1"/>
      <w:marLeft w:val="0"/>
      <w:marRight w:val="0"/>
      <w:marTop w:val="0"/>
      <w:marBottom w:val="0"/>
      <w:divBdr>
        <w:top w:val="none" w:sz="0" w:space="0" w:color="auto"/>
        <w:left w:val="none" w:sz="0" w:space="0" w:color="auto"/>
        <w:bottom w:val="none" w:sz="0" w:space="0" w:color="auto"/>
        <w:right w:val="none" w:sz="0" w:space="0" w:color="auto"/>
      </w:divBdr>
    </w:div>
    <w:div w:id="1667782276">
      <w:bodyDiv w:val="1"/>
      <w:marLeft w:val="0"/>
      <w:marRight w:val="0"/>
      <w:marTop w:val="0"/>
      <w:marBottom w:val="0"/>
      <w:divBdr>
        <w:top w:val="none" w:sz="0" w:space="0" w:color="auto"/>
        <w:left w:val="none" w:sz="0" w:space="0" w:color="auto"/>
        <w:bottom w:val="none" w:sz="0" w:space="0" w:color="auto"/>
        <w:right w:val="none" w:sz="0" w:space="0" w:color="auto"/>
      </w:divBdr>
    </w:div>
    <w:div w:id="1710715955">
      <w:bodyDiv w:val="1"/>
      <w:marLeft w:val="0"/>
      <w:marRight w:val="0"/>
      <w:marTop w:val="0"/>
      <w:marBottom w:val="0"/>
      <w:divBdr>
        <w:top w:val="none" w:sz="0" w:space="0" w:color="auto"/>
        <w:left w:val="none" w:sz="0" w:space="0" w:color="auto"/>
        <w:bottom w:val="none" w:sz="0" w:space="0" w:color="auto"/>
        <w:right w:val="none" w:sz="0" w:space="0" w:color="auto"/>
      </w:divBdr>
    </w:div>
    <w:div w:id="1809318207">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01599600">
      <w:bodyDiv w:val="1"/>
      <w:marLeft w:val="0"/>
      <w:marRight w:val="0"/>
      <w:marTop w:val="0"/>
      <w:marBottom w:val="0"/>
      <w:divBdr>
        <w:top w:val="none" w:sz="0" w:space="0" w:color="auto"/>
        <w:left w:val="none" w:sz="0" w:space="0" w:color="auto"/>
        <w:bottom w:val="none" w:sz="0" w:space="0" w:color="auto"/>
        <w:right w:val="none" w:sz="0" w:space="0" w:color="auto"/>
      </w:divBdr>
    </w:div>
    <w:div w:id="1991665436">
      <w:bodyDiv w:val="1"/>
      <w:marLeft w:val="0"/>
      <w:marRight w:val="0"/>
      <w:marTop w:val="0"/>
      <w:marBottom w:val="0"/>
      <w:divBdr>
        <w:top w:val="none" w:sz="0" w:space="0" w:color="auto"/>
        <w:left w:val="none" w:sz="0" w:space="0" w:color="auto"/>
        <w:bottom w:val="none" w:sz="0" w:space="0" w:color="auto"/>
        <w:right w:val="none" w:sz="0" w:space="0" w:color="auto"/>
      </w:divBdr>
    </w:div>
    <w:div w:id="2081757066">
      <w:bodyDiv w:val="1"/>
      <w:marLeft w:val="0"/>
      <w:marRight w:val="0"/>
      <w:marTop w:val="0"/>
      <w:marBottom w:val="0"/>
      <w:divBdr>
        <w:top w:val="none" w:sz="0" w:space="0" w:color="auto"/>
        <w:left w:val="none" w:sz="0" w:space="0" w:color="auto"/>
        <w:bottom w:val="none" w:sz="0" w:space="0" w:color="auto"/>
        <w:right w:val="none" w:sz="0" w:space="0" w:color="auto"/>
      </w:divBdr>
    </w:div>
    <w:div w:id="2120030463">
      <w:bodyDiv w:val="1"/>
      <w:marLeft w:val="0"/>
      <w:marRight w:val="0"/>
      <w:marTop w:val="0"/>
      <w:marBottom w:val="0"/>
      <w:divBdr>
        <w:top w:val="none" w:sz="0" w:space="0" w:color="auto"/>
        <w:left w:val="none" w:sz="0" w:space="0" w:color="auto"/>
        <w:bottom w:val="none" w:sz="0" w:space="0" w:color="auto"/>
        <w:right w:val="none" w:sz="0" w:space="0" w:color="auto"/>
      </w:divBdr>
    </w:div>
    <w:div w:id="213250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2454</Characters>
  <Application>Microsoft Office Word</Application>
  <DocSecurity>4</DocSecurity>
  <Lines>20</Lines>
  <Paragraphs>5</Paragraphs>
  <ScaleCrop>false</ScaleCrop>
  <Company>JDJR</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2021-07-13T16:27:00Z</dcterms:created>
  <dcterms:modified xsi:type="dcterms:W3CDTF">2021-07-13T16:27:00Z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