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98" w:rsidRDefault="00225698" w:rsidP="00225698">
      <w:pPr>
        <w:widowControl/>
        <w:spacing w:after="150" w:line="360" w:lineRule="auto"/>
        <w:ind w:firstLine="570"/>
        <w:jc w:val="center"/>
        <w:rPr>
          <w:rFonts w:ascii="宋体" w:eastAsia="宋体" w:hAnsi="宋体" w:cs="Helvetica"/>
          <w:b/>
          <w:color w:val="333333"/>
          <w:sz w:val="32"/>
          <w:szCs w:val="32"/>
        </w:rPr>
      </w:pPr>
      <w:r w:rsidRPr="00225698">
        <w:rPr>
          <w:rFonts w:ascii="宋体" w:eastAsia="宋体" w:hAnsi="宋体" w:cs="Helvetica" w:hint="eastAsia"/>
          <w:b/>
          <w:color w:val="333333"/>
          <w:sz w:val="32"/>
          <w:szCs w:val="32"/>
        </w:rPr>
        <w:t>平安基金管理有限公司</w:t>
      </w:r>
      <w:r w:rsidRPr="00225698">
        <w:rPr>
          <w:rFonts w:ascii="宋体" w:eastAsia="宋体" w:hAnsi="宋体" w:cs="Helvetica"/>
          <w:b/>
          <w:color w:val="333333"/>
          <w:sz w:val="32"/>
          <w:szCs w:val="32"/>
        </w:rPr>
        <w:t>关于公司旗下</w:t>
      </w:r>
      <w:r w:rsidR="00E95F48">
        <w:rPr>
          <w:rFonts w:ascii="宋体" w:eastAsia="宋体" w:hAnsi="宋体" w:cs="Helvetica" w:hint="eastAsia"/>
          <w:b/>
          <w:color w:val="333333"/>
          <w:sz w:val="32"/>
          <w:szCs w:val="32"/>
        </w:rPr>
        <w:t>部分</w:t>
      </w:r>
      <w:r w:rsidRPr="00225698">
        <w:rPr>
          <w:rFonts w:ascii="宋体" w:eastAsia="宋体" w:hAnsi="宋体" w:cs="Helvetica"/>
          <w:b/>
          <w:color w:val="333333"/>
          <w:sz w:val="32"/>
          <w:szCs w:val="32"/>
        </w:rPr>
        <w:t>基金根据</w:t>
      </w:r>
      <w:r w:rsidR="00E96A9A" w:rsidRPr="00E96A9A">
        <w:rPr>
          <w:rFonts w:ascii="宋体" w:eastAsia="宋体" w:hAnsi="宋体" w:cs="Helvetica" w:hint="eastAsia"/>
          <w:b/>
          <w:color w:val="333333"/>
          <w:sz w:val="32"/>
          <w:szCs w:val="32"/>
        </w:rPr>
        <w:t>《公开募集证券投资基金侧袋机制指引（试行）》</w:t>
      </w:r>
      <w:r w:rsidRPr="00225698">
        <w:rPr>
          <w:rFonts w:ascii="宋体" w:eastAsia="宋体" w:hAnsi="宋体" w:cs="Helvetica"/>
          <w:b/>
          <w:color w:val="333333"/>
          <w:sz w:val="32"/>
          <w:szCs w:val="32"/>
        </w:rPr>
        <w:t>修改基金合同部分条款的公告</w:t>
      </w:r>
    </w:p>
    <w:p w:rsidR="00BF1FD6" w:rsidRPr="00BF1FD6" w:rsidRDefault="00225698" w:rsidP="00BF1FD6">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根据</w:t>
      </w:r>
      <w:r w:rsidR="00E96A9A" w:rsidRPr="00E96A9A">
        <w:rPr>
          <w:rFonts w:ascii="宋体" w:eastAsia="宋体" w:hAnsi="宋体" w:cs="Helvetica" w:hint="eastAsia"/>
          <w:color w:val="333333"/>
          <w:kern w:val="0"/>
          <w:sz w:val="24"/>
          <w:szCs w:val="24"/>
        </w:rPr>
        <w:t>《中华人民共和国证券投资基金法》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《公开募集证券投资基金信息披露管理办法》</w:t>
      </w:r>
      <w:r w:rsidR="00E96A9A">
        <w:rPr>
          <w:rFonts w:ascii="宋体" w:eastAsia="宋体" w:hAnsi="宋体" w:cs="Helvetica" w:hint="eastAsia"/>
          <w:color w:val="333333"/>
          <w:kern w:val="0"/>
          <w:sz w:val="24"/>
          <w:szCs w:val="24"/>
        </w:rPr>
        <w:t>、</w:t>
      </w:r>
      <w:r w:rsidR="00E96A9A" w:rsidRPr="00E96A9A">
        <w:rPr>
          <w:rFonts w:ascii="宋体" w:eastAsia="宋体" w:hAnsi="宋体" w:cs="Helvetica" w:hint="eastAsia"/>
          <w:color w:val="333333"/>
          <w:kern w:val="0"/>
          <w:sz w:val="24"/>
          <w:szCs w:val="24"/>
        </w:rPr>
        <w:t>《公开募集证券投资基金侧袋机制指引（试行）》（以下简称“《侧袋机制指引》”）</w:t>
      </w:r>
      <w:r w:rsidR="00E96A9A">
        <w:rPr>
          <w:rFonts w:ascii="宋体" w:eastAsia="宋体" w:hAnsi="宋体" w:cs="Helvetica" w:hint="eastAsia"/>
          <w:color w:val="333333"/>
          <w:kern w:val="0"/>
          <w:sz w:val="24"/>
          <w:szCs w:val="24"/>
        </w:rPr>
        <w:t>等法律法规规定</w:t>
      </w:r>
      <w:r w:rsidR="00E96A9A" w:rsidRPr="00E96A9A">
        <w:rPr>
          <w:rFonts w:ascii="宋体" w:eastAsia="宋体" w:hAnsi="宋体" w:cs="Helvetica"/>
          <w:color w:val="333333"/>
          <w:kern w:val="0"/>
          <w:sz w:val="24"/>
          <w:szCs w:val="24"/>
        </w:rPr>
        <w:t>及各基金</w:t>
      </w:r>
      <w:r w:rsidRPr="00225698">
        <w:rPr>
          <w:rFonts w:ascii="宋体" w:eastAsia="宋体" w:hAnsi="宋体" w:cs="Helvetica"/>
          <w:color w:val="333333"/>
          <w:kern w:val="0"/>
          <w:sz w:val="24"/>
          <w:szCs w:val="24"/>
        </w:rPr>
        <w:t>基金合同的约定，经与各基金托管人协商一致，并报中国证券监督管理委员会备案，</w:t>
      </w:r>
      <w:r w:rsidRPr="00225698">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（以下简称“本公司”）</w:t>
      </w:r>
      <w:r w:rsidR="00E96A9A" w:rsidRPr="00E96A9A">
        <w:rPr>
          <w:rFonts w:hint="eastAsia"/>
        </w:rPr>
        <w:t xml:space="preserve"> </w:t>
      </w:r>
      <w:r w:rsidR="00E96A9A" w:rsidRPr="00E96A9A">
        <w:rPr>
          <w:rFonts w:ascii="宋体" w:eastAsia="宋体" w:hAnsi="宋体" w:cs="Helvetica" w:hint="eastAsia"/>
          <w:color w:val="333333"/>
          <w:kern w:val="0"/>
          <w:sz w:val="24"/>
          <w:szCs w:val="24"/>
        </w:rPr>
        <w:t>旗下</w:t>
      </w:r>
      <w:r w:rsidR="00EE6A8A">
        <w:rPr>
          <w:rFonts w:ascii="宋体" w:eastAsia="宋体" w:hAnsi="宋体" w:cs="Helvetica" w:hint="eastAsia"/>
          <w:color w:val="333333"/>
          <w:kern w:val="0"/>
          <w:sz w:val="24"/>
          <w:szCs w:val="24"/>
        </w:rPr>
        <w:t>部分</w:t>
      </w:r>
      <w:r w:rsidR="00E96A9A" w:rsidRPr="00E96A9A">
        <w:rPr>
          <w:rFonts w:ascii="宋体" w:eastAsia="宋体" w:hAnsi="宋体" w:cs="Helvetica"/>
          <w:color w:val="333333"/>
          <w:kern w:val="0"/>
          <w:sz w:val="24"/>
          <w:szCs w:val="24"/>
        </w:rPr>
        <w:t>公募基金就</w:t>
      </w:r>
      <w:r w:rsidR="00E96A9A" w:rsidRPr="00E96A9A">
        <w:rPr>
          <w:rFonts w:ascii="宋体" w:eastAsia="宋体" w:hAnsi="宋体" w:cs="Helvetica" w:hint="eastAsia"/>
          <w:color w:val="333333"/>
          <w:kern w:val="0"/>
          <w:sz w:val="24"/>
          <w:szCs w:val="24"/>
        </w:rPr>
        <w:t>引入侧袋机制事宜修订基金合同、托管协议等法律文件。本次修订将自</w:t>
      </w:r>
      <w:r w:rsidR="00E96A9A" w:rsidRPr="00E96A9A">
        <w:rPr>
          <w:rFonts w:ascii="宋体" w:eastAsia="宋体" w:hAnsi="宋体" w:cs="Helvetica"/>
          <w:color w:val="333333"/>
          <w:kern w:val="0"/>
          <w:sz w:val="24"/>
          <w:szCs w:val="24"/>
        </w:rPr>
        <w:t xml:space="preserve"> 202</w:t>
      </w:r>
      <w:r w:rsidR="00E96A9A">
        <w:rPr>
          <w:rFonts w:ascii="宋体" w:eastAsia="宋体" w:hAnsi="宋体" w:cs="Helvetica"/>
          <w:color w:val="333333"/>
          <w:kern w:val="0"/>
          <w:sz w:val="24"/>
          <w:szCs w:val="24"/>
        </w:rPr>
        <w:t>1</w:t>
      </w:r>
      <w:r w:rsidR="00E96A9A" w:rsidRPr="00E96A9A">
        <w:rPr>
          <w:rFonts w:ascii="宋体" w:eastAsia="宋体" w:hAnsi="宋体" w:cs="Helvetica"/>
          <w:color w:val="333333"/>
          <w:kern w:val="0"/>
          <w:sz w:val="24"/>
          <w:szCs w:val="24"/>
        </w:rPr>
        <w:t>年</w:t>
      </w:r>
      <w:r w:rsidR="00E96A9A">
        <w:rPr>
          <w:rFonts w:ascii="宋体" w:eastAsia="宋体" w:hAnsi="宋体" w:cs="Helvetica"/>
          <w:color w:val="333333"/>
          <w:kern w:val="0"/>
          <w:sz w:val="24"/>
          <w:szCs w:val="24"/>
        </w:rPr>
        <w:t>7</w:t>
      </w:r>
      <w:r w:rsidR="00E96A9A" w:rsidRPr="00E96A9A">
        <w:rPr>
          <w:rFonts w:ascii="宋体" w:eastAsia="宋体" w:hAnsi="宋体" w:cs="Helvetica"/>
          <w:color w:val="333333"/>
          <w:kern w:val="0"/>
          <w:sz w:val="24"/>
          <w:szCs w:val="24"/>
        </w:rPr>
        <w:t xml:space="preserve"> 月</w:t>
      </w:r>
      <w:r w:rsidR="00E96A9A">
        <w:rPr>
          <w:rFonts w:ascii="宋体" w:eastAsia="宋体" w:hAnsi="宋体" w:cs="Helvetica"/>
          <w:color w:val="333333"/>
          <w:kern w:val="0"/>
          <w:sz w:val="24"/>
          <w:szCs w:val="24"/>
        </w:rPr>
        <w:t>13</w:t>
      </w:r>
      <w:r w:rsidR="00E96A9A" w:rsidRPr="00E96A9A">
        <w:rPr>
          <w:rFonts w:ascii="宋体" w:eastAsia="宋体" w:hAnsi="宋体" w:cs="Helvetica"/>
          <w:color w:val="333333"/>
          <w:kern w:val="0"/>
          <w:sz w:val="24"/>
          <w:szCs w:val="24"/>
        </w:rPr>
        <w:t>日起正式生效。现将基金合同、托管协议修订</w:t>
      </w:r>
      <w:r w:rsidR="00E96A9A" w:rsidRPr="00E96A9A">
        <w:rPr>
          <w:rFonts w:ascii="宋体" w:eastAsia="宋体" w:hAnsi="宋体" w:cs="Helvetica" w:hint="eastAsia"/>
          <w:color w:val="333333"/>
          <w:kern w:val="0"/>
          <w:sz w:val="24"/>
          <w:szCs w:val="24"/>
        </w:rPr>
        <w:t>情况公告如下：</w:t>
      </w:r>
      <w:r w:rsidR="00E96A9A" w:rsidRPr="00E96A9A">
        <w:rPr>
          <w:rFonts w:ascii="宋体" w:eastAsia="宋体" w:hAnsi="宋体" w:cs="Helvetica"/>
          <w:color w:val="333333"/>
          <w:kern w:val="0"/>
          <w:sz w:val="24"/>
          <w:szCs w:val="24"/>
        </w:rPr>
        <w:cr/>
      </w:r>
      <w:r w:rsidR="00BF1FD6">
        <w:rPr>
          <w:rFonts w:ascii="宋体" w:eastAsia="宋体" w:hAnsi="宋体" w:cs="Helvetica"/>
          <w:color w:val="333333"/>
          <w:kern w:val="0"/>
          <w:sz w:val="24"/>
          <w:szCs w:val="24"/>
        </w:rPr>
        <w:t xml:space="preserve">   </w:t>
      </w:r>
      <w:r w:rsidR="00BF1FD6" w:rsidRPr="00BF1FD6">
        <w:rPr>
          <w:rFonts w:ascii="宋体" w:eastAsia="宋体" w:hAnsi="宋体" w:cs="Helvetica"/>
          <w:b/>
          <w:color w:val="333333"/>
          <w:kern w:val="0"/>
          <w:sz w:val="24"/>
          <w:szCs w:val="24"/>
        </w:rPr>
        <w:t xml:space="preserve">  </w:t>
      </w:r>
      <w:r w:rsidR="00BF1FD6" w:rsidRPr="00BF1FD6">
        <w:rPr>
          <w:rFonts w:ascii="宋体" w:eastAsia="宋体" w:hAnsi="宋体" w:cs="Helvetica" w:hint="eastAsia"/>
          <w:b/>
          <w:color w:val="333333"/>
          <w:kern w:val="0"/>
          <w:sz w:val="24"/>
          <w:szCs w:val="24"/>
        </w:rPr>
        <w:t>一、修订基金范围</w:t>
      </w:r>
    </w:p>
    <w:p w:rsidR="00BF1FD6" w:rsidRDefault="00BF1FD6" w:rsidP="00E96A9A">
      <w:pPr>
        <w:widowControl/>
        <w:spacing w:after="150" w:line="360" w:lineRule="auto"/>
        <w:ind w:firstLine="570"/>
        <w:jc w:val="left"/>
        <w:rPr>
          <w:rFonts w:ascii="宋体" w:eastAsia="宋体" w:hAnsi="宋体" w:cs="Helvetica"/>
          <w:color w:val="333333"/>
          <w:kern w:val="0"/>
          <w:sz w:val="24"/>
          <w:szCs w:val="24"/>
        </w:rPr>
      </w:pPr>
      <w:r w:rsidRPr="00BF1FD6">
        <w:rPr>
          <w:rFonts w:ascii="宋体" w:eastAsia="宋体" w:hAnsi="宋体" w:cs="Helvetica" w:hint="eastAsia"/>
          <w:color w:val="333333"/>
          <w:kern w:val="0"/>
          <w:sz w:val="24"/>
          <w:szCs w:val="24"/>
        </w:rPr>
        <w:t>本次修订涉及</w:t>
      </w:r>
      <w:r w:rsidR="002A489E">
        <w:rPr>
          <w:rFonts w:ascii="宋体" w:eastAsia="宋体" w:hAnsi="宋体" w:cs="Helvetica" w:hint="eastAsia"/>
          <w:color w:val="333333"/>
          <w:kern w:val="0"/>
          <w:sz w:val="24"/>
          <w:szCs w:val="24"/>
        </w:rPr>
        <w:t>本公司</w:t>
      </w:r>
      <w:r w:rsidRPr="00BF1FD6">
        <w:rPr>
          <w:rFonts w:ascii="宋体" w:eastAsia="宋体" w:hAnsi="宋体" w:cs="Helvetica" w:hint="eastAsia"/>
          <w:color w:val="333333"/>
          <w:kern w:val="0"/>
          <w:sz w:val="24"/>
          <w:szCs w:val="24"/>
        </w:rPr>
        <w:t>旗下</w:t>
      </w:r>
      <w:r w:rsidR="00BB38EA">
        <w:rPr>
          <w:rFonts w:ascii="宋体" w:eastAsia="宋体" w:hAnsi="宋体" w:cs="Helvetica"/>
          <w:color w:val="333333"/>
          <w:kern w:val="0"/>
          <w:sz w:val="24"/>
          <w:szCs w:val="24"/>
        </w:rPr>
        <w:t>20</w:t>
      </w:r>
      <w:r w:rsidRPr="00BF1FD6">
        <w:rPr>
          <w:rFonts w:ascii="宋体" w:eastAsia="宋体" w:hAnsi="宋体" w:cs="Helvetica"/>
          <w:color w:val="333333"/>
          <w:kern w:val="0"/>
          <w:sz w:val="24"/>
          <w:szCs w:val="24"/>
        </w:rPr>
        <w:t>只公募基金，详细名单见下表。</w:t>
      </w:r>
    </w:p>
    <w:tbl>
      <w:tblPr>
        <w:tblW w:w="5000" w:type="pct"/>
        <w:tblLook w:val="04A0"/>
      </w:tblPr>
      <w:tblGrid>
        <w:gridCol w:w="1241"/>
        <w:gridCol w:w="7281"/>
      </w:tblGrid>
      <w:tr w:rsidR="00BB38EA" w:rsidRPr="00BB38EA" w:rsidTr="00BB38EA">
        <w:trPr>
          <w:trHeight w:val="280"/>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bookmarkStart w:id="0" w:name="_GoBack"/>
            <w:r w:rsidRPr="00BB38EA">
              <w:rPr>
                <w:rFonts w:ascii="宋体" w:eastAsia="宋体" w:hAnsi="宋体" w:cs="宋体" w:hint="eastAsia"/>
                <w:b/>
                <w:bCs/>
                <w:color w:val="000000"/>
                <w:kern w:val="0"/>
                <w:sz w:val="20"/>
                <w:szCs w:val="20"/>
              </w:rPr>
              <w:t>序号</w:t>
            </w:r>
          </w:p>
        </w:tc>
        <w:tc>
          <w:tcPr>
            <w:tcW w:w="4272" w:type="pct"/>
            <w:tcBorders>
              <w:top w:val="single" w:sz="4" w:space="0" w:color="auto"/>
              <w:left w:val="nil"/>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b/>
                <w:bCs/>
                <w:color w:val="000000"/>
                <w:kern w:val="0"/>
                <w:sz w:val="20"/>
                <w:szCs w:val="20"/>
              </w:rPr>
            </w:pPr>
            <w:r w:rsidRPr="00BB38EA">
              <w:rPr>
                <w:rFonts w:ascii="宋体" w:eastAsia="宋体" w:hAnsi="宋体" w:cs="宋体" w:hint="eastAsia"/>
                <w:b/>
                <w:bCs/>
                <w:color w:val="000000"/>
                <w:kern w:val="0"/>
                <w:sz w:val="20"/>
                <w:szCs w:val="20"/>
              </w:rPr>
              <w:t>基金全称</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平安睿享文娱灵活配置混合型证券投资基金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2</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平安如意中短债债券型证券投资基金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3</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平安增利六个月定期开放债券型证券投资基金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4</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平安创业板交易型开放式指数证券投资基金联接基金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5</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平安低碳经济混合型证券投资基金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6</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平安短债债券型证券投资基金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7</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平安高等级债债券型证券投资基金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8</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平安估值优势灵活配置混合型证券投资基金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9</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平安可转债债券型证券投资基金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10</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平安匠心优选混合型证券投资基金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11</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平安中证500指数增强型发起式证券投资基金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12</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平安恒泽混合型证券投资基金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13</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平安策略先锋混合型证券投资基金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14</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平安安享灵活配置混合型证券投资基金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15</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平安消费精选混合型证券投资基金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16</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平安惠澜纯债债券型证券投资基金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17</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平安添裕债券型证券投资基金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18</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平安元丰中短债债券型证券投资基金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19</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平安研究睿选混合型证券投资基金</w:t>
            </w:r>
          </w:p>
        </w:tc>
      </w:tr>
      <w:tr w:rsidR="00BB38EA" w:rsidRPr="00BB38EA" w:rsidTr="00BB38EA">
        <w:trPr>
          <w:trHeight w:val="28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20</w:t>
            </w:r>
          </w:p>
        </w:tc>
        <w:tc>
          <w:tcPr>
            <w:tcW w:w="4272" w:type="pct"/>
            <w:tcBorders>
              <w:top w:val="nil"/>
              <w:left w:val="nil"/>
              <w:bottom w:val="single" w:sz="4" w:space="0" w:color="auto"/>
              <w:right w:val="single" w:sz="4" w:space="0" w:color="auto"/>
            </w:tcBorders>
            <w:shd w:val="clear" w:color="auto" w:fill="auto"/>
            <w:noWrap/>
            <w:vAlign w:val="bottom"/>
            <w:hideMark/>
          </w:tcPr>
          <w:p w:rsidR="00BB38EA" w:rsidRPr="00BB38EA" w:rsidRDefault="00BB38EA" w:rsidP="00BB38EA">
            <w:pPr>
              <w:widowControl/>
              <w:jc w:val="center"/>
              <w:rPr>
                <w:rFonts w:ascii="宋体" w:eastAsia="宋体" w:hAnsi="宋体" w:cs="宋体"/>
                <w:color w:val="000000"/>
                <w:kern w:val="0"/>
                <w:sz w:val="22"/>
              </w:rPr>
            </w:pPr>
            <w:r w:rsidRPr="00BB38EA">
              <w:rPr>
                <w:rFonts w:ascii="宋体" w:eastAsia="宋体" w:hAnsi="宋体" w:cs="宋体" w:hint="eastAsia"/>
                <w:color w:val="000000"/>
                <w:kern w:val="0"/>
                <w:sz w:val="22"/>
              </w:rPr>
              <w:t>平安灵活配置混合型证券投资基金</w:t>
            </w:r>
          </w:p>
        </w:tc>
      </w:tr>
      <w:bookmarkEnd w:id="0"/>
    </w:tbl>
    <w:p w:rsidR="00BF1FD6" w:rsidRPr="00BB38EA" w:rsidRDefault="00BF1FD6" w:rsidP="00E96A9A">
      <w:pPr>
        <w:widowControl/>
        <w:spacing w:after="150" w:line="360" w:lineRule="auto"/>
        <w:ind w:firstLine="570"/>
        <w:jc w:val="left"/>
        <w:rPr>
          <w:rFonts w:ascii="宋体" w:eastAsia="宋体" w:hAnsi="宋体" w:cs="Helvetica"/>
          <w:color w:val="333333"/>
          <w:kern w:val="0"/>
          <w:sz w:val="24"/>
          <w:szCs w:val="24"/>
        </w:rPr>
      </w:pPr>
    </w:p>
    <w:p w:rsidR="00BF1FD6" w:rsidRPr="00BF1FD6" w:rsidRDefault="00BF1FD6" w:rsidP="00BF1FD6">
      <w:pPr>
        <w:widowControl/>
        <w:spacing w:after="150" w:line="360" w:lineRule="auto"/>
        <w:ind w:firstLine="570"/>
        <w:jc w:val="left"/>
        <w:rPr>
          <w:rFonts w:ascii="宋体" w:eastAsia="宋体" w:hAnsi="宋体" w:cs="Helvetica"/>
          <w:b/>
          <w:color w:val="333333"/>
          <w:kern w:val="0"/>
          <w:sz w:val="24"/>
          <w:szCs w:val="24"/>
        </w:rPr>
      </w:pPr>
      <w:r w:rsidRPr="00BF1FD6">
        <w:rPr>
          <w:rFonts w:ascii="宋体" w:eastAsia="宋体" w:hAnsi="宋体" w:cs="Helvetica" w:hint="eastAsia"/>
          <w:b/>
          <w:color w:val="333333"/>
          <w:kern w:val="0"/>
          <w:sz w:val="24"/>
          <w:szCs w:val="24"/>
        </w:rPr>
        <w:lastRenderedPageBreak/>
        <w:t>二、本次</w:t>
      </w:r>
      <w:r w:rsidR="00386A12">
        <w:rPr>
          <w:rFonts w:ascii="宋体" w:eastAsia="宋体" w:hAnsi="宋体" w:cs="Helvetica" w:hint="eastAsia"/>
          <w:b/>
          <w:color w:val="333333"/>
          <w:kern w:val="0"/>
          <w:sz w:val="24"/>
          <w:szCs w:val="24"/>
        </w:rPr>
        <w:t>基金合同、</w:t>
      </w:r>
      <w:r w:rsidR="00386A12" w:rsidRPr="00386A12">
        <w:rPr>
          <w:rFonts w:ascii="宋体" w:eastAsia="宋体" w:hAnsi="宋体" w:cs="Helvetica" w:hint="eastAsia"/>
          <w:b/>
          <w:color w:val="333333"/>
          <w:kern w:val="0"/>
          <w:sz w:val="24"/>
          <w:szCs w:val="24"/>
        </w:rPr>
        <w:t>托管协议</w:t>
      </w:r>
      <w:r w:rsidRPr="00BF1FD6">
        <w:rPr>
          <w:rFonts w:ascii="宋体" w:eastAsia="宋体" w:hAnsi="宋体" w:cs="Helvetica" w:hint="eastAsia"/>
          <w:b/>
          <w:color w:val="333333"/>
          <w:kern w:val="0"/>
          <w:sz w:val="24"/>
          <w:szCs w:val="24"/>
        </w:rPr>
        <w:t>修订的主要内容</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sidRPr="00386A12">
        <w:rPr>
          <w:rFonts w:ascii="宋体" w:eastAsia="宋体" w:hAnsi="宋体" w:cs="Helvetica"/>
          <w:color w:val="333333"/>
          <w:kern w:val="0"/>
          <w:sz w:val="24"/>
          <w:szCs w:val="24"/>
        </w:rPr>
        <w:t>1.根据《侧袋机制指引》修订基金合同</w:t>
      </w:r>
    </w:p>
    <w:p w:rsid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hint="eastAsia"/>
          <w:color w:val="333333"/>
          <w:kern w:val="0"/>
          <w:sz w:val="24"/>
          <w:szCs w:val="24"/>
        </w:rPr>
        <w:t>“释义”章节增加相关表述：“</w:t>
      </w:r>
      <w:r w:rsidR="00EE6A8A" w:rsidRPr="00EE6A8A">
        <w:rPr>
          <w:rFonts w:ascii="宋体" w:eastAsia="宋体" w:hAnsi="宋体" w:cs="Helvetica" w:hint="eastAsia"/>
          <w:color w:val="333333"/>
          <w:kern w:val="0"/>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Pr="00386A12">
        <w:rPr>
          <w:rFonts w:ascii="宋体" w:eastAsia="宋体" w:hAnsi="宋体" w:cs="Helvetica" w:hint="eastAsia"/>
          <w:color w:val="333333"/>
          <w:kern w:val="0"/>
          <w:sz w:val="24"/>
          <w:szCs w:val="24"/>
        </w:rPr>
        <w:t>”</w:t>
      </w:r>
      <w:r w:rsidR="00EE6A8A">
        <w:rPr>
          <w:rFonts w:ascii="宋体" w:eastAsia="宋体" w:hAnsi="宋体" w:cs="Helvetica" w:hint="eastAsia"/>
          <w:color w:val="333333"/>
          <w:kern w:val="0"/>
          <w:sz w:val="24"/>
          <w:szCs w:val="24"/>
        </w:rPr>
        <w:t>、</w:t>
      </w:r>
      <w:r w:rsidRPr="00386A12">
        <w:rPr>
          <w:rFonts w:ascii="宋体" w:eastAsia="宋体" w:hAnsi="宋体" w:cs="Helvetica" w:hint="eastAsia"/>
          <w:color w:val="333333"/>
          <w:kern w:val="0"/>
          <w:sz w:val="24"/>
          <w:szCs w:val="24"/>
        </w:rPr>
        <w:t>“</w:t>
      </w:r>
      <w:r w:rsidR="00EE6A8A" w:rsidRPr="00EE6A8A">
        <w:rPr>
          <w:rFonts w:hint="eastAsia"/>
        </w:rPr>
        <w:t xml:space="preserve"> </w:t>
      </w:r>
      <w:r w:rsidR="00EE6A8A" w:rsidRPr="00EE6A8A">
        <w:rPr>
          <w:rFonts w:ascii="宋体" w:eastAsia="宋体" w:hAnsi="宋体" w:cs="Helvetica" w:hint="eastAsia"/>
          <w:color w:val="333333"/>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386A12">
        <w:rPr>
          <w:rFonts w:ascii="宋体" w:eastAsia="宋体" w:hAnsi="宋体" w:cs="Helvetica" w:hint="eastAsia"/>
          <w:color w:val="333333"/>
          <w:kern w:val="0"/>
          <w:sz w:val="24"/>
          <w:szCs w:val="24"/>
        </w:rPr>
        <w:t>”</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2）“基金份额的申购与赎回”章节增加实施侧袋机制期间本基金的申购与</w:t>
      </w:r>
      <w:r w:rsidRPr="00EA07B1">
        <w:rPr>
          <w:rFonts w:ascii="宋体" w:eastAsia="宋体" w:hAnsi="宋体" w:cs="Helvetica" w:hint="eastAsia"/>
          <w:color w:val="333333"/>
          <w:kern w:val="0"/>
          <w:sz w:val="24"/>
          <w:szCs w:val="24"/>
        </w:rPr>
        <w:t>赎回安排：“</w:t>
      </w:r>
      <w:r w:rsidR="00EE6A8A" w:rsidRPr="00EE6A8A">
        <w:rPr>
          <w:rFonts w:ascii="宋体" w:eastAsia="宋体" w:hAnsi="宋体" w:cs="Helvetica" w:hint="eastAsia"/>
          <w:color w:val="333333"/>
          <w:kern w:val="0"/>
          <w:sz w:val="24"/>
          <w:szCs w:val="24"/>
        </w:rPr>
        <w:t>本基金</w:t>
      </w:r>
      <w:r w:rsidR="00EE6A8A">
        <w:rPr>
          <w:rFonts w:ascii="宋体" w:eastAsia="宋体" w:hAnsi="宋体" w:cs="Helvetica" w:hint="eastAsia"/>
          <w:color w:val="333333"/>
          <w:kern w:val="0"/>
          <w:sz w:val="24"/>
          <w:szCs w:val="24"/>
        </w:rPr>
        <w:t>实施侧袋机制的，本基金的申购和赎回安排详见招募说明书或相关公告</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3）“基金份额持有人大会”章节增加实施侧袋机制期间基金份额持有人大</w:t>
      </w:r>
      <w:r w:rsidRPr="00EA07B1">
        <w:rPr>
          <w:rFonts w:ascii="宋体" w:eastAsia="宋体" w:hAnsi="宋体" w:cs="Helvetica" w:hint="eastAsia"/>
          <w:color w:val="333333"/>
          <w:kern w:val="0"/>
          <w:sz w:val="24"/>
          <w:szCs w:val="24"/>
        </w:rPr>
        <w:t>会的特殊约定：“</w:t>
      </w:r>
      <w:r w:rsidR="00EE6A8A" w:rsidRPr="00EE6A8A">
        <w:rPr>
          <w:rFonts w:ascii="宋体" w:eastAsia="宋体" w:hAnsi="宋体" w:cs="Helvetica" w:hint="eastAsia"/>
          <w:color w:val="333333"/>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1、基金份额持有人行使提议权、召集权、提名权所需单独或合计代表相关基金份额10%以上（含10%）；</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2、现场开会的到会者在权益登记日代表的基金份额不少于本基金在权益登记日相关基金份额的二分之一（含二分之一）；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3、通讯开会的直接出具表决意见或授权他人代表出具表决意见的基金份额持有人所持有的基金份额不小于在权益登记日相关基金份额的二分之一（含二分之一）；</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5、现场开会由出席大会的基金份额持有人和代理人所持表决权的50%以上（含50%）选举产生一名基金份额持有人作为该次基金份额持</w:t>
      </w:r>
      <w:r w:rsidR="00EE6A8A" w:rsidRPr="00EE6A8A">
        <w:rPr>
          <w:rFonts w:ascii="宋体" w:eastAsia="宋体" w:hAnsi="宋体" w:cs="Helvetica"/>
          <w:color w:val="333333"/>
          <w:kern w:val="0"/>
          <w:sz w:val="24"/>
          <w:szCs w:val="24"/>
        </w:rPr>
        <w:lastRenderedPageBreak/>
        <w:t>有人大会的主持人；</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color w:val="333333"/>
          <w:kern w:val="0"/>
          <w:sz w:val="24"/>
          <w:szCs w:val="24"/>
        </w:rPr>
        <w:t>6、一般决议须经参加大会的基金份额持有人或其代理人所持表决权的二分之一以上（含二分之一）通过； 7、特别决议应当经参加大会的基金份额持有人或其代理人所持表决权的三分之二以上（含三分之二）通过。</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侧袋机制实施期间，关于基金份额持有人大会的相关规定以本节特殊约定内容为准，本节没有规定的适用上文相关约定。</w:t>
      </w:r>
      <w:r w:rsidRPr="00EA07B1">
        <w:rPr>
          <w:rFonts w:ascii="宋体" w:eastAsia="宋体" w:hAnsi="宋体" w:cs="Helvetica" w:hint="eastAsia"/>
          <w:color w:val="333333"/>
          <w:kern w:val="0"/>
          <w:sz w:val="24"/>
          <w:szCs w:val="24"/>
        </w:rPr>
        <w:t>”</w:t>
      </w:r>
    </w:p>
    <w:p w:rsidR="00EA07B1" w:rsidRDefault="00EA07B1" w:rsidP="00EE6A8A">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4）“基金的投资”章节增加侧袋机制的实施和投资运作安排：“</w:t>
      </w:r>
      <w:r w:rsidR="00EE6A8A" w:rsidRPr="00EE6A8A">
        <w:rPr>
          <w:rFonts w:ascii="宋体" w:eastAsia="宋体" w:hAnsi="宋体" w:cs="Helvetica" w:hint="eastAsia"/>
          <w:color w:val="333333"/>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r w:rsid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侧袋机制实施期间，本部分约定的投资组合比例、投资策略、组合限制、业绩比较基准、风险收益特征等约定仅适用于主袋账户。</w:t>
      </w:r>
      <w:r w:rsidR="00EE6A8A" w:rsidRPr="00EE6A8A">
        <w:rPr>
          <w:rFonts w:ascii="宋体" w:eastAsia="宋体" w:hAnsi="宋体" w:cs="Helvetica"/>
          <w:color w:val="333333"/>
          <w:kern w:val="0"/>
          <w:sz w:val="24"/>
          <w:szCs w:val="24"/>
        </w:rPr>
        <w:t xml:space="preserve"> </w:t>
      </w:r>
      <w:r w:rsidR="00EE6A8A" w:rsidRPr="00EE6A8A">
        <w:rPr>
          <w:rFonts w:ascii="宋体" w:eastAsia="宋体" w:hAnsi="宋体" w:cs="Helvetica" w:hint="eastAsia"/>
          <w:color w:val="333333"/>
          <w:kern w:val="0"/>
          <w:sz w:val="24"/>
          <w:szCs w:val="24"/>
        </w:rPr>
        <w:t>侧袋账户的实施条件、实施程序、运作安排、投资安排、特定资产的处置变现和支付等对投资者权益有重大影响的事项详见招募说明书的规定。</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5）“基金资产估值”章节将暂停估值情形中的“</w:t>
      </w:r>
      <w:r w:rsidR="004B28CE" w:rsidRPr="004B28CE">
        <w:rPr>
          <w:rFonts w:ascii="宋体" w:eastAsia="宋体" w:hAnsi="宋体" w:cs="Helvetica" w:hint="eastAsia"/>
          <w:color w:val="333333"/>
          <w:kern w:val="0"/>
          <w:sz w:val="24"/>
          <w:szCs w:val="24"/>
        </w:rPr>
        <w:t>当前一估值日基金资产净值</w:t>
      </w:r>
      <w:r w:rsidR="004B28CE" w:rsidRPr="004B28CE">
        <w:rPr>
          <w:rFonts w:ascii="宋体" w:eastAsia="宋体" w:hAnsi="宋体" w:cs="Helvetica"/>
          <w:color w:val="333333"/>
          <w:kern w:val="0"/>
          <w:sz w:val="24"/>
          <w:szCs w:val="24"/>
        </w:rPr>
        <w:t>50%以上的资产出现无可参考的活跃市场价格且采用估值技术仍导致公允价值存在重大不确定性时，经与基金托管人协商确认后，基金管理人应当暂停估值</w:t>
      </w:r>
      <w:r w:rsidRPr="00EA07B1">
        <w:rPr>
          <w:rFonts w:ascii="宋体" w:eastAsia="宋体" w:hAnsi="宋体" w:cs="Helvetica" w:hint="eastAsia"/>
          <w:color w:val="333333"/>
          <w:kern w:val="0"/>
          <w:sz w:val="24"/>
          <w:szCs w:val="24"/>
        </w:rPr>
        <w:t>”调整为“</w:t>
      </w:r>
      <w:r w:rsidR="004B28CE" w:rsidRPr="004B28CE">
        <w:rPr>
          <w:rFonts w:ascii="宋体" w:eastAsia="宋体" w:hAnsi="宋体" w:cs="Helvetica" w:hint="eastAsia"/>
          <w:color w:val="333333"/>
          <w:kern w:val="0"/>
          <w:sz w:val="24"/>
          <w:szCs w:val="24"/>
        </w:rPr>
        <w:t>当特定资产占前一估值日基金资产净值</w:t>
      </w:r>
      <w:r w:rsidR="004B28CE" w:rsidRPr="004B28CE">
        <w:rPr>
          <w:rFonts w:ascii="宋体" w:eastAsia="宋体" w:hAnsi="宋体" w:cs="Helvetica"/>
          <w:color w:val="333333"/>
          <w:kern w:val="0"/>
          <w:sz w:val="24"/>
          <w:szCs w:val="24"/>
        </w:rPr>
        <w:t>50%以上的，经与基金托管人协商确认后，基金管理人应当暂停估值</w:t>
      </w:r>
      <w:r w:rsidRPr="00EA07B1">
        <w:rPr>
          <w:rFonts w:ascii="宋体" w:eastAsia="宋体" w:hAnsi="宋体" w:cs="Helvetica" w:hint="eastAsia"/>
          <w:color w:val="333333"/>
          <w:kern w:val="0"/>
          <w:sz w:val="24"/>
          <w:szCs w:val="24"/>
        </w:rPr>
        <w:t>”，并增加实施侧袋机制期间的基金资产估值表述：“</w:t>
      </w:r>
      <w:r w:rsidR="004B28CE" w:rsidRPr="004B28CE">
        <w:rPr>
          <w:rFonts w:ascii="宋体" w:eastAsia="宋体" w:hAnsi="宋体" w:cs="Helvetica" w:hint="eastAsia"/>
          <w:color w:val="333333"/>
          <w:kern w:val="0"/>
          <w:sz w:val="24"/>
          <w:szCs w:val="24"/>
        </w:rPr>
        <w:t>本基金实施侧袋机制的，应根据本部分的约定对主袋账户资产进行估值并披露主袋账户的基金净值信息，暂停披露侧袋账户份额净值。</w:t>
      </w: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cr/>
      </w:r>
      <w:r>
        <w:rPr>
          <w:rFonts w:ascii="宋体" w:eastAsia="宋体" w:hAnsi="宋体" w:cs="Helvetica"/>
          <w:color w:val="333333"/>
          <w:kern w:val="0"/>
          <w:sz w:val="24"/>
          <w:szCs w:val="24"/>
        </w:rPr>
        <w:t xml:space="preserve">   </w:t>
      </w: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6）“基金费用与税收”章节增加实施侧袋机制期间的基金费用表述：“</w:t>
      </w:r>
      <w:r w:rsidR="004B28CE" w:rsidRPr="004B28CE">
        <w:rPr>
          <w:rFonts w:ascii="宋体" w:eastAsia="宋体" w:hAnsi="宋体" w:cs="Helvetica" w:hint="eastAsia"/>
          <w:color w:val="333333"/>
          <w:kern w:val="0"/>
          <w:sz w:val="24"/>
          <w:szCs w:val="24"/>
        </w:rPr>
        <w:t>本基金实施侧袋机制的，与侧袋账户有关的费用可以从侧袋账户中列支，但应待侧袋账户资产变现后方可列支，有关费用可酌情收取或减免，但不得收取管理费，详见招募说明书的规定。</w:t>
      </w:r>
      <w:r w:rsidRPr="00EA07B1">
        <w:rPr>
          <w:rFonts w:ascii="宋体" w:eastAsia="宋体" w:hAnsi="宋体" w:cs="Helvetica" w:hint="eastAsia"/>
          <w:color w:val="333333"/>
          <w:kern w:val="0"/>
          <w:sz w:val="24"/>
          <w:szCs w:val="24"/>
        </w:rPr>
        <w:t>”</w:t>
      </w:r>
    </w:p>
    <w:p w:rsidR="00EA07B1" w:rsidRP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7）“基金的收益与分配”章节增加实施侧袋机制期间的收益分配表述：“本</w:t>
      </w:r>
      <w:r w:rsidRPr="00EA07B1">
        <w:rPr>
          <w:rFonts w:ascii="宋体" w:eastAsia="宋体" w:hAnsi="宋体" w:cs="Helvetica" w:hint="eastAsia"/>
          <w:color w:val="333333"/>
          <w:kern w:val="0"/>
          <w:sz w:val="24"/>
          <w:szCs w:val="24"/>
        </w:rPr>
        <w:t>基金实施侧袋机制的，侧袋账户不进行收益分配，详见招募说明书的规定。”</w:t>
      </w:r>
    </w:p>
    <w:p w:rsidR="00EA07B1" w:rsidRDefault="00EA07B1" w:rsidP="00EA07B1">
      <w:pPr>
        <w:widowControl/>
        <w:spacing w:after="150" w:line="360" w:lineRule="auto"/>
        <w:ind w:firstLine="570"/>
        <w:jc w:val="left"/>
        <w:rPr>
          <w:rFonts w:ascii="宋体" w:eastAsia="宋体" w:hAnsi="宋体" w:cs="Helvetica"/>
          <w:color w:val="333333"/>
          <w:kern w:val="0"/>
          <w:sz w:val="24"/>
          <w:szCs w:val="24"/>
        </w:rPr>
      </w:pPr>
      <w:r w:rsidRPr="00EA07B1">
        <w:rPr>
          <w:rFonts w:ascii="宋体" w:eastAsia="宋体" w:hAnsi="宋体" w:cs="Helvetica" w:hint="eastAsia"/>
          <w:color w:val="333333"/>
          <w:kern w:val="0"/>
          <w:sz w:val="24"/>
          <w:szCs w:val="24"/>
        </w:rPr>
        <w:t>（</w:t>
      </w:r>
      <w:r w:rsidRPr="00EA07B1">
        <w:rPr>
          <w:rFonts w:ascii="宋体" w:eastAsia="宋体" w:hAnsi="宋体" w:cs="Helvetica"/>
          <w:color w:val="333333"/>
          <w:kern w:val="0"/>
          <w:sz w:val="24"/>
          <w:szCs w:val="24"/>
        </w:rPr>
        <w:t>8）“基金的信息披露”章节增加实施侧袋机制期间的信息披露表述：“</w:t>
      </w:r>
      <w:r w:rsidR="00E32401" w:rsidRPr="00E32401">
        <w:rPr>
          <w:rFonts w:ascii="宋体" w:eastAsia="宋体" w:hAnsi="宋体" w:cs="Helvetica" w:hint="eastAsia"/>
          <w:color w:val="333333"/>
          <w:kern w:val="0"/>
          <w:sz w:val="24"/>
          <w:szCs w:val="24"/>
        </w:rPr>
        <w:t>本基金实施侧袋机制的，相关信息披露义务人应当根据法律法规、基金合同和招募说明书的规定进行信息披露，详见招募说明书的规定。</w:t>
      </w:r>
      <w:r w:rsidRPr="00EA07B1">
        <w:rPr>
          <w:rFonts w:ascii="宋体" w:eastAsia="宋体" w:hAnsi="宋体" w:cs="Helvetica" w:hint="eastAsia"/>
          <w:color w:val="333333"/>
          <w:kern w:val="0"/>
          <w:sz w:val="24"/>
          <w:szCs w:val="24"/>
        </w:rPr>
        <w:t>”</w:t>
      </w:r>
    </w:p>
    <w:p w:rsidR="00386A12" w:rsidRPr="00386A12" w:rsidRDefault="00386A12" w:rsidP="00386A12">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2</w:t>
      </w:r>
      <w:r w:rsidRPr="00386A12">
        <w:rPr>
          <w:rFonts w:ascii="宋体" w:eastAsia="宋体" w:hAnsi="宋体" w:cs="Helvetica"/>
          <w:color w:val="333333"/>
          <w:kern w:val="0"/>
          <w:sz w:val="24"/>
          <w:szCs w:val="24"/>
        </w:rPr>
        <w:t>.托管协议涉及上述内容的条款已一并调整。</w:t>
      </w:r>
    </w:p>
    <w:p w:rsidR="00386A12" w:rsidRDefault="00386A12" w:rsidP="00EA07B1">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sidRPr="00386A12">
        <w:rPr>
          <w:rFonts w:ascii="宋体" w:eastAsia="宋体" w:hAnsi="宋体" w:cs="Helvetica"/>
          <w:color w:val="333333"/>
          <w:kern w:val="0"/>
          <w:sz w:val="24"/>
          <w:szCs w:val="24"/>
        </w:rPr>
        <w:t>.</w:t>
      </w:r>
      <w:r w:rsidRPr="00386A12">
        <w:rPr>
          <w:rFonts w:ascii="宋体" w:eastAsia="宋体" w:hAnsi="宋体" w:cs="Helvetica" w:hint="eastAsia"/>
          <w:color w:val="333333"/>
          <w:kern w:val="0"/>
          <w:sz w:val="24"/>
          <w:szCs w:val="24"/>
        </w:rPr>
        <w:t xml:space="preserve"> 因各基金的具体表述等不完全相同，各基金基金合同、托管协议中相应条款表述及</w:t>
      </w:r>
      <w:r>
        <w:rPr>
          <w:rFonts w:ascii="宋体" w:eastAsia="宋体" w:hAnsi="宋体" w:cs="Helvetica" w:hint="eastAsia"/>
          <w:color w:val="333333"/>
          <w:kern w:val="0"/>
          <w:sz w:val="24"/>
          <w:szCs w:val="24"/>
        </w:rPr>
        <w:t>修订位置可能存在</w:t>
      </w:r>
      <w:r w:rsidRPr="00386A12">
        <w:rPr>
          <w:rFonts w:ascii="宋体" w:eastAsia="宋体" w:hAnsi="宋体" w:cs="Helvetica" w:hint="eastAsia"/>
          <w:color w:val="333333"/>
          <w:kern w:val="0"/>
          <w:sz w:val="24"/>
          <w:szCs w:val="24"/>
        </w:rPr>
        <w:t>差异，详细修改内容请见各基金修改后的基金合同、托管协议。</w:t>
      </w:r>
    </w:p>
    <w:p w:rsidR="00516381" w:rsidRPr="00516381" w:rsidRDefault="00EA07B1" w:rsidP="006939C6">
      <w:pPr>
        <w:widowControl/>
        <w:spacing w:after="150" w:line="360" w:lineRule="auto"/>
        <w:ind w:firstLine="570"/>
        <w:jc w:val="left"/>
        <w:rPr>
          <w:rFonts w:ascii="宋体" w:eastAsia="宋体" w:hAnsi="宋体" w:cs="Helvetica"/>
          <w:b/>
          <w:color w:val="333333"/>
          <w:kern w:val="0"/>
          <w:sz w:val="24"/>
          <w:szCs w:val="24"/>
        </w:rPr>
      </w:pPr>
      <w:r w:rsidRPr="00516381">
        <w:rPr>
          <w:rFonts w:ascii="宋体" w:eastAsia="宋体" w:hAnsi="宋体" w:cs="Helvetica" w:hint="eastAsia"/>
          <w:b/>
          <w:color w:val="333333"/>
          <w:kern w:val="0"/>
          <w:sz w:val="24"/>
          <w:szCs w:val="24"/>
        </w:rPr>
        <w:t>三、</w:t>
      </w:r>
      <w:r w:rsidR="00516381" w:rsidRPr="00516381">
        <w:rPr>
          <w:rFonts w:ascii="宋体" w:eastAsia="宋体" w:hAnsi="宋体" w:cs="Helvetica" w:hint="eastAsia"/>
          <w:b/>
          <w:color w:val="333333"/>
          <w:kern w:val="0"/>
          <w:sz w:val="24"/>
          <w:szCs w:val="24"/>
        </w:rPr>
        <w:t>其他事项</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1、</w:t>
      </w:r>
      <w:r w:rsidRPr="00386A12">
        <w:rPr>
          <w:rFonts w:ascii="宋体" w:eastAsia="宋体" w:hAnsi="宋体" w:cs="Helvetica"/>
          <w:color w:val="333333"/>
          <w:kern w:val="0"/>
          <w:sz w:val="24"/>
          <w:szCs w:val="24"/>
        </w:rPr>
        <w:t>本次修订已履行规定程序，符合相关法律法规及基金合同的规定。</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2、</w:t>
      </w:r>
      <w:r w:rsidR="00717785">
        <w:rPr>
          <w:rFonts w:ascii="宋体" w:eastAsia="宋体" w:hAnsi="宋体" w:cs="Helvetica" w:hint="eastAsia"/>
          <w:color w:val="333333"/>
          <w:kern w:val="0"/>
          <w:sz w:val="24"/>
          <w:szCs w:val="24"/>
        </w:rPr>
        <w:t>上述基金合同、托管协议的修订事宜自2</w:t>
      </w:r>
      <w:r w:rsidR="00717785">
        <w:rPr>
          <w:rFonts w:ascii="宋体" w:eastAsia="宋体" w:hAnsi="宋体" w:cs="Helvetica"/>
          <w:color w:val="333333"/>
          <w:kern w:val="0"/>
          <w:sz w:val="24"/>
          <w:szCs w:val="24"/>
        </w:rPr>
        <w:t>021</w:t>
      </w:r>
      <w:r w:rsidR="00717785">
        <w:rPr>
          <w:rFonts w:ascii="宋体" w:eastAsia="宋体" w:hAnsi="宋体" w:cs="Helvetica" w:hint="eastAsia"/>
          <w:color w:val="333333"/>
          <w:kern w:val="0"/>
          <w:sz w:val="24"/>
          <w:szCs w:val="24"/>
        </w:rPr>
        <w:t>年7月1</w:t>
      </w:r>
      <w:r w:rsidR="00717785">
        <w:rPr>
          <w:rFonts w:ascii="宋体" w:eastAsia="宋体" w:hAnsi="宋体" w:cs="Helvetica"/>
          <w:color w:val="333333"/>
          <w:kern w:val="0"/>
          <w:sz w:val="24"/>
          <w:szCs w:val="24"/>
        </w:rPr>
        <w:t>3</w:t>
      </w:r>
      <w:r w:rsidR="00717785">
        <w:rPr>
          <w:rFonts w:ascii="宋体" w:eastAsia="宋体" w:hAnsi="宋体" w:cs="Helvetica" w:hint="eastAsia"/>
          <w:color w:val="333333"/>
          <w:kern w:val="0"/>
          <w:sz w:val="24"/>
          <w:szCs w:val="24"/>
        </w:rPr>
        <w:t>日起生效</w:t>
      </w:r>
      <w:r>
        <w:rPr>
          <w:rFonts w:ascii="宋体" w:eastAsia="宋体" w:hAnsi="宋体" w:cs="Helvetica" w:hint="eastAsia"/>
          <w:color w:val="333333"/>
          <w:kern w:val="0"/>
          <w:sz w:val="24"/>
          <w:szCs w:val="24"/>
        </w:rPr>
        <w:t>。</w:t>
      </w:r>
    </w:p>
    <w:p w:rsidR="00516381"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color w:val="333333"/>
          <w:kern w:val="0"/>
          <w:sz w:val="24"/>
          <w:szCs w:val="24"/>
        </w:rPr>
        <w:t>3</w:t>
      </w:r>
      <w:r>
        <w:rPr>
          <w:rFonts w:ascii="宋体" w:eastAsia="宋体" w:hAnsi="宋体" w:cs="Helvetica" w:hint="eastAsia"/>
          <w:color w:val="333333"/>
          <w:kern w:val="0"/>
          <w:sz w:val="24"/>
          <w:szCs w:val="24"/>
        </w:rPr>
        <w:t>、</w:t>
      </w:r>
      <w:r w:rsidR="002A489E">
        <w:rPr>
          <w:rFonts w:ascii="宋体" w:eastAsia="宋体" w:hAnsi="宋体" w:cs="Helvetica" w:hint="eastAsia"/>
          <w:color w:val="333333"/>
          <w:kern w:val="0"/>
          <w:sz w:val="24"/>
          <w:szCs w:val="24"/>
        </w:rPr>
        <w:t>本公司也</w:t>
      </w:r>
      <w:r w:rsidRPr="00516381">
        <w:rPr>
          <w:rFonts w:ascii="宋体" w:eastAsia="宋体" w:hAnsi="宋体" w:cs="Helvetica" w:hint="eastAsia"/>
          <w:color w:val="333333"/>
          <w:kern w:val="0"/>
          <w:sz w:val="24"/>
          <w:szCs w:val="24"/>
        </w:rPr>
        <w:t>对相关基金的招募说明书和产品资料概要作出相应更新并及时公告。投资人办理基金交易等相关业务前，应仔细阅读各基金的基金合同、招募说明书及其更新、产品资料概要</w:t>
      </w:r>
      <w:r w:rsidR="003879D3" w:rsidRPr="00516381">
        <w:rPr>
          <w:rFonts w:ascii="宋体" w:eastAsia="宋体" w:hAnsi="宋体" w:cs="Helvetica" w:hint="eastAsia"/>
          <w:color w:val="333333"/>
          <w:kern w:val="0"/>
          <w:sz w:val="24"/>
          <w:szCs w:val="24"/>
        </w:rPr>
        <w:t>及其更新</w:t>
      </w:r>
      <w:r w:rsidRPr="00516381">
        <w:rPr>
          <w:rFonts w:ascii="宋体" w:eastAsia="宋体" w:hAnsi="宋体" w:cs="Helvetica" w:hint="eastAsia"/>
          <w:color w:val="333333"/>
          <w:kern w:val="0"/>
          <w:sz w:val="24"/>
          <w:szCs w:val="24"/>
        </w:rPr>
        <w:t>等文件。</w:t>
      </w:r>
    </w:p>
    <w:p w:rsidR="00717785" w:rsidRPr="00D6123E" w:rsidRDefault="00516381" w:rsidP="006939C6">
      <w:pPr>
        <w:widowControl/>
        <w:spacing w:after="150" w:line="360" w:lineRule="auto"/>
        <w:ind w:firstLine="570"/>
        <w:jc w:val="left"/>
        <w:rPr>
          <w:rFonts w:ascii="宋体" w:eastAsia="宋体" w:hAnsi="宋体" w:cs="Helvetica"/>
          <w:color w:val="333333"/>
          <w:kern w:val="0"/>
          <w:sz w:val="24"/>
          <w:szCs w:val="24"/>
        </w:rPr>
      </w:pPr>
      <w:r>
        <w:rPr>
          <w:rFonts w:ascii="宋体" w:eastAsia="宋体" w:hAnsi="宋体" w:cs="Helvetica" w:hint="eastAsia"/>
          <w:color w:val="333333"/>
          <w:kern w:val="0"/>
          <w:sz w:val="24"/>
          <w:szCs w:val="24"/>
        </w:rPr>
        <w:t>4、</w:t>
      </w:r>
      <w:r w:rsidR="00717785">
        <w:rPr>
          <w:rFonts w:ascii="宋体" w:eastAsia="宋体" w:hAnsi="宋体" w:cs="Helvetica" w:hint="eastAsia"/>
          <w:color w:val="333333"/>
          <w:kern w:val="0"/>
          <w:sz w:val="24"/>
          <w:szCs w:val="24"/>
        </w:rPr>
        <w:t>修订后的各基金基金合同、托管协议全文将于本公告同日登载于</w:t>
      </w:r>
      <w:r w:rsidR="00717785" w:rsidRPr="00D6123E">
        <w:rPr>
          <w:rFonts w:ascii="宋体" w:eastAsia="宋体" w:hAnsi="宋体" w:cs="Helvetica" w:hint="eastAsia"/>
          <w:color w:val="333333"/>
          <w:kern w:val="0"/>
          <w:sz w:val="24"/>
          <w:szCs w:val="24"/>
        </w:rPr>
        <w:t>本公司网站（</w:t>
      </w:r>
      <w:r w:rsidR="00717785" w:rsidRPr="00D6123E">
        <w:rPr>
          <w:rFonts w:ascii="宋体" w:eastAsia="宋体" w:hAnsi="宋体" w:cs="Times New Roman"/>
          <w:color w:val="333333"/>
          <w:kern w:val="0"/>
          <w:sz w:val="24"/>
          <w:szCs w:val="24"/>
        </w:rPr>
        <w:t>www.fund.pingan.com</w:t>
      </w:r>
      <w:r w:rsidR="00717785" w:rsidRPr="00D6123E">
        <w:rPr>
          <w:rFonts w:ascii="宋体" w:eastAsia="宋体" w:hAnsi="宋体" w:cs="Helvetica" w:hint="eastAsia"/>
          <w:color w:val="333333"/>
          <w:kern w:val="0"/>
          <w:sz w:val="24"/>
          <w:szCs w:val="24"/>
        </w:rPr>
        <w:t>）</w:t>
      </w:r>
      <w:r w:rsidR="00717785">
        <w:rPr>
          <w:rFonts w:ascii="宋体" w:eastAsia="宋体" w:hAnsi="宋体" w:cs="Helvetica" w:hint="eastAsia"/>
          <w:color w:val="333333"/>
          <w:kern w:val="0"/>
          <w:sz w:val="24"/>
          <w:szCs w:val="24"/>
        </w:rPr>
        <w:t>及</w:t>
      </w:r>
      <w:r w:rsidR="00717785" w:rsidRPr="00CE6878">
        <w:rPr>
          <w:rFonts w:ascii="宋体" w:eastAsia="宋体" w:hAnsi="宋体" w:cs="Helvetica" w:hint="eastAsia"/>
          <w:color w:val="333333"/>
          <w:kern w:val="0"/>
          <w:sz w:val="24"/>
          <w:szCs w:val="24"/>
        </w:rPr>
        <w:t>中国证监会基金电子披露</w:t>
      </w:r>
      <w:r w:rsidR="00717785">
        <w:rPr>
          <w:rFonts w:ascii="宋体" w:eastAsia="宋体" w:hAnsi="宋体" w:cs="Helvetica" w:hint="eastAsia"/>
          <w:color w:val="333333"/>
          <w:kern w:val="0"/>
          <w:sz w:val="24"/>
          <w:szCs w:val="24"/>
        </w:rPr>
        <w:t>平台</w:t>
      </w:r>
      <w:r w:rsidR="00717785" w:rsidRPr="00717785">
        <w:rPr>
          <w:rFonts w:ascii="宋体" w:eastAsia="宋体" w:hAnsi="宋体" w:cs="Helvetica"/>
          <w:color w:val="333333"/>
          <w:kern w:val="0"/>
          <w:sz w:val="24"/>
          <w:szCs w:val="24"/>
        </w:rPr>
        <w:t>（http://eid.csrc.gov.cn/fund）</w:t>
      </w:r>
      <w:r w:rsidR="00717785">
        <w:rPr>
          <w:rFonts w:ascii="宋体" w:eastAsia="宋体" w:hAnsi="宋体" w:cs="Helvetica" w:hint="eastAsia"/>
          <w:color w:val="333333"/>
          <w:kern w:val="0"/>
          <w:sz w:val="24"/>
          <w:szCs w:val="24"/>
        </w:rPr>
        <w:t>。</w:t>
      </w:r>
      <w:r w:rsidR="00717785" w:rsidRPr="00D6123E">
        <w:rPr>
          <w:rFonts w:ascii="宋体" w:eastAsia="宋体" w:hAnsi="宋体" w:cs="Helvetica" w:hint="eastAsia"/>
          <w:color w:val="333333"/>
          <w:kern w:val="0"/>
          <w:sz w:val="24"/>
          <w:szCs w:val="24"/>
        </w:rPr>
        <w:t>投资者欲了解本基金的详细情况，</w:t>
      </w:r>
      <w:r w:rsidR="00717785">
        <w:rPr>
          <w:rFonts w:ascii="宋体" w:eastAsia="宋体" w:hAnsi="宋体" w:cs="Helvetica" w:hint="eastAsia"/>
          <w:color w:val="333333"/>
          <w:kern w:val="0"/>
          <w:sz w:val="24"/>
          <w:szCs w:val="24"/>
        </w:rPr>
        <w:t>可登录</w:t>
      </w:r>
      <w:r>
        <w:rPr>
          <w:rFonts w:ascii="宋体" w:eastAsia="宋体" w:hAnsi="宋体" w:cs="Helvetica" w:hint="eastAsia"/>
          <w:color w:val="333333"/>
          <w:kern w:val="0"/>
          <w:sz w:val="24"/>
          <w:szCs w:val="24"/>
        </w:rPr>
        <w:t>上述</w:t>
      </w:r>
      <w:r w:rsidR="00717785">
        <w:rPr>
          <w:rFonts w:ascii="宋体" w:eastAsia="宋体" w:hAnsi="宋体" w:cs="Helvetica" w:hint="eastAsia"/>
          <w:color w:val="333333"/>
          <w:kern w:val="0"/>
          <w:sz w:val="24"/>
          <w:szCs w:val="24"/>
        </w:rPr>
        <w:t>网站</w:t>
      </w:r>
      <w:r>
        <w:rPr>
          <w:rFonts w:ascii="宋体" w:eastAsia="宋体" w:hAnsi="宋体" w:cs="Helvetica" w:hint="eastAsia"/>
          <w:color w:val="333333"/>
          <w:kern w:val="0"/>
          <w:sz w:val="24"/>
          <w:szCs w:val="24"/>
        </w:rPr>
        <w:t>查阅修订后的基金合同、</w:t>
      </w:r>
      <w:r w:rsidR="00717785">
        <w:rPr>
          <w:rFonts w:ascii="宋体" w:eastAsia="宋体" w:hAnsi="宋体" w:cs="Helvetica" w:hint="eastAsia"/>
          <w:color w:val="333333"/>
          <w:kern w:val="0"/>
          <w:sz w:val="24"/>
          <w:szCs w:val="24"/>
        </w:rPr>
        <w:t>招募说明书</w:t>
      </w:r>
      <w:r w:rsidR="00717785" w:rsidRPr="00D55130">
        <w:rPr>
          <w:rFonts w:ascii="宋体" w:eastAsia="宋体" w:hAnsi="宋体" w:cs="Helvetica" w:hint="eastAsia"/>
          <w:color w:val="333333"/>
          <w:kern w:val="0"/>
          <w:sz w:val="24"/>
          <w:szCs w:val="24"/>
        </w:rPr>
        <w:t>或拨打客户服务电话（</w:t>
      </w:r>
      <w:r w:rsidR="00717785" w:rsidRPr="00D55130">
        <w:rPr>
          <w:rFonts w:ascii="宋体" w:eastAsia="宋体" w:hAnsi="宋体" w:cs="Helvetica"/>
          <w:color w:val="333333"/>
          <w:kern w:val="0"/>
          <w:sz w:val="24"/>
          <w:szCs w:val="24"/>
        </w:rPr>
        <w:t>400-800-4800）咨询相关信息</w:t>
      </w:r>
      <w:r w:rsidR="00717785" w:rsidRPr="00D6123E">
        <w:rPr>
          <w:rFonts w:ascii="宋体" w:eastAsia="宋体" w:hAnsi="宋体" w:cs="Helvetica" w:hint="eastAsia"/>
          <w:color w:val="333333"/>
          <w:kern w:val="0"/>
          <w:sz w:val="24"/>
          <w:szCs w:val="24"/>
        </w:rPr>
        <w:t>。</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风险提示：</w:t>
      </w:r>
      <w:r w:rsidRPr="00225698">
        <w:rPr>
          <w:rFonts w:ascii="宋体" w:eastAsia="宋体" w:hAnsi="宋体" w:cs="Helvetica"/>
          <w:color w:val="333333"/>
          <w:kern w:val="0"/>
          <w:sz w:val="24"/>
          <w:szCs w:val="24"/>
        </w:rPr>
        <w:t xml:space="preserve"> </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r w:rsidRPr="00225698">
        <w:rPr>
          <w:rFonts w:ascii="宋体" w:eastAsia="宋体" w:hAnsi="宋体" w:cs="Helvetica" w:hint="eastAsia"/>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及其更新和基金产品资料概要及其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16381" w:rsidRPr="00A00C7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本公告的解释权归平安基金管理有限公司。</w:t>
      </w:r>
    </w:p>
    <w:p w:rsidR="00516381" w:rsidRPr="00D6123E" w:rsidRDefault="00516381" w:rsidP="00516381">
      <w:pPr>
        <w:widowControl/>
        <w:spacing w:after="150" w:line="360" w:lineRule="auto"/>
        <w:ind w:firstLine="570"/>
        <w:jc w:val="left"/>
        <w:rPr>
          <w:rFonts w:ascii="宋体" w:eastAsia="宋体" w:hAnsi="宋体" w:cs="Helvetica"/>
          <w:color w:val="333333"/>
          <w:kern w:val="0"/>
          <w:sz w:val="24"/>
          <w:szCs w:val="24"/>
        </w:rPr>
      </w:pPr>
      <w:r w:rsidRPr="00D6123E">
        <w:rPr>
          <w:rFonts w:ascii="宋体" w:eastAsia="宋体" w:hAnsi="宋体" w:cs="Helvetica" w:hint="eastAsia"/>
          <w:color w:val="333333"/>
          <w:kern w:val="0"/>
          <w:sz w:val="24"/>
          <w:szCs w:val="24"/>
        </w:rPr>
        <w:t>特此公告。</w:t>
      </w:r>
    </w:p>
    <w:p w:rsidR="00516381" w:rsidRPr="00225698" w:rsidRDefault="00516381" w:rsidP="00516381">
      <w:pPr>
        <w:widowControl/>
        <w:spacing w:after="150" w:line="360" w:lineRule="auto"/>
        <w:ind w:firstLine="570"/>
        <w:jc w:val="left"/>
        <w:rPr>
          <w:rFonts w:ascii="宋体" w:eastAsia="宋体" w:hAnsi="宋体" w:cs="Helvetica"/>
          <w:color w:val="333333"/>
          <w:kern w:val="0"/>
          <w:sz w:val="24"/>
          <w:szCs w:val="24"/>
        </w:rPr>
      </w:pPr>
    </w:p>
    <w:p w:rsidR="00516381" w:rsidRDefault="00516381" w:rsidP="00516381">
      <w:pPr>
        <w:widowControl/>
        <w:spacing w:after="150" w:line="360" w:lineRule="auto"/>
        <w:ind w:firstLine="570"/>
        <w:jc w:val="right"/>
        <w:rPr>
          <w:rFonts w:ascii="宋体" w:eastAsia="宋体" w:hAnsi="宋体" w:cs="Helvetica"/>
          <w:color w:val="333333"/>
          <w:kern w:val="0"/>
          <w:sz w:val="24"/>
          <w:szCs w:val="24"/>
        </w:rPr>
      </w:pPr>
      <w:r w:rsidRPr="00225698">
        <w:rPr>
          <w:rFonts w:ascii="宋体" w:eastAsia="宋体" w:hAnsi="宋体" w:cs="Helvetica"/>
          <w:color w:val="333333"/>
          <w:kern w:val="0"/>
          <w:sz w:val="24"/>
          <w:szCs w:val="24"/>
        </w:rPr>
        <w:t xml:space="preserve">                                        </w:t>
      </w:r>
      <w:r w:rsidRPr="00D6123E">
        <w:rPr>
          <w:rFonts w:ascii="宋体" w:eastAsia="宋体" w:hAnsi="宋体" w:cs="Helvetica" w:hint="eastAsia"/>
          <w:color w:val="333333"/>
          <w:kern w:val="0"/>
          <w:sz w:val="24"/>
          <w:szCs w:val="24"/>
        </w:rPr>
        <w:t>平安基金管理有限公司</w:t>
      </w:r>
      <w:r w:rsidRPr="00225698">
        <w:rPr>
          <w:rFonts w:ascii="宋体" w:eastAsia="宋体" w:hAnsi="宋体" w:cs="Helvetica"/>
          <w:color w:val="333333"/>
          <w:kern w:val="0"/>
          <w:sz w:val="24"/>
          <w:szCs w:val="24"/>
        </w:rPr>
        <w:t xml:space="preserve">                                                                </w:t>
      </w:r>
      <w:r>
        <w:rPr>
          <w:rFonts w:ascii="宋体" w:eastAsia="宋体" w:hAnsi="宋体" w:cs="Helvetica" w:hint="eastAsia"/>
          <w:color w:val="333333"/>
          <w:kern w:val="0"/>
          <w:sz w:val="24"/>
          <w:szCs w:val="24"/>
        </w:rPr>
        <w:t>2021</w:t>
      </w:r>
      <w:r w:rsidRPr="00225698">
        <w:rPr>
          <w:rFonts w:ascii="宋体" w:eastAsia="宋体" w:hAnsi="宋体" w:cs="Helvetica"/>
          <w:color w:val="333333"/>
          <w:kern w:val="0"/>
          <w:sz w:val="24"/>
          <w:szCs w:val="24"/>
        </w:rPr>
        <w:t xml:space="preserve">年 </w:t>
      </w:r>
      <w:r>
        <w:rPr>
          <w:rFonts w:ascii="宋体" w:eastAsia="宋体" w:hAnsi="宋体" w:cs="Helvetica"/>
          <w:color w:val="333333"/>
          <w:kern w:val="0"/>
          <w:sz w:val="24"/>
          <w:szCs w:val="24"/>
        </w:rPr>
        <w:t>7</w:t>
      </w:r>
      <w:r w:rsidRPr="00225698">
        <w:rPr>
          <w:rFonts w:ascii="宋体" w:eastAsia="宋体" w:hAnsi="宋体" w:cs="Helvetica"/>
          <w:color w:val="333333"/>
          <w:kern w:val="0"/>
          <w:sz w:val="24"/>
          <w:szCs w:val="24"/>
        </w:rPr>
        <w:t>月</w:t>
      </w:r>
      <w:r>
        <w:rPr>
          <w:rFonts w:ascii="宋体" w:eastAsia="宋体" w:hAnsi="宋体" w:cs="Helvetica"/>
          <w:color w:val="333333"/>
          <w:kern w:val="0"/>
          <w:sz w:val="24"/>
          <w:szCs w:val="24"/>
        </w:rPr>
        <w:t>13</w:t>
      </w:r>
      <w:r w:rsidRPr="00225698">
        <w:rPr>
          <w:rFonts w:ascii="宋体" w:eastAsia="宋体" w:hAnsi="宋体" w:cs="Helvetica"/>
          <w:color w:val="333333"/>
          <w:kern w:val="0"/>
          <w:sz w:val="24"/>
          <w:szCs w:val="24"/>
        </w:rPr>
        <w:t>日</w:t>
      </w:r>
    </w:p>
    <w:sectPr w:rsidR="00516381" w:rsidSect="007047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AB" w:rsidRDefault="008664AB" w:rsidP="00413390">
      <w:r>
        <w:separator/>
      </w:r>
    </w:p>
  </w:endnote>
  <w:endnote w:type="continuationSeparator" w:id="0">
    <w:p w:rsidR="008664AB" w:rsidRDefault="008664AB" w:rsidP="0041339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32023"/>
      <w:docPartObj>
        <w:docPartGallery w:val="Page Numbers (Bottom of Page)"/>
        <w:docPartUnique/>
      </w:docPartObj>
    </w:sdtPr>
    <w:sdtContent>
      <w:p w:rsidR="00BB38EA" w:rsidRDefault="007047F2">
        <w:pPr>
          <w:pStyle w:val="a4"/>
          <w:jc w:val="center"/>
        </w:pPr>
        <w:r>
          <w:fldChar w:fldCharType="begin"/>
        </w:r>
        <w:r w:rsidR="00BB38EA">
          <w:instrText>PAGE   \* MERGEFORMAT</w:instrText>
        </w:r>
        <w:r>
          <w:fldChar w:fldCharType="separate"/>
        </w:r>
        <w:r w:rsidR="00FB1C70" w:rsidRPr="00FB1C70">
          <w:rPr>
            <w:noProof/>
            <w:lang w:val="zh-CN"/>
          </w:rPr>
          <w:t>1</w:t>
        </w:r>
        <w:r>
          <w:fldChar w:fldCharType="end"/>
        </w:r>
      </w:p>
    </w:sdtContent>
  </w:sdt>
  <w:p w:rsidR="00BB38EA" w:rsidRDefault="00BB38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AB" w:rsidRDefault="008664AB" w:rsidP="00413390">
      <w:r>
        <w:separator/>
      </w:r>
    </w:p>
  </w:footnote>
  <w:footnote w:type="continuationSeparator" w:id="0">
    <w:p w:rsidR="008664AB" w:rsidRDefault="008664AB" w:rsidP="00413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4DC"/>
    <w:rsid w:val="00032112"/>
    <w:rsid w:val="00056A2B"/>
    <w:rsid w:val="00066851"/>
    <w:rsid w:val="000B70CC"/>
    <w:rsid w:val="000C26D0"/>
    <w:rsid w:val="001156A7"/>
    <w:rsid w:val="001520C2"/>
    <w:rsid w:val="001562CA"/>
    <w:rsid w:val="001772CC"/>
    <w:rsid w:val="001B2BDB"/>
    <w:rsid w:val="001C1D1C"/>
    <w:rsid w:val="00203DC7"/>
    <w:rsid w:val="00225698"/>
    <w:rsid w:val="00245360"/>
    <w:rsid w:val="002660FC"/>
    <w:rsid w:val="002A2792"/>
    <w:rsid w:val="002A489E"/>
    <w:rsid w:val="00386A12"/>
    <w:rsid w:val="003879D3"/>
    <w:rsid w:val="003D28BE"/>
    <w:rsid w:val="003F6846"/>
    <w:rsid w:val="00413390"/>
    <w:rsid w:val="004415D7"/>
    <w:rsid w:val="00443013"/>
    <w:rsid w:val="00495395"/>
    <w:rsid w:val="004B28CE"/>
    <w:rsid w:val="004F6C64"/>
    <w:rsid w:val="00516381"/>
    <w:rsid w:val="00520727"/>
    <w:rsid w:val="005330EA"/>
    <w:rsid w:val="00536B9D"/>
    <w:rsid w:val="0055553B"/>
    <w:rsid w:val="00567ABA"/>
    <w:rsid w:val="00576FBE"/>
    <w:rsid w:val="005A4545"/>
    <w:rsid w:val="005B3C68"/>
    <w:rsid w:val="0066181D"/>
    <w:rsid w:val="0066569E"/>
    <w:rsid w:val="006812D7"/>
    <w:rsid w:val="00683B7D"/>
    <w:rsid w:val="006939C6"/>
    <w:rsid w:val="006F325E"/>
    <w:rsid w:val="007047F2"/>
    <w:rsid w:val="00717785"/>
    <w:rsid w:val="0078126F"/>
    <w:rsid w:val="008664AB"/>
    <w:rsid w:val="00871521"/>
    <w:rsid w:val="00896F03"/>
    <w:rsid w:val="008A6F9B"/>
    <w:rsid w:val="008C4AB3"/>
    <w:rsid w:val="008D65F4"/>
    <w:rsid w:val="008F44DC"/>
    <w:rsid w:val="00930F5D"/>
    <w:rsid w:val="00934BE2"/>
    <w:rsid w:val="009471F1"/>
    <w:rsid w:val="00990DE1"/>
    <w:rsid w:val="009A149C"/>
    <w:rsid w:val="009D6603"/>
    <w:rsid w:val="009E2FC4"/>
    <w:rsid w:val="009F5B71"/>
    <w:rsid w:val="009F63EC"/>
    <w:rsid w:val="00A00C7E"/>
    <w:rsid w:val="00A605DD"/>
    <w:rsid w:val="00A63BC6"/>
    <w:rsid w:val="00A93865"/>
    <w:rsid w:val="00AB2DC8"/>
    <w:rsid w:val="00B550F1"/>
    <w:rsid w:val="00BA149D"/>
    <w:rsid w:val="00BA156C"/>
    <w:rsid w:val="00BB38EA"/>
    <w:rsid w:val="00BB6665"/>
    <w:rsid w:val="00BF1FD6"/>
    <w:rsid w:val="00BF4457"/>
    <w:rsid w:val="00C60610"/>
    <w:rsid w:val="00C74B5A"/>
    <w:rsid w:val="00C93A63"/>
    <w:rsid w:val="00CE6878"/>
    <w:rsid w:val="00D40748"/>
    <w:rsid w:val="00D6123E"/>
    <w:rsid w:val="00D83358"/>
    <w:rsid w:val="00E06AF9"/>
    <w:rsid w:val="00E32401"/>
    <w:rsid w:val="00E50FFD"/>
    <w:rsid w:val="00E76990"/>
    <w:rsid w:val="00E95F48"/>
    <w:rsid w:val="00E96A9A"/>
    <w:rsid w:val="00EA07B1"/>
    <w:rsid w:val="00EA282D"/>
    <w:rsid w:val="00EE6A8A"/>
    <w:rsid w:val="00FB1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390"/>
    <w:rPr>
      <w:sz w:val="18"/>
      <w:szCs w:val="18"/>
    </w:rPr>
  </w:style>
  <w:style w:type="paragraph" w:styleId="a4">
    <w:name w:val="footer"/>
    <w:basedOn w:val="a"/>
    <w:link w:val="Char0"/>
    <w:uiPriority w:val="99"/>
    <w:unhideWhenUsed/>
    <w:rsid w:val="004133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3390"/>
    <w:rPr>
      <w:sz w:val="18"/>
      <w:szCs w:val="18"/>
    </w:rPr>
  </w:style>
  <w:style w:type="character" w:styleId="a5">
    <w:name w:val="Strong"/>
    <w:basedOn w:val="a0"/>
    <w:uiPriority w:val="22"/>
    <w:qFormat/>
    <w:rsid w:val="00413390"/>
    <w:rPr>
      <w:b/>
      <w:bCs/>
    </w:rPr>
  </w:style>
  <w:style w:type="paragraph" w:styleId="a6">
    <w:name w:val="Normal (Web)"/>
    <w:basedOn w:val="a"/>
    <w:uiPriority w:val="99"/>
    <w:semiHidden/>
    <w:unhideWhenUsed/>
    <w:rsid w:val="00413390"/>
    <w:pPr>
      <w:widowControl/>
      <w:spacing w:after="150"/>
      <w:jc w:val="left"/>
    </w:pPr>
    <w:rPr>
      <w:rFonts w:ascii="宋体" w:eastAsia="宋体" w:hAnsi="宋体" w:cs="宋体"/>
      <w:kern w:val="0"/>
      <w:sz w:val="24"/>
      <w:szCs w:val="24"/>
    </w:rPr>
  </w:style>
  <w:style w:type="paragraph" w:customStyle="1" w:styleId="Default">
    <w:name w:val="Default"/>
    <w:rsid w:val="00495395"/>
    <w:pPr>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1"/>
    <w:uiPriority w:val="99"/>
    <w:semiHidden/>
    <w:unhideWhenUsed/>
    <w:rsid w:val="00CE6878"/>
    <w:rPr>
      <w:sz w:val="18"/>
      <w:szCs w:val="18"/>
    </w:rPr>
  </w:style>
  <w:style w:type="character" w:customStyle="1" w:styleId="Char1">
    <w:name w:val="批注框文本 Char"/>
    <w:basedOn w:val="a0"/>
    <w:link w:val="a7"/>
    <w:uiPriority w:val="99"/>
    <w:semiHidden/>
    <w:rsid w:val="00CE6878"/>
    <w:rPr>
      <w:sz w:val="18"/>
      <w:szCs w:val="18"/>
    </w:rPr>
  </w:style>
  <w:style w:type="paragraph" w:styleId="a8">
    <w:name w:val="Revision"/>
    <w:hidden/>
    <w:uiPriority w:val="99"/>
    <w:semiHidden/>
    <w:rsid w:val="001156A7"/>
  </w:style>
  <w:style w:type="character" w:styleId="a9">
    <w:name w:val="annotation reference"/>
    <w:basedOn w:val="a0"/>
    <w:uiPriority w:val="99"/>
    <w:semiHidden/>
    <w:unhideWhenUsed/>
    <w:rsid w:val="00520727"/>
    <w:rPr>
      <w:sz w:val="21"/>
      <w:szCs w:val="21"/>
    </w:rPr>
  </w:style>
  <w:style w:type="paragraph" w:styleId="aa">
    <w:name w:val="annotation text"/>
    <w:basedOn w:val="a"/>
    <w:link w:val="Char2"/>
    <w:uiPriority w:val="99"/>
    <w:semiHidden/>
    <w:unhideWhenUsed/>
    <w:rsid w:val="00520727"/>
    <w:pPr>
      <w:jc w:val="left"/>
    </w:pPr>
  </w:style>
  <w:style w:type="character" w:customStyle="1" w:styleId="Char2">
    <w:name w:val="批注文字 Char"/>
    <w:basedOn w:val="a0"/>
    <w:link w:val="aa"/>
    <w:uiPriority w:val="99"/>
    <w:semiHidden/>
    <w:rsid w:val="00520727"/>
  </w:style>
  <w:style w:type="paragraph" w:styleId="ab">
    <w:name w:val="annotation subject"/>
    <w:basedOn w:val="aa"/>
    <w:next w:val="aa"/>
    <w:link w:val="Char3"/>
    <w:uiPriority w:val="99"/>
    <w:semiHidden/>
    <w:unhideWhenUsed/>
    <w:rsid w:val="00520727"/>
    <w:rPr>
      <w:b/>
      <w:bCs/>
    </w:rPr>
  </w:style>
  <w:style w:type="character" w:customStyle="1" w:styleId="Char3">
    <w:name w:val="批注主题 Char"/>
    <w:basedOn w:val="Char2"/>
    <w:link w:val="ab"/>
    <w:uiPriority w:val="99"/>
    <w:semiHidden/>
    <w:rsid w:val="00520727"/>
    <w:rPr>
      <w:b/>
      <w:bCs/>
    </w:rPr>
  </w:style>
</w:styles>
</file>

<file path=word/webSettings.xml><?xml version="1.0" encoding="utf-8"?>
<w:webSettings xmlns:r="http://schemas.openxmlformats.org/officeDocument/2006/relationships" xmlns:w="http://schemas.openxmlformats.org/wordprocessingml/2006/main">
  <w:divs>
    <w:div w:id="470749863">
      <w:bodyDiv w:val="1"/>
      <w:marLeft w:val="0"/>
      <w:marRight w:val="0"/>
      <w:marTop w:val="0"/>
      <w:marBottom w:val="0"/>
      <w:divBdr>
        <w:top w:val="none" w:sz="0" w:space="0" w:color="auto"/>
        <w:left w:val="none" w:sz="0" w:space="0" w:color="auto"/>
        <w:bottom w:val="none" w:sz="0" w:space="0" w:color="auto"/>
        <w:right w:val="none" w:sz="0" w:space="0" w:color="auto"/>
      </w:divBdr>
    </w:div>
    <w:div w:id="951087330">
      <w:bodyDiv w:val="1"/>
      <w:marLeft w:val="0"/>
      <w:marRight w:val="0"/>
      <w:marTop w:val="0"/>
      <w:marBottom w:val="0"/>
      <w:divBdr>
        <w:top w:val="none" w:sz="0" w:space="0" w:color="auto"/>
        <w:left w:val="none" w:sz="0" w:space="0" w:color="auto"/>
        <w:bottom w:val="none" w:sz="0" w:space="0" w:color="auto"/>
        <w:right w:val="none" w:sz="0" w:space="0" w:color="auto"/>
      </w:divBdr>
      <w:divsChild>
        <w:div w:id="320741850">
          <w:marLeft w:val="0"/>
          <w:marRight w:val="0"/>
          <w:marTop w:val="0"/>
          <w:marBottom w:val="0"/>
          <w:divBdr>
            <w:top w:val="none" w:sz="0" w:space="0" w:color="auto"/>
            <w:left w:val="none" w:sz="0" w:space="0" w:color="auto"/>
            <w:bottom w:val="none" w:sz="0" w:space="0" w:color="auto"/>
            <w:right w:val="none" w:sz="0" w:space="0" w:color="auto"/>
          </w:divBdr>
          <w:divsChild>
            <w:div w:id="470484582">
              <w:marLeft w:val="0"/>
              <w:marRight w:val="0"/>
              <w:marTop w:val="0"/>
              <w:marBottom w:val="0"/>
              <w:divBdr>
                <w:top w:val="none" w:sz="0" w:space="0" w:color="auto"/>
                <w:left w:val="none" w:sz="0" w:space="0" w:color="auto"/>
                <w:bottom w:val="none" w:sz="0" w:space="0" w:color="auto"/>
                <w:right w:val="none" w:sz="0" w:space="0" w:color="auto"/>
              </w:divBdr>
              <w:divsChild>
                <w:div w:id="1937011737">
                  <w:marLeft w:val="0"/>
                  <w:marRight w:val="0"/>
                  <w:marTop w:val="0"/>
                  <w:marBottom w:val="0"/>
                  <w:divBdr>
                    <w:top w:val="none" w:sz="0" w:space="0" w:color="auto"/>
                    <w:left w:val="none" w:sz="0" w:space="0" w:color="auto"/>
                    <w:bottom w:val="none" w:sz="0" w:space="0" w:color="auto"/>
                    <w:right w:val="none" w:sz="0" w:space="0" w:color="auto"/>
                  </w:divBdr>
                  <w:divsChild>
                    <w:div w:id="1225751200">
                      <w:marLeft w:val="0"/>
                      <w:marRight w:val="0"/>
                      <w:marTop w:val="0"/>
                      <w:marBottom w:val="0"/>
                      <w:divBdr>
                        <w:top w:val="none" w:sz="0" w:space="0" w:color="auto"/>
                        <w:left w:val="none" w:sz="0" w:space="0" w:color="auto"/>
                        <w:bottom w:val="none" w:sz="0" w:space="0" w:color="auto"/>
                        <w:right w:val="none" w:sz="0" w:space="0" w:color="auto"/>
                      </w:divBdr>
                      <w:divsChild>
                        <w:div w:id="1114862667">
                          <w:marLeft w:val="0"/>
                          <w:marRight w:val="0"/>
                          <w:marTop w:val="0"/>
                          <w:marBottom w:val="0"/>
                          <w:divBdr>
                            <w:top w:val="none" w:sz="0" w:space="0" w:color="auto"/>
                            <w:left w:val="none" w:sz="0" w:space="0" w:color="auto"/>
                            <w:bottom w:val="none" w:sz="0" w:space="0" w:color="auto"/>
                            <w:right w:val="none" w:sz="0" w:space="0" w:color="auto"/>
                          </w:divBdr>
                        </w:div>
                        <w:div w:id="2330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9228">
      <w:bodyDiv w:val="1"/>
      <w:marLeft w:val="0"/>
      <w:marRight w:val="0"/>
      <w:marTop w:val="0"/>
      <w:marBottom w:val="0"/>
      <w:divBdr>
        <w:top w:val="none" w:sz="0" w:space="0" w:color="auto"/>
        <w:left w:val="none" w:sz="0" w:space="0" w:color="auto"/>
        <w:bottom w:val="none" w:sz="0" w:space="0" w:color="auto"/>
        <w:right w:val="none" w:sz="0" w:space="0" w:color="auto"/>
      </w:divBdr>
    </w:div>
    <w:div w:id="16085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13B0-0553-40D4-B5A8-E779E28A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3080</Characters>
  <Application>Microsoft Office Word</Application>
  <DocSecurity>4</DocSecurity>
  <Lines>25</Lines>
  <Paragraphs>7</Paragraphs>
  <ScaleCrop>false</ScaleCrop>
  <Company>中国平安保险(集团)股份有限公司</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2021-07-12T16:27:00Z</dcterms:created>
  <dcterms:modified xsi:type="dcterms:W3CDTF">2021-07-12T16:27:00Z</dcterms:modified>
</cp:coreProperties>
</file>