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5C" w:rsidRPr="001E7589" w:rsidRDefault="00A10847" w:rsidP="001E7589">
      <w:pPr>
        <w:pStyle w:val="Default"/>
        <w:jc w:val="center"/>
        <w:rPr>
          <w:rFonts w:ascii="宋体" w:eastAsia="宋体" w:hAnsi="宋体"/>
          <w:b/>
          <w:bCs/>
          <w:sz w:val="28"/>
          <w:szCs w:val="28"/>
        </w:rPr>
      </w:pPr>
      <w:r w:rsidRPr="001E7589">
        <w:rPr>
          <w:rFonts w:ascii="宋体" w:eastAsia="宋体" w:hAnsi="宋体" w:hint="eastAsia"/>
          <w:b/>
          <w:bCs/>
          <w:sz w:val="28"/>
          <w:szCs w:val="28"/>
        </w:rPr>
        <w:t>关于泰达宏利基金管理有限公司旗下部分基金</w:t>
      </w:r>
      <w:r w:rsidR="00F4196C">
        <w:rPr>
          <w:rFonts w:ascii="宋体" w:eastAsia="宋体" w:hAnsi="宋体" w:hint="eastAsia"/>
          <w:b/>
          <w:bCs/>
          <w:sz w:val="28"/>
          <w:szCs w:val="28"/>
        </w:rPr>
        <w:t>参与</w:t>
      </w:r>
      <w:r w:rsidR="00537AB5">
        <w:rPr>
          <w:rFonts w:ascii="宋体" w:eastAsia="宋体" w:hAnsi="宋体" w:hint="eastAsia"/>
          <w:b/>
          <w:bCs/>
          <w:sz w:val="28"/>
          <w:szCs w:val="28"/>
        </w:rPr>
        <w:t>兴业证券</w:t>
      </w:r>
      <w:r w:rsidRPr="001E7589">
        <w:rPr>
          <w:rFonts w:ascii="宋体" w:eastAsia="宋体" w:hAnsi="宋体" w:hint="eastAsia"/>
          <w:b/>
          <w:bCs/>
          <w:sz w:val="28"/>
          <w:szCs w:val="28"/>
        </w:rPr>
        <w:t>股份有限公司</w:t>
      </w:r>
      <w:r w:rsidR="00D40237">
        <w:rPr>
          <w:rFonts w:ascii="宋体" w:eastAsia="宋体" w:hAnsi="宋体" w:hint="eastAsia"/>
          <w:b/>
          <w:bCs/>
          <w:sz w:val="28"/>
          <w:szCs w:val="28"/>
        </w:rPr>
        <w:t>费率优惠</w:t>
      </w:r>
      <w:r w:rsidRPr="001E7589">
        <w:rPr>
          <w:rFonts w:ascii="宋体" w:eastAsia="宋体" w:hAnsi="宋体" w:hint="eastAsia"/>
          <w:b/>
          <w:bCs/>
          <w:sz w:val="28"/>
          <w:szCs w:val="28"/>
        </w:rPr>
        <w:t>的公告</w:t>
      </w:r>
    </w:p>
    <w:p w:rsidR="00A10847" w:rsidRPr="001E7589" w:rsidRDefault="00A10847" w:rsidP="001E7589">
      <w:pPr>
        <w:pStyle w:val="Default"/>
        <w:jc w:val="center"/>
        <w:rPr>
          <w:rFonts w:ascii="宋体" w:eastAsia="宋体" w:hAnsi="宋体"/>
          <w:b/>
          <w:bCs/>
          <w:sz w:val="28"/>
          <w:szCs w:val="28"/>
        </w:rPr>
      </w:pPr>
    </w:p>
    <w:p w:rsidR="0066331C" w:rsidRDefault="008E59E7" w:rsidP="0066331C">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经</w:t>
      </w:r>
      <w:r w:rsidR="00A10847" w:rsidRPr="001E7589">
        <w:rPr>
          <w:rFonts w:ascii="宋体" w:eastAsia="宋体" w:hAnsi="宋体" w:cs="宋体" w:hint="eastAsia"/>
          <w:color w:val="000000"/>
          <w:kern w:val="0"/>
          <w:sz w:val="24"/>
          <w:szCs w:val="24"/>
        </w:rPr>
        <w:t>与</w:t>
      </w:r>
      <w:r w:rsidR="00537AB5">
        <w:rPr>
          <w:rFonts w:ascii="宋体" w:eastAsia="宋体" w:hAnsi="宋体" w:cs="宋体" w:hint="eastAsia"/>
          <w:color w:val="000000"/>
          <w:kern w:val="0"/>
          <w:sz w:val="24"/>
          <w:szCs w:val="24"/>
        </w:rPr>
        <w:t>兴业证券</w:t>
      </w:r>
      <w:r w:rsidR="00A10847" w:rsidRPr="001E7589">
        <w:rPr>
          <w:rFonts w:ascii="宋体" w:eastAsia="宋体" w:hAnsi="宋体" w:cs="宋体" w:hint="eastAsia"/>
          <w:color w:val="000000"/>
          <w:kern w:val="0"/>
          <w:sz w:val="24"/>
          <w:szCs w:val="24"/>
        </w:rPr>
        <w:t>股份有限公司（以下简称“</w:t>
      </w:r>
      <w:r w:rsidR="00537AB5">
        <w:rPr>
          <w:rFonts w:ascii="宋体" w:eastAsia="宋体" w:hAnsi="宋体" w:cs="宋体" w:hint="eastAsia"/>
          <w:color w:val="000000"/>
          <w:kern w:val="0"/>
          <w:sz w:val="24"/>
          <w:szCs w:val="24"/>
        </w:rPr>
        <w:t>兴业证券</w:t>
      </w:r>
      <w:r w:rsidR="00A10847" w:rsidRPr="001E7589">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协商一致，泰达宏利基金管理有限公司（以下简称“本公司”）指定旗下部分基金</w:t>
      </w:r>
      <w:r w:rsidR="00D40237">
        <w:rPr>
          <w:rFonts w:ascii="宋体" w:eastAsia="宋体" w:hAnsi="宋体" w:cs="宋体" w:hint="eastAsia"/>
          <w:color w:val="000000"/>
          <w:kern w:val="0"/>
          <w:sz w:val="24"/>
          <w:szCs w:val="24"/>
        </w:rPr>
        <w:t>自2</w:t>
      </w:r>
      <w:r w:rsidR="00D40237">
        <w:rPr>
          <w:rFonts w:ascii="宋体" w:eastAsia="宋体" w:hAnsi="宋体" w:cs="宋体"/>
          <w:color w:val="000000"/>
          <w:kern w:val="0"/>
          <w:sz w:val="24"/>
          <w:szCs w:val="24"/>
        </w:rPr>
        <w:t>02</w:t>
      </w:r>
      <w:r>
        <w:rPr>
          <w:rFonts w:ascii="宋体" w:eastAsia="宋体" w:hAnsi="宋体" w:cs="宋体"/>
          <w:color w:val="000000"/>
          <w:kern w:val="0"/>
          <w:sz w:val="24"/>
          <w:szCs w:val="24"/>
        </w:rPr>
        <w:t>1</w:t>
      </w:r>
      <w:r w:rsidR="00D40237">
        <w:rPr>
          <w:rFonts w:ascii="宋体" w:eastAsia="宋体" w:hAnsi="宋体" w:cs="宋体" w:hint="eastAsia"/>
          <w:color w:val="000000"/>
          <w:kern w:val="0"/>
          <w:sz w:val="24"/>
          <w:szCs w:val="24"/>
        </w:rPr>
        <w:t>年</w:t>
      </w:r>
      <w:r>
        <w:rPr>
          <w:rFonts w:ascii="宋体" w:eastAsia="宋体" w:hAnsi="宋体" w:cs="宋体"/>
          <w:color w:val="000000"/>
          <w:kern w:val="0"/>
          <w:sz w:val="24"/>
          <w:szCs w:val="24"/>
        </w:rPr>
        <w:t>7</w:t>
      </w:r>
      <w:r w:rsidR="00D40237">
        <w:rPr>
          <w:rFonts w:ascii="宋体" w:eastAsia="宋体" w:hAnsi="宋体" w:cs="宋体" w:hint="eastAsia"/>
          <w:color w:val="000000"/>
          <w:kern w:val="0"/>
          <w:sz w:val="24"/>
          <w:szCs w:val="24"/>
        </w:rPr>
        <w:t>月</w:t>
      </w:r>
      <w:r w:rsidR="00537AB5">
        <w:rPr>
          <w:rFonts w:ascii="宋体" w:eastAsia="宋体" w:hAnsi="宋体" w:cs="宋体"/>
          <w:color w:val="000000"/>
          <w:kern w:val="0"/>
          <w:sz w:val="24"/>
          <w:szCs w:val="24"/>
        </w:rPr>
        <w:t>14</w:t>
      </w:r>
      <w:r w:rsidR="00D40237">
        <w:rPr>
          <w:rFonts w:ascii="宋体" w:eastAsia="宋体" w:hAnsi="宋体" w:cs="宋体" w:hint="eastAsia"/>
          <w:color w:val="000000"/>
          <w:kern w:val="0"/>
          <w:sz w:val="24"/>
          <w:szCs w:val="24"/>
        </w:rPr>
        <w:t>日</w:t>
      </w:r>
      <w:r w:rsidR="00537AB5">
        <w:rPr>
          <w:rFonts w:ascii="宋体" w:eastAsia="宋体" w:hAnsi="宋体" w:cs="宋体" w:hint="eastAsia"/>
          <w:color w:val="000000"/>
          <w:kern w:val="0"/>
          <w:sz w:val="24"/>
          <w:szCs w:val="24"/>
        </w:rPr>
        <w:t>起</w:t>
      </w:r>
      <w:r>
        <w:rPr>
          <w:rFonts w:ascii="宋体" w:eastAsia="宋体" w:hAnsi="宋体" w:cs="宋体" w:hint="eastAsia"/>
          <w:color w:val="000000"/>
          <w:kern w:val="0"/>
          <w:sz w:val="24"/>
          <w:szCs w:val="24"/>
        </w:rPr>
        <w:t>参加</w:t>
      </w:r>
      <w:r w:rsidR="00537AB5">
        <w:rPr>
          <w:rFonts w:ascii="宋体" w:eastAsia="宋体" w:hAnsi="宋体" w:cs="宋体" w:hint="eastAsia"/>
          <w:color w:val="000000"/>
          <w:kern w:val="0"/>
          <w:sz w:val="24"/>
          <w:szCs w:val="24"/>
        </w:rPr>
        <w:t>兴业证券</w:t>
      </w:r>
      <w:r>
        <w:rPr>
          <w:rFonts w:ascii="宋体" w:eastAsia="宋体" w:hAnsi="宋体" w:cs="宋体" w:hint="eastAsia"/>
          <w:color w:val="000000"/>
          <w:kern w:val="0"/>
          <w:sz w:val="24"/>
          <w:szCs w:val="24"/>
        </w:rPr>
        <w:t>申购费率（含定期定额投资）</w:t>
      </w:r>
      <w:r w:rsidR="00D40237">
        <w:rPr>
          <w:rFonts w:ascii="宋体" w:eastAsia="宋体" w:hAnsi="宋体" w:cs="宋体" w:hint="eastAsia"/>
          <w:color w:val="000000"/>
          <w:kern w:val="0"/>
          <w:sz w:val="24"/>
          <w:szCs w:val="24"/>
        </w:rPr>
        <w:t>优惠活动，具体情况如下：</w:t>
      </w:r>
    </w:p>
    <w:p w:rsidR="00912917" w:rsidRPr="001E7589" w:rsidRDefault="0066331C" w:rsidP="00912917">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一、</w:t>
      </w:r>
      <w:r w:rsidR="008E59E7">
        <w:rPr>
          <w:rFonts w:ascii="宋体" w:eastAsia="宋体" w:hAnsi="宋体" w:cs="宋体" w:hint="eastAsia"/>
          <w:color w:val="000000"/>
          <w:kern w:val="0"/>
          <w:sz w:val="24"/>
          <w:szCs w:val="24"/>
        </w:rPr>
        <w:t>参与</w:t>
      </w:r>
      <w:r w:rsidR="00537AB5">
        <w:rPr>
          <w:rFonts w:ascii="宋体" w:eastAsia="宋体" w:hAnsi="宋体" w:cs="宋体" w:hint="eastAsia"/>
          <w:color w:val="000000"/>
          <w:kern w:val="0"/>
          <w:sz w:val="24"/>
          <w:szCs w:val="24"/>
        </w:rPr>
        <w:t>兴业证券</w:t>
      </w:r>
      <w:r w:rsidR="008E59E7">
        <w:rPr>
          <w:rFonts w:ascii="宋体" w:eastAsia="宋体" w:hAnsi="宋体" w:cs="宋体" w:hint="eastAsia"/>
          <w:color w:val="000000"/>
          <w:kern w:val="0"/>
          <w:sz w:val="24"/>
          <w:szCs w:val="24"/>
        </w:rPr>
        <w:t>申购费率（含定期定额投资）</w:t>
      </w:r>
      <w:r w:rsidR="008220E0">
        <w:rPr>
          <w:rFonts w:ascii="宋体" w:eastAsia="宋体" w:hAnsi="宋体" w:cs="宋体" w:hint="eastAsia"/>
          <w:color w:val="000000"/>
          <w:kern w:val="0"/>
          <w:sz w:val="24"/>
          <w:szCs w:val="24"/>
        </w:rPr>
        <w:t>优惠适用范围</w:t>
      </w:r>
      <w:r w:rsidR="001E7589">
        <w:rPr>
          <w:rFonts w:ascii="宋体" w:eastAsia="宋体" w:hAnsi="宋体" w:cs="宋体" w:hint="eastAsia"/>
          <w:color w:val="000000"/>
          <w:kern w:val="0"/>
          <w:sz w:val="24"/>
          <w:szCs w:val="24"/>
        </w:rPr>
        <w:t>：</w:t>
      </w:r>
    </w:p>
    <w:tbl>
      <w:tblPr>
        <w:tblStyle w:val="a3"/>
        <w:tblW w:w="8642" w:type="dxa"/>
        <w:tblLook w:val="04A0"/>
      </w:tblPr>
      <w:tblGrid>
        <w:gridCol w:w="704"/>
        <w:gridCol w:w="1843"/>
        <w:gridCol w:w="6095"/>
      </w:tblGrid>
      <w:tr w:rsidR="00A10847" w:rsidTr="00581A07">
        <w:tc>
          <w:tcPr>
            <w:tcW w:w="704"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序号</w:t>
            </w:r>
          </w:p>
        </w:tc>
        <w:tc>
          <w:tcPr>
            <w:tcW w:w="1843"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基金代码</w:t>
            </w:r>
          </w:p>
        </w:tc>
        <w:tc>
          <w:tcPr>
            <w:tcW w:w="6095" w:type="dxa"/>
          </w:tcPr>
          <w:p w:rsidR="00A10847" w:rsidRPr="001E7589" w:rsidRDefault="00A10847" w:rsidP="001E7589">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基金名称</w:t>
            </w:r>
          </w:p>
        </w:tc>
      </w:tr>
      <w:tr w:rsidR="003B303E" w:rsidTr="00581A07">
        <w:tc>
          <w:tcPr>
            <w:tcW w:w="704" w:type="dxa"/>
          </w:tcPr>
          <w:p w:rsidR="003B303E" w:rsidRPr="001F78B9" w:rsidRDefault="003B303E" w:rsidP="003B303E">
            <w:pPr>
              <w:pStyle w:val="a4"/>
              <w:ind w:firstLineChars="0" w:firstLine="0"/>
              <w:jc w:val="center"/>
              <w:rPr>
                <w:rFonts w:ascii="宋体" w:eastAsia="宋体" w:hAnsi="宋体"/>
                <w:sz w:val="24"/>
                <w:szCs w:val="24"/>
              </w:rPr>
            </w:pPr>
            <w:r w:rsidRPr="001F78B9">
              <w:rPr>
                <w:rFonts w:ascii="宋体" w:eastAsia="宋体" w:hAnsi="宋体"/>
                <w:sz w:val="24"/>
                <w:szCs w:val="24"/>
              </w:rPr>
              <w:t>1</w:t>
            </w:r>
          </w:p>
        </w:tc>
        <w:tc>
          <w:tcPr>
            <w:tcW w:w="1843"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000828</w:t>
            </w:r>
          </w:p>
        </w:tc>
        <w:tc>
          <w:tcPr>
            <w:tcW w:w="6095"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泰达宏利转型机遇股票型证券投资基金</w:t>
            </w:r>
          </w:p>
        </w:tc>
      </w:tr>
      <w:tr w:rsidR="003B303E" w:rsidTr="00581A07">
        <w:tc>
          <w:tcPr>
            <w:tcW w:w="704" w:type="dxa"/>
          </w:tcPr>
          <w:p w:rsidR="003B303E" w:rsidRPr="001F78B9" w:rsidRDefault="003B303E" w:rsidP="003B303E">
            <w:pPr>
              <w:pStyle w:val="a4"/>
              <w:ind w:firstLineChars="0" w:firstLine="0"/>
              <w:jc w:val="center"/>
              <w:rPr>
                <w:rFonts w:ascii="宋体" w:eastAsia="宋体" w:hAnsi="宋体"/>
                <w:sz w:val="24"/>
                <w:szCs w:val="24"/>
              </w:rPr>
            </w:pPr>
            <w:r w:rsidRPr="001F78B9">
              <w:rPr>
                <w:rFonts w:ascii="宋体" w:eastAsia="宋体" w:hAnsi="宋体"/>
                <w:sz w:val="24"/>
                <w:szCs w:val="24"/>
              </w:rPr>
              <w:t>2</w:t>
            </w:r>
          </w:p>
        </w:tc>
        <w:tc>
          <w:tcPr>
            <w:tcW w:w="1843"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001733</w:t>
            </w:r>
          </w:p>
        </w:tc>
        <w:tc>
          <w:tcPr>
            <w:tcW w:w="6095"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泰达宏利量化增强股票型证券投资基金</w:t>
            </w:r>
          </w:p>
        </w:tc>
      </w:tr>
      <w:tr w:rsidR="003B303E" w:rsidTr="00581A07">
        <w:tc>
          <w:tcPr>
            <w:tcW w:w="704" w:type="dxa"/>
          </w:tcPr>
          <w:p w:rsidR="003B303E" w:rsidRPr="001F78B9" w:rsidRDefault="00A50B19" w:rsidP="003B303E">
            <w:pPr>
              <w:pStyle w:val="a4"/>
              <w:ind w:firstLineChars="0" w:firstLine="0"/>
              <w:jc w:val="center"/>
              <w:rPr>
                <w:rFonts w:ascii="宋体" w:eastAsia="宋体" w:hAnsi="宋体"/>
                <w:sz w:val="24"/>
                <w:szCs w:val="24"/>
              </w:rPr>
            </w:pPr>
            <w:r>
              <w:rPr>
                <w:rFonts w:ascii="宋体" w:eastAsia="宋体" w:hAnsi="宋体" w:hint="eastAsia"/>
                <w:sz w:val="24"/>
                <w:szCs w:val="24"/>
              </w:rPr>
              <w:t>3</w:t>
            </w:r>
          </w:p>
        </w:tc>
        <w:tc>
          <w:tcPr>
            <w:tcW w:w="1843"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162208</w:t>
            </w:r>
          </w:p>
        </w:tc>
        <w:tc>
          <w:tcPr>
            <w:tcW w:w="6095"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泰达宏利首选企业股票型证券投资基金</w:t>
            </w:r>
          </w:p>
        </w:tc>
      </w:tr>
      <w:tr w:rsidR="003B303E" w:rsidTr="00581A07">
        <w:tc>
          <w:tcPr>
            <w:tcW w:w="704" w:type="dxa"/>
          </w:tcPr>
          <w:p w:rsidR="003B303E" w:rsidRPr="001F78B9" w:rsidRDefault="00A50B19" w:rsidP="003B303E">
            <w:pPr>
              <w:pStyle w:val="a4"/>
              <w:ind w:firstLineChars="0" w:firstLine="0"/>
              <w:jc w:val="center"/>
              <w:rPr>
                <w:rFonts w:ascii="宋体" w:eastAsia="宋体" w:hAnsi="宋体"/>
                <w:sz w:val="24"/>
                <w:szCs w:val="24"/>
              </w:rPr>
            </w:pPr>
            <w:r>
              <w:rPr>
                <w:rFonts w:ascii="宋体" w:eastAsia="宋体" w:hAnsi="宋体" w:hint="eastAsia"/>
                <w:sz w:val="24"/>
                <w:szCs w:val="24"/>
              </w:rPr>
              <w:t>4</w:t>
            </w:r>
          </w:p>
        </w:tc>
        <w:tc>
          <w:tcPr>
            <w:tcW w:w="1843"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000507</w:t>
            </w:r>
          </w:p>
        </w:tc>
        <w:tc>
          <w:tcPr>
            <w:tcW w:w="6095"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泰达宏利宏达混合型证券投资基金</w:t>
            </w:r>
            <w:r w:rsidR="004D03BE" w:rsidRPr="00A50B19">
              <w:rPr>
                <w:rFonts w:ascii="宋体" w:eastAsia="宋体" w:hAnsi="宋体" w:hint="eastAsia"/>
                <w:sz w:val="24"/>
                <w:szCs w:val="24"/>
              </w:rPr>
              <w:t>A类份额</w:t>
            </w:r>
          </w:p>
        </w:tc>
      </w:tr>
      <w:tr w:rsidR="003B303E" w:rsidTr="00581A07">
        <w:tc>
          <w:tcPr>
            <w:tcW w:w="704" w:type="dxa"/>
          </w:tcPr>
          <w:p w:rsidR="003B303E" w:rsidRPr="001F78B9" w:rsidRDefault="00A50B19" w:rsidP="003B303E">
            <w:pPr>
              <w:pStyle w:val="a4"/>
              <w:ind w:firstLineChars="0" w:firstLine="0"/>
              <w:jc w:val="center"/>
              <w:rPr>
                <w:rFonts w:ascii="宋体" w:eastAsia="宋体" w:hAnsi="宋体"/>
                <w:sz w:val="24"/>
                <w:szCs w:val="24"/>
              </w:rPr>
            </w:pPr>
            <w:r>
              <w:rPr>
                <w:rFonts w:ascii="宋体" w:eastAsia="宋体" w:hAnsi="宋体" w:hint="eastAsia"/>
                <w:sz w:val="24"/>
                <w:szCs w:val="24"/>
              </w:rPr>
              <w:t>5</w:t>
            </w:r>
          </w:p>
        </w:tc>
        <w:tc>
          <w:tcPr>
            <w:tcW w:w="1843"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001254</w:t>
            </w:r>
          </w:p>
        </w:tc>
        <w:tc>
          <w:tcPr>
            <w:tcW w:w="6095"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泰达宏利新起点灵活配置混合型证券投资基金</w:t>
            </w:r>
            <w:r w:rsidR="004D03BE" w:rsidRPr="00A50B19">
              <w:rPr>
                <w:rFonts w:ascii="宋体" w:eastAsia="宋体" w:hAnsi="宋体" w:hint="eastAsia"/>
                <w:sz w:val="24"/>
                <w:szCs w:val="24"/>
              </w:rPr>
              <w:t>A类份额</w:t>
            </w:r>
          </w:p>
        </w:tc>
      </w:tr>
      <w:tr w:rsidR="003B303E" w:rsidTr="00581A07">
        <w:tc>
          <w:tcPr>
            <w:tcW w:w="704" w:type="dxa"/>
          </w:tcPr>
          <w:p w:rsidR="003B303E" w:rsidRPr="001F78B9" w:rsidRDefault="00A50B19" w:rsidP="003B303E">
            <w:pPr>
              <w:pStyle w:val="a4"/>
              <w:ind w:firstLineChars="0" w:firstLine="0"/>
              <w:jc w:val="center"/>
              <w:rPr>
                <w:rFonts w:ascii="宋体" w:eastAsia="宋体" w:hAnsi="宋体"/>
                <w:sz w:val="24"/>
                <w:szCs w:val="24"/>
              </w:rPr>
            </w:pPr>
            <w:r>
              <w:rPr>
                <w:rFonts w:ascii="宋体" w:eastAsia="宋体" w:hAnsi="宋体" w:hint="eastAsia"/>
                <w:sz w:val="24"/>
                <w:szCs w:val="24"/>
              </w:rPr>
              <w:t>6</w:t>
            </w:r>
          </w:p>
        </w:tc>
        <w:tc>
          <w:tcPr>
            <w:tcW w:w="1843"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001267</w:t>
            </w:r>
          </w:p>
        </w:tc>
        <w:tc>
          <w:tcPr>
            <w:tcW w:w="6095"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泰达宏利蓝筹价值混合型证券投资基金</w:t>
            </w:r>
          </w:p>
        </w:tc>
      </w:tr>
      <w:tr w:rsidR="003B303E" w:rsidTr="00581A07">
        <w:tc>
          <w:tcPr>
            <w:tcW w:w="704" w:type="dxa"/>
          </w:tcPr>
          <w:p w:rsidR="003B303E" w:rsidRPr="001F78B9" w:rsidRDefault="00A50B19" w:rsidP="003B303E">
            <w:pPr>
              <w:pStyle w:val="a4"/>
              <w:ind w:firstLineChars="0" w:firstLine="0"/>
              <w:jc w:val="center"/>
              <w:rPr>
                <w:rFonts w:ascii="宋体" w:eastAsia="宋体" w:hAnsi="宋体"/>
                <w:sz w:val="24"/>
                <w:szCs w:val="24"/>
              </w:rPr>
            </w:pPr>
            <w:r>
              <w:rPr>
                <w:rFonts w:ascii="宋体" w:eastAsia="宋体" w:hAnsi="宋体" w:hint="eastAsia"/>
                <w:sz w:val="24"/>
                <w:szCs w:val="24"/>
              </w:rPr>
              <w:t>7</w:t>
            </w:r>
          </w:p>
        </w:tc>
        <w:tc>
          <w:tcPr>
            <w:tcW w:w="1843"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001419</w:t>
            </w:r>
          </w:p>
        </w:tc>
        <w:tc>
          <w:tcPr>
            <w:tcW w:w="6095"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泰达宏利新思路灵活配置混合型证券投资基金</w:t>
            </w:r>
            <w:r w:rsidR="004D03BE" w:rsidRPr="00A50B19">
              <w:rPr>
                <w:rFonts w:ascii="宋体" w:eastAsia="宋体" w:hAnsi="宋体" w:hint="eastAsia"/>
                <w:sz w:val="24"/>
                <w:szCs w:val="24"/>
              </w:rPr>
              <w:t>A类份额</w:t>
            </w:r>
          </w:p>
        </w:tc>
      </w:tr>
      <w:tr w:rsidR="003B303E" w:rsidTr="00581A07">
        <w:tc>
          <w:tcPr>
            <w:tcW w:w="704" w:type="dxa"/>
          </w:tcPr>
          <w:p w:rsidR="003B303E" w:rsidRPr="001F78B9" w:rsidRDefault="009B3026" w:rsidP="003B303E">
            <w:pPr>
              <w:pStyle w:val="a4"/>
              <w:ind w:firstLineChars="0" w:firstLine="0"/>
              <w:jc w:val="center"/>
              <w:rPr>
                <w:rFonts w:ascii="宋体" w:eastAsia="宋体" w:hAnsi="宋体"/>
                <w:sz w:val="24"/>
                <w:szCs w:val="24"/>
              </w:rPr>
            </w:pPr>
            <w:r>
              <w:rPr>
                <w:rFonts w:ascii="宋体" w:eastAsia="宋体" w:hAnsi="宋体"/>
                <w:sz w:val="24"/>
                <w:szCs w:val="24"/>
              </w:rPr>
              <w:t>8</w:t>
            </w:r>
          </w:p>
        </w:tc>
        <w:tc>
          <w:tcPr>
            <w:tcW w:w="1843"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003501</w:t>
            </w:r>
          </w:p>
        </w:tc>
        <w:tc>
          <w:tcPr>
            <w:tcW w:w="6095"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泰达宏利睿智稳健灵活配置混合型证券投资基金</w:t>
            </w:r>
          </w:p>
        </w:tc>
      </w:tr>
      <w:tr w:rsidR="003B303E" w:rsidTr="00581A07">
        <w:tc>
          <w:tcPr>
            <w:tcW w:w="704" w:type="dxa"/>
          </w:tcPr>
          <w:p w:rsidR="003B303E" w:rsidRPr="001F78B9" w:rsidRDefault="009B3026" w:rsidP="003B303E">
            <w:pPr>
              <w:pStyle w:val="a4"/>
              <w:ind w:firstLineChars="0" w:firstLine="0"/>
              <w:jc w:val="center"/>
              <w:rPr>
                <w:rFonts w:ascii="宋体" w:eastAsia="宋体" w:hAnsi="宋体"/>
                <w:sz w:val="24"/>
                <w:szCs w:val="24"/>
              </w:rPr>
            </w:pPr>
            <w:r>
              <w:rPr>
                <w:rFonts w:ascii="宋体" w:eastAsia="宋体" w:hAnsi="宋体"/>
                <w:sz w:val="24"/>
                <w:szCs w:val="24"/>
              </w:rPr>
              <w:t>9</w:t>
            </w:r>
          </w:p>
        </w:tc>
        <w:tc>
          <w:tcPr>
            <w:tcW w:w="1843"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162201</w:t>
            </w:r>
          </w:p>
        </w:tc>
        <w:tc>
          <w:tcPr>
            <w:tcW w:w="6095"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泰达宏利价值优化型成长类行业混合型证券投资基金</w:t>
            </w:r>
          </w:p>
        </w:tc>
      </w:tr>
      <w:tr w:rsidR="003B303E" w:rsidTr="00581A07">
        <w:tc>
          <w:tcPr>
            <w:tcW w:w="704" w:type="dxa"/>
          </w:tcPr>
          <w:p w:rsidR="003B303E" w:rsidRPr="001F78B9" w:rsidRDefault="003B303E" w:rsidP="003B303E">
            <w:pPr>
              <w:pStyle w:val="a4"/>
              <w:ind w:firstLineChars="0" w:firstLine="0"/>
              <w:jc w:val="center"/>
              <w:rPr>
                <w:rFonts w:ascii="宋体" w:eastAsia="宋体" w:hAnsi="宋体"/>
                <w:sz w:val="24"/>
                <w:szCs w:val="24"/>
              </w:rPr>
            </w:pPr>
            <w:r w:rsidRPr="001F78B9">
              <w:rPr>
                <w:rFonts w:ascii="宋体" w:eastAsia="宋体" w:hAnsi="宋体"/>
                <w:sz w:val="24"/>
                <w:szCs w:val="24"/>
              </w:rPr>
              <w:t>1</w:t>
            </w:r>
            <w:r w:rsidR="009B3026">
              <w:rPr>
                <w:rFonts w:ascii="宋体" w:eastAsia="宋体" w:hAnsi="宋体"/>
                <w:sz w:val="24"/>
                <w:szCs w:val="24"/>
              </w:rPr>
              <w:t>0</w:t>
            </w:r>
          </w:p>
        </w:tc>
        <w:tc>
          <w:tcPr>
            <w:tcW w:w="1843"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162202</w:t>
            </w:r>
          </w:p>
        </w:tc>
        <w:tc>
          <w:tcPr>
            <w:tcW w:w="6095"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泰达宏利价值优化型周期类行业混合型证券投资基金</w:t>
            </w:r>
          </w:p>
        </w:tc>
      </w:tr>
      <w:tr w:rsidR="003B303E" w:rsidTr="00581A07">
        <w:tc>
          <w:tcPr>
            <w:tcW w:w="704" w:type="dxa"/>
          </w:tcPr>
          <w:p w:rsidR="003B303E" w:rsidRPr="001F78B9" w:rsidRDefault="00A50B19" w:rsidP="003B303E">
            <w:pPr>
              <w:pStyle w:val="a4"/>
              <w:ind w:firstLineChars="0" w:firstLine="0"/>
              <w:jc w:val="center"/>
              <w:rPr>
                <w:rFonts w:ascii="宋体" w:eastAsia="宋体" w:hAnsi="宋体"/>
                <w:sz w:val="24"/>
                <w:szCs w:val="24"/>
              </w:rPr>
            </w:pPr>
            <w:r>
              <w:rPr>
                <w:rFonts w:ascii="宋体" w:eastAsia="宋体" w:hAnsi="宋体" w:hint="eastAsia"/>
                <w:sz w:val="24"/>
                <w:szCs w:val="24"/>
              </w:rPr>
              <w:t>1</w:t>
            </w:r>
            <w:r w:rsidR="009B3026">
              <w:rPr>
                <w:rFonts w:ascii="宋体" w:eastAsia="宋体" w:hAnsi="宋体"/>
                <w:sz w:val="24"/>
                <w:szCs w:val="24"/>
              </w:rPr>
              <w:t>1</w:t>
            </w:r>
          </w:p>
        </w:tc>
        <w:tc>
          <w:tcPr>
            <w:tcW w:w="1843"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162203</w:t>
            </w:r>
          </w:p>
        </w:tc>
        <w:tc>
          <w:tcPr>
            <w:tcW w:w="6095"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泰达宏利价值优化型稳定类行业混合型证券投资基金</w:t>
            </w:r>
          </w:p>
        </w:tc>
      </w:tr>
      <w:tr w:rsidR="003B303E" w:rsidTr="00581A07">
        <w:tc>
          <w:tcPr>
            <w:tcW w:w="704" w:type="dxa"/>
          </w:tcPr>
          <w:p w:rsidR="003B303E" w:rsidRPr="001F78B9" w:rsidRDefault="00A50B19" w:rsidP="003B303E">
            <w:pPr>
              <w:pStyle w:val="a4"/>
              <w:ind w:firstLineChars="0" w:firstLine="0"/>
              <w:jc w:val="center"/>
              <w:rPr>
                <w:rFonts w:ascii="宋体" w:eastAsia="宋体" w:hAnsi="宋体"/>
                <w:sz w:val="24"/>
                <w:szCs w:val="24"/>
              </w:rPr>
            </w:pPr>
            <w:r>
              <w:rPr>
                <w:rFonts w:ascii="宋体" w:eastAsia="宋体" w:hAnsi="宋体" w:hint="eastAsia"/>
                <w:sz w:val="24"/>
                <w:szCs w:val="24"/>
              </w:rPr>
              <w:t>1</w:t>
            </w:r>
            <w:r w:rsidR="009B3026">
              <w:rPr>
                <w:rFonts w:ascii="宋体" w:eastAsia="宋体" w:hAnsi="宋体"/>
                <w:sz w:val="24"/>
                <w:szCs w:val="24"/>
              </w:rPr>
              <w:t>2</w:t>
            </w:r>
          </w:p>
        </w:tc>
        <w:tc>
          <w:tcPr>
            <w:tcW w:w="1843"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162204</w:t>
            </w:r>
          </w:p>
        </w:tc>
        <w:tc>
          <w:tcPr>
            <w:tcW w:w="6095"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泰达宏利行业精选混合型证券投资基金</w:t>
            </w:r>
          </w:p>
        </w:tc>
      </w:tr>
      <w:tr w:rsidR="003B303E" w:rsidTr="00581A07">
        <w:tc>
          <w:tcPr>
            <w:tcW w:w="704" w:type="dxa"/>
          </w:tcPr>
          <w:p w:rsidR="003B303E" w:rsidRPr="001F78B9" w:rsidRDefault="00A50B19" w:rsidP="003B303E">
            <w:pPr>
              <w:pStyle w:val="a4"/>
              <w:ind w:firstLineChars="0" w:firstLine="0"/>
              <w:jc w:val="center"/>
              <w:rPr>
                <w:rFonts w:ascii="宋体" w:eastAsia="宋体" w:hAnsi="宋体"/>
                <w:sz w:val="24"/>
                <w:szCs w:val="24"/>
              </w:rPr>
            </w:pPr>
            <w:r>
              <w:rPr>
                <w:rFonts w:ascii="宋体" w:eastAsia="宋体" w:hAnsi="宋体" w:hint="eastAsia"/>
                <w:sz w:val="24"/>
                <w:szCs w:val="24"/>
              </w:rPr>
              <w:t>1</w:t>
            </w:r>
            <w:r w:rsidR="009B3026">
              <w:rPr>
                <w:rFonts w:ascii="宋体" w:eastAsia="宋体" w:hAnsi="宋体"/>
                <w:sz w:val="24"/>
                <w:szCs w:val="24"/>
              </w:rPr>
              <w:t>3</w:t>
            </w:r>
          </w:p>
        </w:tc>
        <w:tc>
          <w:tcPr>
            <w:tcW w:w="1843"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162205</w:t>
            </w:r>
          </w:p>
        </w:tc>
        <w:tc>
          <w:tcPr>
            <w:tcW w:w="6095" w:type="dxa"/>
          </w:tcPr>
          <w:p w:rsidR="003B303E" w:rsidRPr="00A50B19" w:rsidRDefault="003B303E" w:rsidP="003B303E">
            <w:pPr>
              <w:pStyle w:val="a4"/>
              <w:ind w:firstLineChars="0" w:firstLine="0"/>
              <w:jc w:val="center"/>
              <w:rPr>
                <w:rFonts w:ascii="宋体" w:eastAsia="宋体" w:hAnsi="宋体"/>
                <w:sz w:val="24"/>
                <w:szCs w:val="24"/>
              </w:rPr>
            </w:pPr>
            <w:r w:rsidRPr="00A50B19">
              <w:rPr>
                <w:rFonts w:ascii="宋体" w:eastAsia="宋体" w:hAnsi="宋体"/>
                <w:sz w:val="24"/>
                <w:szCs w:val="24"/>
              </w:rPr>
              <w:t>泰达宏利风险预算混合型证券投资基金</w:t>
            </w:r>
          </w:p>
        </w:tc>
      </w:tr>
      <w:tr w:rsidR="006B56CC" w:rsidTr="00581A07">
        <w:tc>
          <w:tcPr>
            <w:tcW w:w="704" w:type="dxa"/>
          </w:tcPr>
          <w:p w:rsidR="006B56CC" w:rsidRPr="001F78B9" w:rsidRDefault="00A50B19" w:rsidP="006B56CC">
            <w:pPr>
              <w:pStyle w:val="a4"/>
              <w:ind w:firstLineChars="0" w:firstLine="0"/>
              <w:jc w:val="center"/>
              <w:rPr>
                <w:rFonts w:ascii="宋体" w:eastAsia="宋体" w:hAnsi="宋体"/>
                <w:sz w:val="24"/>
                <w:szCs w:val="24"/>
              </w:rPr>
            </w:pPr>
            <w:r>
              <w:rPr>
                <w:rFonts w:ascii="宋体" w:eastAsia="宋体" w:hAnsi="宋体" w:hint="eastAsia"/>
                <w:sz w:val="24"/>
                <w:szCs w:val="24"/>
              </w:rPr>
              <w:t>1</w:t>
            </w:r>
            <w:r w:rsidR="009B3026">
              <w:rPr>
                <w:rFonts w:ascii="宋体" w:eastAsia="宋体" w:hAnsi="宋体"/>
                <w:sz w:val="24"/>
                <w:szCs w:val="24"/>
              </w:rPr>
              <w:t>4</w:t>
            </w:r>
          </w:p>
        </w:tc>
        <w:tc>
          <w:tcPr>
            <w:tcW w:w="1843" w:type="dxa"/>
          </w:tcPr>
          <w:p w:rsidR="006B56CC" w:rsidRPr="00A50B19" w:rsidRDefault="006B56CC" w:rsidP="006B56CC">
            <w:pPr>
              <w:pStyle w:val="Default"/>
              <w:jc w:val="center"/>
              <w:rPr>
                <w:rFonts w:ascii="宋体" w:eastAsia="宋体" w:hAnsi="宋体" w:cstheme="minorBidi"/>
                <w:color w:val="auto"/>
                <w:kern w:val="2"/>
              </w:rPr>
            </w:pPr>
            <w:r w:rsidRPr="00A50B19">
              <w:rPr>
                <w:rFonts w:ascii="宋体" w:eastAsia="宋体" w:hAnsi="宋体" w:cstheme="minorBidi"/>
                <w:color w:val="auto"/>
                <w:kern w:val="2"/>
              </w:rPr>
              <w:t>162207</w:t>
            </w:r>
          </w:p>
        </w:tc>
        <w:tc>
          <w:tcPr>
            <w:tcW w:w="6095" w:type="dxa"/>
          </w:tcPr>
          <w:p w:rsidR="006B56CC" w:rsidRPr="00A50B19" w:rsidRDefault="006B56CC" w:rsidP="006B56CC">
            <w:pPr>
              <w:pStyle w:val="Default"/>
              <w:jc w:val="center"/>
              <w:rPr>
                <w:rFonts w:ascii="宋体" w:eastAsia="宋体" w:hAnsi="宋体" w:cstheme="minorBidi"/>
                <w:color w:val="auto"/>
                <w:kern w:val="2"/>
              </w:rPr>
            </w:pPr>
            <w:r w:rsidRPr="00A50B19">
              <w:rPr>
                <w:rFonts w:ascii="宋体" w:eastAsia="宋体" w:hAnsi="宋体" w:cstheme="minorBidi" w:hint="eastAsia"/>
                <w:color w:val="auto"/>
                <w:kern w:val="2"/>
              </w:rPr>
              <w:t>泰达宏利效率优选混合型证券投资基金（</w:t>
            </w:r>
            <w:r w:rsidRPr="00A50B19">
              <w:rPr>
                <w:rFonts w:ascii="宋体" w:eastAsia="宋体" w:hAnsi="宋体" w:cstheme="minorBidi"/>
                <w:color w:val="auto"/>
                <w:kern w:val="2"/>
              </w:rPr>
              <w:t>LOF</w:t>
            </w:r>
            <w:r w:rsidRPr="00A50B19">
              <w:rPr>
                <w:rFonts w:ascii="宋体" w:eastAsia="宋体" w:hAnsi="宋体" w:cstheme="minorBidi" w:hint="eastAsia"/>
                <w:color w:val="auto"/>
                <w:kern w:val="2"/>
              </w:rPr>
              <w:t>）</w:t>
            </w:r>
          </w:p>
        </w:tc>
      </w:tr>
      <w:tr w:rsidR="00B84BBF" w:rsidTr="00581A07">
        <w:tc>
          <w:tcPr>
            <w:tcW w:w="704" w:type="dxa"/>
          </w:tcPr>
          <w:p w:rsidR="00B84BBF" w:rsidRPr="001F78B9" w:rsidRDefault="00A50B19" w:rsidP="00B84BBF">
            <w:pPr>
              <w:pStyle w:val="a4"/>
              <w:ind w:firstLineChars="0" w:firstLine="0"/>
              <w:jc w:val="center"/>
              <w:rPr>
                <w:rFonts w:ascii="宋体" w:eastAsia="宋体" w:hAnsi="宋体"/>
                <w:sz w:val="24"/>
                <w:szCs w:val="24"/>
              </w:rPr>
            </w:pPr>
            <w:r>
              <w:rPr>
                <w:rFonts w:ascii="宋体" w:eastAsia="宋体" w:hAnsi="宋体" w:hint="eastAsia"/>
                <w:sz w:val="24"/>
                <w:szCs w:val="24"/>
              </w:rPr>
              <w:t>1</w:t>
            </w:r>
            <w:r w:rsidR="009B3026">
              <w:rPr>
                <w:rFonts w:ascii="宋体" w:eastAsia="宋体" w:hAnsi="宋体"/>
                <w:sz w:val="24"/>
                <w:szCs w:val="24"/>
              </w:rPr>
              <w:t>5</w:t>
            </w:r>
          </w:p>
        </w:tc>
        <w:tc>
          <w:tcPr>
            <w:tcW w:w="1843" w:type="dxa"/>
          </w:tcPr>
          <w:p w:rsidR="00B84BBF" w:rsidRPr="00A50B19" w:rsidRDefault="00B84BBF" w:rsidP="00B84BBF">
            <w:pPr>
              <w:pStyle w:val="a4"/>
              <w:ind w:firstLineChars="0" w:firstLine="0"/>
              <w:jc w:val="center"/>
              <w:rPr>
                <w:rFonts w:ascii="宋体" w:eastAsia="宋体" w:hAnsi="宋体"/>
                <w:sz w:val="24"/>
                <w:szCs w:val="24"/>
              </w:rPr>
            </w:pPr>
            <w:r w:rsidRPr="00A50B19">
              <w:rPr>
                <w:rFonts w:ascii="宋体" w:eastAsia="宋体" w:hAnsi="宋体"/>
                <w:sz w:val="24"/>
                <w:szCs w:val="24"/>
              </w:rPr>
              <w:t>162215</w:t>
            </w:r>
          </w:p>
        </w:tc>
        <w:tc>
          <w:tcPr>
            <w:tcW w:w="6095" w:type="dxa"/>
          </w:tcPr>
          <w:p w:rsidR="00B84BBF" w:rsidRPr="00A50B19" w:rsidRDefault="00B84BBF" w:rsidP="00B84BBF">
            <w:pPr>
              <w:pStyle w:val="a4"/>
              <w:ind w:firstLineChars="0" w:firstLine="0"/>
              <w:jc w:val="center"/>
              <w:rPr>
                <w:rFonts w:ascii="宋体" w:eastAsia="宋体" w:hAnsi="宋体"/>
                <w:sz w:val="24"/>
                <w:szCs w:val="24"/>
              </w:rPr>
            </w:pPr>
            <w:r w:rsidRPr="00A50B19">
              <w:rPr>
                <w:rFonts w:ascii="宋体" w:eastAsia="宋体" w:hAnsi="宋体" w:hint="eastAsia"/>
                <w:sz w:val="24"/>
                <w:szCs w:val="24"/>
              </w:rPr>
              <w:t>泰达宏利聚利债券型证券投资基金（</w:t>
            </w:r>
            <w:r w:rsidRPr="00A50B19">
              <w:rPr>
                <w:rFonts w:ascii="宋体" w:eastAsia="宋体" w:hAnsi="宋体"/>
                <w:sz w:val="24"/>
                <w:szCs w:val="24"/>
              </w:rPr>
              <w:t>LOF</w:t>
            </w:r>
            <w:r w:rsidRPr="00A50B19">
              <w:rPr>
                <w:rFonts w:ascii="宋体" w:eastAsia="宋体" w:hAnsi="宋体" w:hint="eastAsia"/>
                <w:sz w:val="24"/>
                <w:szCs w:val="24"/>
              </w:rPr>
              <w:t>）</w:t>
            </w:r>
          </w:p>
        </w:tc>
      </w:tr>
      <w:tr w:rsidR="00B84BBF" w:rsidTr="00581A07">
        <w:tc>
          <w:tcPr>
            <w:tcW w:w="704" w:type="dxa"/>
          </w:tcPr>
          <w:p w:rsidR="00B84BBF" w:rsidRPr="001F78B9" w:rsidRDefault="00A50B19" w:rsidP="00B84BBF">
            <w:pPr>
              <w:pStyle w:val="a4"/>
              <w:ind w:firstLineChars="0" w:firstLine="0"/>
              <w:jc w:val="center"/>
              <w:rPr>
                <w:rFonts w:ascii="宋体" w:eastAsia="宋体" w:hAnsi="宋体"/>
                <w:sz w:val="24"/>
                <w:szCs w:val="24"/>
              </w:rPr>
            </w:pPr>
            <w:r>
              <w:rPr>
                <w:rFonts w:ascii="宋体" w:eastAsia="宋体" w:hAnsi="宋体" w:hint="eastAsia"/>
                <w:sz w:val="24"/>
                <w:szCs w:val="24"/>
              </w:rPr>
              <w:t>1</w:t>
            </w:r>
            <w:r w:rsidR="009B3026">
              <w:rPr>
                <w:rFonts w:ascii="宋体" w:eastAsia="宋体" w:hAnsi="宋体"/>
                <w:sz w:val="24"/>
                <w:szCs w:val="24"/>
              </w:rPr>
              <w:t>6</w:t>
            </w:r>
          </w:p>
        </w:tc>
        <w:tc>
          <w:tcPr>
            <w:tcW w:w="1843" w:type="dxa"/>
          </w:tcPr>
          <w:p w:rsidR="00B84BBF" w:rsidRPr="00A50B19" w:rsidRDefault="00B84BBF" w:rsidP="00B84BBF">
            <w:pPr>
              <w:pStyle w:val="a4"/>
              <w:ind w:firstLineChars="0" w:firstLine="0"/>
              <w:jc w:val="center"/>
              <w:rPr>
                <w:rFonts w:ascii="宋体" w:eastAsia="宋体" w:hAnsi="宋体"/>
                <w:sz w:val="24"/>
                <w:szCs w:val="24"/>
              </w:rPr>
            </w:pPr>
            <w:r w:rsidRPr="00A50B19">
              <w:rPr>
                <w:rFonts w:ascii="宋体" w:eastAsia="宋体" w:hAnsi="宋体"/>
                <w:sz w:val="24"/>
                <w:szCs w:val="24"/>
              </w:rPr>
              <w:t>162209</w:t>
            </w:r>
          </w:p>
        </w:tc>
        <w:tc>
          <w:tcPr>
            <w:tcW w:w="6095" w:type="dxa"/>
          </w:tcPr>
          <w:p w:rsidR="00B84BBF" w:rsidRPr="00A50B19" w:rsidRDefault="00B84BBF" w:rsidP="00B84BBF">
            <w:pPr>
              <w:pStyle w:val="a4"/>
              <w:ind w:firstLineChars="0" w:firstLine="0"/>
              <w:jc w:val="center"/>
              <w:rPr>
                <w:rFonts w:ascii="宋体" w:eastAsia="宋体" w:hAnsi="宋体"/>
                <w:sz w:val="24"/>
                <w:szCs w:val="24"/>
              </w:rPr>
            </w:pPr>
            <w:r w:rsidRPr="00A50B19">
              <w:rPr>
                <w:rFonts w:ascii="宋体" w:eastAsia="宋体" w:hAnsi="宋体"/>
                <w:sz w:val="24"/>
                <w:szCs w:val="24"/>
              </w:rPr>
              <w:t>泰达宏利市值优选混合型证券投资基金</w:t>
            </w:r>
          </w:p>
        </w:tc>
      </w:tr>
      <w:tr w:rsidR="00B84BBF" w:rsidTr="00581A07">
        <w:tc>
          <w:tcPr>
            <w:tcW w:w="704" w:type="dxa"/>
          </w:tcPr>
          <w:p w:rsidR="00B84BBF" w:rsidRPr="001F78B9" w:rsidRDefault="00A50B19" w:rsidP="00B84BBF">
            <w:pPr>
              <w:pStyle w:val="a4"/>
              <w:ind w:firstLineChars="0" w:firstLine="0"/>
              <w:jc w:val="center"/>
              <w:rPr>
                <w:rFonts w:ascii="宋体" w:eastAsia="宋体" w:hAnsi="宋体"/>
                <w:sz w:val="24"/>
                <w:szCs w:val="24"/>
              </w:rPr>
            </w:pPr>
            <w:r>
              <w:rPr>
                <w:rFonts w:ascii="宋体" w:eastAsia="宋体" w:hAnsi="宋体" w:hint="eastAsia"/>
                <w:sz w:val="24"/>
                <w:szCs w:val="24"/>
              </w:rPr>
              <w:t>1</w:t>
            </w:r>
            <w:r w:rsidR="009B3026">
              <w:rPr>
                <w:rFonts w:ascii="宋体" w:eastAsia="宋体" w:hAnsi="宋体"/>
                <w:sz w:val="24"/>
                <w:szCs w:val="24"/>
              </w:rPr>
              <w:t>7</w:t>
            </w:r>
          </w:p>
        </w:tc>
        <w:tc>
          <w:tcPr>
            <w:tcW w:w="1843" w:type="dxa"/>
          </w:tcPr>
          <w:p w:rsidR="00B84BBF" w:rsidRPr="00A50B19" w:rsidRDefault="00B84BBF" w:rsidP="00B84BBF">
            <w:pPr>
              <w:pStyle w:val="a4"/>
              <w:ind w:firstLineChars="0" w:firstLine="0"/>
              <w:jc w:val="center"/>
              <w:rPr>
                <w:rFonts w:ascii="宋体" w:eastAsia="宋体" w:hAnsi="宋体"/>
                <w:sz w:val="24"/>
                <w:szCs w:val="24"/>
              </w:rPr>
            </w:pPr>
            <w:r w:rsidRPr="00A50B19">
              <w:rPr>
                <w:rFonts w:ascii="宋体" w:eastAsia="宋体" w:hAnsi="宋体"/>
                <w:sz w:val="24"/>
                <w:szCs w:val="24"/>
              </w:rPr>
              <w:t>162211</w:t>
            </w:r>
          </w:p>
        </w:tc>
        <w:tc>
          <w:tcPr>
            <w:tcW w:w="6095" w:type="dxa"/>
          </w:tcPr>
          <w:p w:rsidR="00B84BBF" w:rsidRPr="00A50B19" w:rsidRDefault="00B84BBF" w:rsidP="00B84BBF">
            <w:pPr>
              <w:pStyle w:val="a4"/>
              <w:ind w:firstLineChars="0" w:firstLine="0"/>
              <w:jc w:val="center"/>
              <w:rPr>
                <w:rFonts w:ascii="宋体" w:eastAsia="宋体" w:hAnsi="宋体"/>
                <w:sz w:val="24"/>
                <w:szCs w:val="24"/>
              </w:rPr>
            </w:pPr>
            <w:r w:rsidRPr="00A50B19">
              <w:rPr>
                <w:rFonts w:ascii="宋体" w:eastAsia="宋体" w:hAnsi="宋体"/>
                <w:sz w:val="24"/>
                <w:szCs w:val="24"/>
              </w:rPr>
              <w:t>泰达宏利品质生活灵活配置混合型证券投资基金</w:t>
            </w:r>
          </w:p>
        </w:tc>
      </w:tr>
      <w:tr w:rsidR="00B84BBF" w:rsidTr="00581A07">
        <w:tc>
          <w:tcPr>
            <w:tcW w:w="704" w:type="dxa"/>
          </w:tcPr>
          <w:p w:rsidR="00B84BBF" w:rsidRPr="001F78B9" w:rsidRDefault="00A50B19" w:rsidP="00B84BBF">
            <w:pPr>
              <w:pStyle w:val="a4"/>
              <w:ind w:firstLineChars="0" w:firstLine="0"/>
              <w:jc w:val="center"/>
              <w:rPr>
                <w:rFonts w:ascii="宋体" w:eastAsia="宋体" w:hAnsi="宋体"/>
                <w:sz w:val="24"/>
                <w:szCs w:val="24"/>
              </w:rPr>
            </w:pPr>
            <w:r>
              <w:rPr>
                <w:rFonts w:ascii="宋体" w:eastAsia="宋体" w:hAnsi="宋体" w:hint="eastAsia"/>
                <w:sz w:val="24"/>
                <w:szCs w:val="24"/>
              </w:rPr>
              <w:t>1</w:t>
            </w:r>
            <w:r w:rsidR="009B3026">
              <w:rPr>
                <w:rFonts w:ascii="宋体" w:eastAsia="宋体" w:hAnsi="宋体"/>
                <w:sz w:val="24"/>
                <w:szCs w:val="24"/>
              </w:rPr>
              <w:t>8</w:t>
            </w:r>
          </w:p>
        </w:tc>
        <w:tc>
          <w:tcPr>
            <w:tcW w:w="1843" w:type="dxa"/>
          </w:tcPr>
          <w:p w:rsidR="00B84BBF" w:rsidRPr="00A50B19" w:rsidRDefault="00B84BBF" w:rsidP="00B84BBF">
            <w:pPr>
              <w:pStyle w:val="a4"/>
              <w:ind w:firstLineChars="0" w:firstLine="0"/>
              <w:jc w:val="center"/>
              <w:rPr>
                <w:rFonts w:ascii="宋体" w:eastAsia="宋体" w:hAnsi="宋体"/>
                <w:sz w:val="24"/>
                <w:szCs w:val="24"/>
              </w:rPr>
            </w:pPr>
            <w:r w:rsidRPr="00A50B19">
              <w:rPr>
                <w:rFonts w:ascii="宋体" w:eastAsia="宋体" w:hAnsi="宋体"/>
                <w:sz w:val="24"/>
                <w:szCs w:val="24"/>
              </w:rPr>
              <w:t>162212</w:t>
            </w:r>
          </w:p>
        </w:tc>
        <w:tc>
          <w:tcPr>
            <w:tcW w:w="6095" w:type="dxa"/>
          </w:tcPr>
          <w:p w:rsidR="00B84BBF" w:rsidRPr="00A50B19" w:rsidRDefault="00B84BBF" w:rsidP="00B84BBF">
            <w:pPr>
              <w:pStyle w:val="a4"/>
              <w:ind w:firstLineChars="0" w:firstLine="0"/>
              <w:jc w:val="center"/>
              <w:rPr>
                <w:rFonts w:ascii="宋体" w:eastAsia="宋体" w:hAnsi="宋体"/>
                <w:sz w:val="24"/>
                <w:szCs w:val="24"/>
              </w:rPr>
            </w:pPr>
            <w:r w:rsidRPr="00A50B19">
              <w:rPr>
                <w:rFonts w:ascii="宋体" w:eastAsia="宋体" w:hAnsi="宋体"/>
                <w:sz w:val="24"/>
                <w:szCs w:val="24"/>
              </w:rPr>
              <w:t>泰达宏利红利先锋混合型证券投资基金</w:t>
            </w:r>
          </w:p>
        </w:tc>
      </w:tr>
      <w:tr w:rsidR="00B84BBF" w:rsidTr="00581A07">
        <w:tc>
          <w:tcPr>
            <w:tcW w:w="704" w:type="dxa"/>
          </w:tcPr>
          <w:p w:rsidR="00B84BBF" w:rsidRPr="001F78B9" w:rsidRDefault="009B3026" w:rsidP="00B84BBF">
            <w:pPr>
              <w:pStyle w:val="a4"/>
              <w:ind w:firstLineChars="0" w:firstLine="0"/>
              <w:jc w:val="center"/>
              <w:rPr>
                <w:rFonts w:ascii="宋体" w:eastAsia="宋体" w:hAnsi="宋体"/>
                <w:sz w:val="24"/>
                <w:szCs w:val="24"/>
              </w:rPr>
            </w:pPr>
            <w:r>
              <w:rPr>
                <w:rFonts w:ascii="宋体" w:eastAsia="宋体" w:hAnsi="宋体"/>
                <w:sz w:val="24"/>
                <w:szCs w:val="24"/>
              </w:rPr>
              <w:t>19</w:t>
            </w:r>
          </w:p>
        </w:tc>
        <w:tc>
          <w:tcPr>
            <w:tcW w:w="1843" w:type="dxa"/>
          </w:tcPr>
          <w:p w:rsidR="00B84BBF" w:rsidRPr="00A50B19" w:rsidRDefault="00B84BBF" w:rsidP="00B84BBF">
            <w:pPr>
              <w:pStyle w:val="a4"/>
              <w:ind w:firstLineChars="0" w:firstLine="0"/>
              <w:jc w:val="center"/>
              <w:rPr>
                <w:rFonts w:ascii="宋体" w:eastAsia="宋体" w:hAnsi="宋体"/>
                <w:sz w:val="24"/>
                <w:szCs w:val="24"/>
              </w:rPr>
            </w:pPr>
            <w:r w:rsidRPr="00A50B19">
              <w:rPr>
                <w:rFonts w:ascii="宋体" w:eastAsia="宋体" w:hAnsi="宋体"/>
                <w:sz w:val="24"/>
                <w:szCs w:val="24"/>
              </w:rPr>
              <w:t>162214</w:t>
            </w:r>
          </w:p>
        </w:tc>
        <w:tc>
          <w:tcPr>
            <w:tcW w:w="6095" w:type="dxa"/>
          </w:tcPr>
          <w:p w:rsidR="00B84BBF" w:rsidRPr="00A50B19" w:rsidRDefault="00B84BBF" w:rsidP="00B84BBF">
            <w:pPr>
              <w:pStyle w:val="a4"/>
              <w:ind w:firstLineChars="0" w:firstLine="0"/>
              <w:jc w:val="center"/>
              <w:rPr>
                <w:rFonts w:ascii="宋体" w:eastAsia="宋体" w:hAnsi="宋体"/>
                <w:sz w:val="24"/>
                <w:szCs w:val="24"/>
              </w:rPr>
            </w:pPr>
            <w:r w:rsidRPr="00A50B19">
              <w:rPr>
                <w:rFonts w:ascii="宋体" w:eastAsia="宋体" w:hAnsi="宋体"/>
                <w:sz w:val="24"/>
                <w:szCs w:val="24"/>
              </w:rPr>
              <w:t>泰达宏利领先中小盘混合型证券投资基金</w:t>
            </w:r>
          </w:p>
        </w:tc>
      </w:tr>
      <w:tr w:rsidR="00B84BBF" w:rsidTr="00581A07">
        <w:tc>
          <w:tcPr>
            <w:tcW w:w="704" w:type="dxa"/>
          </w:tcPr>
          <w:p w:rsidR="00B84BBF" w:rsidRPr="001F78B9" w:rsidRDefault="00A50B19" w:rsidP="00B84BBF">
            <w:pPr>
              <w:pStyle w:val="Default"/>
              <w:jc w:val="center"/>
              <w:rPr>
                <w:rFonts w:ascii="宋体" w:eastAsia="宋体" w:hAnsi="宋体" w:cstheme="minorBidi"/>
                <w:color w:val="auto"/>
                <w:kern w:val="2"/>
              </w:rPr>
            </w:pPr>
            <w:r>
              <w:rPr>
                <w:rFonts w:ascii="宋体" w:eastAsia="宋体" w:hAnsi="宋体" w:cstheme="minorBidi" w:hint="eastAsia"/>
                <w:color w:val="auto"/>
                <w:kern w:val="2"/>
              </w:rPr>
              <w:t>2</w:t>
            </w:r>
            <w:r w:rsidR="009B3026">
              <w:rPr>
                <w:rFonts w:ascii="宋体" w:eastAsia="宋体" w:hAnsi="宋体" w:cstheme="minorBidi"/>
                <w:color w:val="auto"/>
                <w:kern w:val="2"/>
              </w:rPr>
              <w:t>0</w:t>
            </w:r>
          </w:p>
        </w:tc>
        <w:tc>
          <w:tcPr>
            <w:tcW w:w="1843" w:type="dxa"/>
          </w:tcPr>
          <w:p w:rsidR="00B84BBF" w:rsidRPr="00A50B19" w:rsidRDefault="00B84BBF" w:rsidP="00B84BBF">
            <w:pPr>
              <w:pStyle w:val="Default"/>
              <w:jc w:val="center"/>
              <w:rPr>
                <w:rFonts w:ascii="宋体" w:eastAsia="宋体" w:hAnsi="宋体" w:cstheme="minorBidi"/>
                <w:color w:val="auto"/>
                <w:kern w:val="2"/>
              </w:rPr>
            </w:pPr>
            <w:r w:rsidRPr="00A50B19">
              <w:rPr>
                <w:rFonts w:ascii="宋体" w:eastAsia="宋体" w:hAnsi="宋体" w:cstheme="minorBidi"/>
                <w:color w:val="auto"/>
                <w:kern w:val="2"/>
              </w:rPr>
              <w:t>162216</w:t>
            </w:r>
          </w:p>
        </w:tc>
        <w:tc>
          <w:tcPr>
            <w:tcW w:w="6095" w:type="dxa"/>
          </w:tcPr>
          <w:p w:rsidR="00B84BBF" w:rsidRPr="00A50B19" w:rsidRDefault="00B84BBF" w:rsidP="00B84BBF">
            <w:pPr>
              <w:pStyle w:val="Default"/>
              <w:rPr>
                <w:rFonts w:ascii="宋体" w:eastAsia="宋体" w:hAnsi="宋体" w:cstheme="minorBidi"/>
                <w:color w:val="auto"/>
                <w:kern w:val="2"/>
              </w:rPr>
            </w:pPr>
            <w:r w:rsidRPr="00A50B19">
              <w:rPr>
                <w:rFonts w:ascii="宋体" w:eastAsia="宋体" w:hAnsi="宋体" w:cstheme="minorBidi"/>
                <w:color w:val="auto"/>
                <w:kern w:val="2"/>
              </w:rPr>
              <w:t>泰达宏利中证500指数增强型证券投资基金（LOF）</w:t>
            </w:r>
          </w:p>
        </w:tc>
      </w:tr>
      <w:tr w:rsidR="00B84BBF" w:rsidTr="00581A07">
        <w:tc>
          <w:tcPr>
            <w:tcW w:w="704" w:type="dxa"/>
          </w:tcPr>
          <w:p w:rsidR="00B84BBF" w:rsidRPr="001F78B9" w:rsidRDefault="001F78B9" w:rsidP="00B84BBF">
            <w:pPr>
              <w:pStyle w:val="a4"/>
              <w:ind w:firstLineChars="0" w:firstLine="0"/>
              <w:jc w:val="center"/>
              <w:rPr>
                <w:rFonts w:ascii="宋体" w:eastAsia="宋体" w:hAnsi="宋体"/>
                <w:sz w:val="24"/>
                <w:szCs w:val="24"/>
              </w:rPr>
            </w:pPr>
            <w:r>
              <w:rPr>
                <w:rFonts w:ascii="宋体" w:eastAsia="宋体" w:hAnsi="宋体"/>
                <w:sz w:val="24"/>
                <w:szCs w:val="24"/>
              </w:rPr>
              <w:t>2</w:t>
            </w:r>
            <w:r w:rsidR="009B3026">
              <w:rPr>
                <w:rFonts w:ascii="宋体" w:eastAsia="宋体" w:hAnsi="宋体"/>
                <w:sz w:val="24"/>
                <w:szCs w:val="24"/>
              </w:rPr>
              <w:t>1</w:t>
            </w:r>
          </w:p>
        </w:tc>
        <w:tc>
          <w:tcPr>
            <w:tcW w:w="1843" w:type="dxa"/>
          </w:tcPr>
          <w:p w:rsidR="00B84BBF" w:rsidRPr="00A50B19" w:rsidRDefault="00B84BBF" w:rsidP="00B84BBF">
            <w:pPr>
              <w:pStyle w:val="a4"/>
              <w:ind w:firstLineChars="0" w:firstLine="0"/>
              <w:jc w:val="center"/>
              <w:rPr>
                <w:rFonts w:ascii="宋体" w:eastAsia="宋体" w:hAnsi="宋体"/>
                <w:sz w:val="24"/>
                <w:szCs w:val="24"/>
              </w:rPr>
            </w:pPr>
            <w:r w:rsidRPr="00A50B19">
              <w:rPr>
                <w:rFonts w:ascii="宋体" w:eastAsia="宋体" w:hAnsi="宋体"/>
                <w:sz w:val="24"/>
                <w:szCs w:val="24"/>
              </w:rPr>
              <w:t>229002</w:t>
            </w:r>
          </w:p>
        </w:tc>
        <w:tc>
          <w:tcPr>
            <w:tcW w:w="6095" w:type="dxa"/>
          </w:tcPr>
          <w:p w:rsidR="00B84BBF" w:rsidRPr="00A50B19" w:rsidRDefault="00B84BBF" w:rsidP="00B84BBF">
            <w:pPr>
              <w:pStyle w:val="a4"/>
              <w:ind w:firstLineChars="0" w:firstLine="0"/>
              <w:jc w:val="center"/>
              <w:rPr>
                <w:rFonts w:ascii="宋体" w:eastAsia="宋体" w:hAnsi="宋体"/>
                <w:sz w:val="24"/>
                <w:szCs w:val="24"/>
              </w:rPr>
            </w:pPr>
            <w:r w:rsidRPr="00A50B19">
              <w:rPr>
                <w:rFonts w:ascii="宋体" w:eastAsia="宋体" w:hAnsi="宋体"/>
                <w:sz w:val="24"/>
                <w:szCs w:val="24"/>
              </w:rPr>
              <w:t>泰达宏利逆向策略混合型证券投资基金</w:t>
            </w:r>
          </w:p>
        </w:tc>
      </w:tr>
      <w:tr w:rsidR="00B84BBF" w:rsidTr="00581A07">
        <w:tc>
          <w:tcPr>
            <w:tcW w:w="704" w:type="dxa"/>
          </w:tcPr>
          <w:p w:rsidR="00B84BBF" w:rsidRPr="001F78B9" w:rsidRDefault="00A50B19" w:rsidP="00B84BBF">
            <w:pPr>
              <w:pStyle w:val="a4"/>
              <w:ind w:firstLineChars="0" w:firstLine="0"/>
              <w:jc w:val="center"/>
              <w:rPr>
                <w:rFonts w:ascii="宋体" w:eastAsia="宋体" w:hAnsi="宋体"/>
                <w:sz w:val="24"/>
                <w:szCs w:val="24"/>
              </w:rPr>
            </w:pPr>
            <w:r>
              <w:rPr>
                <w:rFonts w:ascii="宋体" w:eastAsia="宋体" w:hAnsi="宋体" w:hint="eastAsia"/>
                <w:sz w:val="24"/>
                <w:szCs w:val="24"/>
              </w:rPr>
              <w:t>2</w:t>
            </w:r>
            <w:r w:rsidR="009B3026">
              <w:rPr>
                <w:rFonts w:ascii="宋体" w:eastAsia="宋体" w:hAnsi="宋体"/>
                <w:sz w:val="24"/>
                <w:szCs w:val="24"/>
              </w:rPr>
              <w:t>2</w:t>
            </w:r>
          </w:p>
        </w:tc>
        <w:tc>
          <w:tcPr>
            <w:tcW w:w="1843" w:type="dxa"/>
          </w:tcPr>
          <w:p w:rsidR="00B84BBF" w:rsidRPr="00A50B19" w:rsidRDefault="00B84BBF" w:rsidP="00B84BBF">
            <w:pPr>
              <w:pStyle w:val="a4"/>
              <w:ind w:firstLineChars="0" w:firstLine="0"/>
              <w:jc w:val="center"/>
              <w:rPr>
                <w:rFonts w:ascii="宋体" w:eastAsia="宋体" w:hAnsi="宋体"/>
                <w:sz w:val="24"/>
                <w:szCs w:val="24"/>
              </w:rPr>
            </w:pPr>
            <w:r w:rsidRPr="00A50B19">
              <w:rPr>
                <w:rFonts w:ascii="宋体" w:eastAsia="宋体" w:hAnsi="宋体"/>
                <w:sz w:val="24"/>
                <w:szCs w:val="24"/>
              </w:rPr>
              <w:t>162213</w:t>
            </w:r>
          </w:p>
        </w:tc>
        <w:tc>
          <w:tcPr>
            <w:tcW w:w="6095" w:type="dxa"/>
          </w:tcPr>
          <w:p w:rsidR="00B84BBF" w:rsidRPr="00A50B19" w:rsidRDefault="00B84BBF" w:rsidP="00B84BBF">
            <w:pPr>
              <w:pStyle w:val="a4"/>
              <w:ind w:firstLineChars="0" w:firstLine="0"/>
              <w:jc w:val="center"/>
              <w:rPr>
                <w:rFonts w:ascii="宋体" w:eastAsia="宋体" w:hAnsi="宋体"/>
                <w:sz w:val="24"/>
                <w:szCs w:val="24"/>
              </w:rPr>
            </w:pPr>
            <w:r w:rsidRPr="00A50B19">
              <w:rPr>
                <w:rFonts w:ascii="宋体" w:eastAsia="宋体" w:hAnsi="宋体"/>
                <w:sz w:val="24"/>
                <w:szCs w:val="24"/>
              </w:rPr>
              <w:t>泰达宏利沪深300指数增强型证券投资基金</w:t>
            </w:r>
            <w:r w:rsidR="004D03BE" w:rsidRPr="00A50B19">
              <w:rPr>
                <w:rFonts w:ascii="宋体" w:eastAsia="宋体" w:hAnsi="宋体" w:hint="eastAsia"/>
                <w:sz w:val="24"/>
                <w:szCs w:val="24"/>
              </w:rPr>
              <w:t>A类份额</w:t>
            </w:r>
          </w:p>
        </w:tc>
      </w:tr>
      <w:tr w:rsidR="00B84BBF" w:rsidTr="00581A07">
        <w:tc>
          <w:tcPr>
            <w:tcW w:w="704" w:type="dxa"/>
          </w:tcPr>
          <w:p w:rsidR="00B84BBF" w:rsidRPr="001F78B9" w:rsidRDefault="00A50B19" w:rsidP="00B84BBF">
            <w:pPr>
              <w:pStyle w:val="a4"/>
              <w:ind w:firstLineChars="0" w:firstLine="0"/>
              <w:jc w:val="center"/>
              <w:rPr>
                <w:rFonts w:ascii="宋体" w:eastAsia="宋体" w:hAnsi="宋体"/>
                <w:sz w:val="24"/>
                <w:szCs w:val="24"/>
              </w:rPr>
            </w:pPr>
            <w:r>
              <w:rPr>
                <w:rFonts w:ascii="宋体" w:eastAsia="宋体" w:hAnsi="宋体" w:hint="eastAsia"/>
                <w:sz w:val="24"/>
                <w:szCs w:val="24"/>
              </w:rPr>
              <w:t>2</w:t>
            </w:r>
            <w:r w:rsidR="009B3026">
              <w:rPr>
                <w:rFonts w:ascii="宋体" w:eastAsia="宋体" w:hAnsi="宋体"/>
                <w:sz w:val="24"/>
                <w:szCs w:val="24"/>
              </w:rPr>
              <w:t>3</w:t>
            </w:r>
          </w:p>
        </w:tc>
        <w:tc>
          <w:tcPr>
            <w:tcW w:w="1843" w:type="dxa"/>
          </w:tcPr>
          <w:p w:rsidR="00B84BBF" w:rsidRPr="00A50B19" w:rsidRDefault="00B84BBF" w:rsidP="00B84BBF">
            <w:pPr>
              <w:pStyle w:val="a4"/>
              <w:ind w:firstLineChars="0" w:firstLine="0"/>
              <w:jc w:val="center"/>
              <w:rPr>
                <w:rFonts w:ascii="宋体" w:eastAsia="宋体" w:hAnsi="宋体"/>
                <w:sz w:val="24"/>
                <w:szCs w:val="24"/>
              </w:rPr>
            </w:pPr>
            <w:r w:rsidRPr="00A50B19">
              <w:rPr>
                <w:rFonts w:ascii="宋体" w:eastAsia="宋体" w:hAnsi="宋体"/>
                <w:sz w:val="24"/>
                <w:szCs w:val="24"/>
              </w:rPr>
              <w:t>000319</w:t>
            </w:r>
          </w:p>
        </w:tc>
        <w:tc>
          <w:tcPr>
            <w:tcW w:w="6095" w:type="dxa"/>
          </w:tcPr>
          <w:p w:rsidR="00B84BBF" w:rsidRPr="00A50B19" w:rsidRDefault="00B84BBF" w:rsidP="00B84BBF">
            <w:pPr>
              <w:pStyle w:val="a4"/>
              <w:ind w:firstLineChars="0" w:firstLine="0"/>
              <w:jc w:val="center"/>
              <w:rPr>
                <w:rFonts w:ascii="宋体" w:eastAsia="宋体" w:hAnsi="宋体"/>
                <w:sz w:val="24"/>
                <w:szCs w:val="24"/>
              </w:rPr>
            </w:pPr>
            <w:r w:rsidRPr="00A50B19">
              <w:rPr>
                <w:rFonts w:ascii="宋体" w:eastAsia="宋体" w:hAnsi="宋体"/>
                <w:sz w:val="24"/>
                <w:szCs w:val="24"/>
              </w:rPr>
              <w:t>泰达宏利淘利债券型证券投资基</w:t>
            </w:r>
            <w:bookmarkStart w:id="0" w:name="_GoBack"/>
            <w:bookmarkEnd w:id="0"/>
            <w:r w:rsidRPr="00A50B19">
              <w:rPr>
                <w:rFonts w:ascii="宋体" w:eastAsia="宋体" w:hAnsi="宋体"/>
                <w:sz w:val="24"/>
                <w:szCs w:val="24"/>
              </w:rPr>
              <w:t>金</w:t>
            </w:r>
            <w:r w:rsidR="004D03BE" w:rsidRPr="00A50B19">
              <w:rPr>
                <w:rFonts w:ascii="宋体" w:eastAsia="宋体" w:hAnsi="宋体" w:hint="eastAsia"/>
                <w:sz w:val="24"/>
                <w:szCs w:val="24"/>
              </w:rPr>
              <w:t>A类份额</w:t>
            </w:r>
          </w:p>
        </w:tc>
      </w:tr>
      <w:tr w:rsidR="00B84BBF" w:rsidTr="00581A07">
        <w:tc>
          <w:tcPr>
            <w:tcW w:w="704" w:type="dxa"/>
          </w:tcPr>
          <w:p w:rsidR="00B84BBF" w:rsidRPr="001F78B9" w:rsidRDefault="00A50B19" w:rsidP="00B84BBF">
            <w:pPr>
              <w:pStyle w:val="a4"/>
              <w:ind w:firstLineChars="0" w:firstLine="0"/>
              <w:jc w:val="center"/>
              <w:rPr>
                <w:rFonts w:ascii="宋体" w:eastAsia="宋体" w:hAnsi="宋体"/>
                <w:sz w:val="24"/>
                <w:szCs w:val="24"/>
              </w:rPr>
            </w:pPr>
            <w:r>
              <w:rPr>
                <w:rFonts w:ascii="宋体" w:eastAsia="宋体" w:hAnsi="宋体" w:hint="eastAsia"/>
                <w:sz w:val="24"/>
                <w:szCs w:val="24"/>
              </w:rPr>
              <w:t>2</w:t>
            </w:r>
            <w:r w:rsidR="009B3026">
              <w:rPr>
                <w:rFonts w:ascii="宋体" w:eastAsia="宋体" w:hAnsi="宋体"/>
                <w:sz w:val="24"/>
                <w:szCs w:val="24"/>
              </w:rPr>
              <w:t>4</w:t>
            </w:r>
          </w:p>
        </w:tc>
        <w:tc>
          <w:tcPr>
            <w:tcW w:w="1843" w:type="dxa"/>
          </w:tcPr>
          <w:p w:rsidR="00B84BBF" w:rsidRPr="00A50B19" w:rsidRDefault="00B84BBF" w:rsidP="00B84BBF">
            <w:pPr>
              <w:pStyle w:val="a4"/>
              <w:ind w:firstLineChars="0" w:firstLine="0"/>
              <w:jc w:val="center"/>
              <w:rPr>
                <w:rFonts w:ascii="宋体" w:eastAsia="宋体" w:hAnsi="宋体"/>
                <w:sz w:val="24"/>
                <w:szCs w:val="24"/>
              </w:rPr>
            </w:pPr>
            <w:r w:rsidRPr="00A50B19">
              <w:rPr>
                <w:rFonts w:ascii="宋体" w:eastAsia="宋体" w:hAnsi="宋体"/>
                <w:sz w:val="24"/>
                <w:szCs w:val="24"/>
              </w:rPr>
              <w:t>003793</w:t>
            </w:r>
          </w:p>
        </w:tc>
        <w:tc>
          <w:tcPr>
            <w:tcW w:w="6095" w:type="dxa"/>
          </w:tcPr>
          <w:p w:rsidR="00B84BBF" w:rsidRPr="00A50B19" w:rsidRDefault="00B84BBF" w:rsidP="00B84BBF">
            <w:pPr>
              <w:pStyle w:val="a4"/>
              <w:ind w:firstLineChars="0" w:firstLine="0"/>
              <w:jc w:val="center"/>
              <w:rPr>
                <w:rFonts w:ascii="宋体" w:eastAsia="宋体" w:hAnsi="宋体"/>
                <w:sz w:val="24"/>
                <w:szCs w:val="24"/>
              </w:rPr>
            </w:pPr>
            <w:r w:rsidRPr="00A50B19">
              <w:rPr>
                <w:rFonts w:ascii="宋体" w:eastAsia="宋体" w:hAnsi="宋体"/>
                <w:sz w:val="24"/>
                <w:szCs w:val="24"/>
              </w:rPr>
              <w:t>泰达宏利溢利债券型证券投资基金</w:t>
            </w:r>
            <w:r w:rsidR="004D03BE" w:rsidRPr="00A50B19">
              <w:rPr>
                <w:rFonts w:ascii="宋体" w:eastAsia="宋体" w:hAnsi="宋体" w:hint="eastAsia"/>
                <w:sz w:val="24"/>
                <w:szCs w:val="24"/>
              </w:rPr>
              <w:t>A类份额</w:t>
            </w:r>
          </w:p>
        </w:tc>
      </w:tr>
      <w:tr w:rsidR="001F78B9" w:rsidTr="00581A07">
        <w:tc>
          <w:tcPr>
            <w:tcW w:w="704" w:type="dxa"/>
          </w:tcPr>
          <w:p w:rsidR="001F78B9" w:rsidRPr="001F78B9" w:rsidRDefault="00A50B19" w:rsidP="001F78B9">
            <w:pPr>
              <w:pStyle w:val="a4"/>
              <w:ind w:firstLineChars="0" w:firstLine="0"/>
              <w:jc w:val="center"/>
              <w:rPr>
                <w:rFonts w:ascii="宋体" w:eastAsia="宋体" w:hAnsi="宋体"/>
                <w:sz w:val="24"/>
                <w:szCs w:val="24"/>
              </w:rPr>
            </w:pPr>
            <w:r>
              <w:rPr>
                <w:rFonts w:ascii="宋体" w:eastAsia="宋体" w:hAnsi="宋体" w:hint="eastAsia"/>
                <w:sz w:val="24"/>
                <w:szCs w:val="24"/>
              </w:rPr>
              <w:t>2</w:t>
            </w:r>
            <w:r w:rsidR="009B3026">
              <w:rPr>
                <w:rFonts w:ascii="宋体" w:eastAsia="宋体" w:hAnsi="宋体"/>
                <w:sz w:val="24"/>
                <w:szCs w:val="24"/>
              </w:rPr>
              <w:t>5</w:t>
            </w:r>
          </w:p>
        </w:tc>
        <w:tc>
          <w:tcPr>
            <w:tcW w:w="1843" w:type="dxa"/>
          </w:tcPr>
          <w:p w:rsidR="001F78B9" w:rsidRPr="00A50B19" w:rsidRDefault="001F78B9" w:rsidP="001F78B9">
            <w:pPr>
              <w:pStyle w:val="Default"/>
              <w:jc w:val="center"/>
              <w:rPr>
                <w:rFonts w:ascii="宋体" w:eastAsia="宋体" w:hAnsi="宋体" w:cstheme="minorBidi"/>
                <w:color w:val="auto"/>
                <w:kern w:val="2"/>
              </w:rPr>
            </w:pPr>
            <w:r w:rsidRPr="00A50B19">
              <w:rPr>
                <w:rFonts w:ascii="宋体" w:eastAsia="宋体" w:hAnsi="宋体" w:cstheme="minorBidi"/>
                <w:color w:val="auto"/>
                <w:kern w:val="2"/>
              </w:rPr>
              <w:t>006105</w:t>
            </w:r>
          </w:p>
        </w:tc>
        <w:tc>
          <w:tcPr>
            <w:tcW w:w="6095" w:type="dxa"/>
          </w:tcPr>
          <w:p w:rsidR="001F78B9" w:rsidRPr="00A50B19" w:rsidRDefault="001F78B9" w:rsidP="001F78B9">
            <w:pPr>
              <w:pStyle w:val="Default"/>
              <w:jc w:val="center"/>
              <w:rPr>
                <w:rFonts w:ascii="宋体" w:eastAsia="宋体" w:hAnsi="宋体" w:cstheme="minorBidi"/>
                <w:color w:val="auto"/>
                <w:kern w:val="2"/>
              </w:rPr>
            </w:pPr>
            <w:r w:rsidRPr="00A50B19">
              <w:rPr>
                <w:rFonts w:ascii="宋体" w:eastAsia="宋体" w:hAnsi="宋体" w:cstheme="minorBidi" w:hint="eastAsia"/>
                <w:color w:val="auto"/>
                <w:kern w:val="2"/>
              </w:rPr>
              <w:t>泰达宏利印度机会股票型证券投资基金</w:t>
            </w:r>
            <w:r w:rsidRPr="00A50B19">
              <w:rPr>
                <w:rFonts w:ascii="宋体" w:eastAsia="宋体" w:hAnsi="宋体" w:cstheme="minorBidi"/>
                <w:color w:val="auto"/>
                <w:kern w:val="2"/>
              </w:rPr>
              <w:t>(QDII)</w:t>
            </w:r>
          </w:p>
        </w:tc>
      </w:tr>
      <w:tr w:rsidR="001F78B9" w:rsidTr="00581A07">
        <w:tc>
          <w:tcPr>
            <w:tcW w:w="704" w:type="dxa"/>
          </w:tcPr>
          <w:p w:rsidR="001F78B9" w:rsidRPr="001F78B9" w:rsidRDefault="00A50B19" w:rsidP="001F78B9">
            <w:pPr>
              <w:pStyle w:val="a4"/>
              <w:ind w:firstLineChars="0" w:firstLine="0"/>
              <w:jc w:val="center"/>
              <w:rPr>
                <w:rFonts w:ascii="宋体" w:eastAsia="宋体" w:hAnsi="宋体"/>
                <w:sz w:val="24"/>
                <w:szCs w:val="24"/>
              </w:rPr>
            </w:pPr>
            <w:r>
              <w:rPr>
                <w:rFonts w:ascii="宋体" w:eastAsia="宋体" w:hAnsi="宋体" w:hint="eastAsia"/>
                <w:sz w:val="24"/>
                <w:szCs w:val="24"/>
              </w:rPr>
              <w:t>2</w:t>
            </w:r>
            <w:r w:rsidR="009B3026">
              <w:rPr>
                <w:rFonts w:ascii="宋体" w:eastAsia="宋体" w:hAnsi="宋体"/>
                <w:sz w:val="24"/>
                <w:szCs w:val="24"/>
              </w:rPr>
              <w:t>6</w:t>
            </w:r>
          </w:p>
        </w:tc>
        <w:tc>
          <w:tcPr>
            <w:tcW w:w="1843" w:type="dxa"/>
          </w:tcPr>
          <w:p w:rsidR="001F78B9" w:rsidRPr="00A50B19" w:rsidRDefault="001F78B9" w:rsidP="001F78B9">
            <w:pPr>
              <w:pStyle w:val="a4"/>
              <w:ind w:firstLineChars="0" w:firstLine="0"/>
              <w:jc w:val="center"/>
              <w:rPr>
                <w:rFonts w:ascii="宋体" w:eastAsia="宋体" w:hAnsi="宋体"/>
                <w:sz w:val="24"/>
                <w:szCs w:val="24"/>
              </w:rPr>
            </w:pPr>
            <w:r w:rsidRPr="00A50B19">
              <w:rPr>
                <w:rFonts w:ascii="宋体" w:eastAsia="宋体" w:hAnsi="宋体"/>
                <w:sz w:val="24"/>
                <w:szCs w:val="24"/>
              </w:rPr>
              <w:t>162210</w:t>
            </w:r>
          </w:p>
        </w:tc>
        <w:tc>
          <w:tcPr>
            <w:tcW w:w="6095" w:type="dxa"/>
          </w:tcPr>
          <w:p w:rsidR="001F78B9" w:rsidRPr="00A50B19" w:rsidRDefault="001F78B9" w:rsidP="001F78B9">
            <w:pPr>
              <w:pStyle w:val="a4"/>
              <w:ind w:firstLineChars="0" w:firstLine="0"/>
              <w:jc w:val="center"/>
              <w:rPr>
                <w:rFonts w:ascii="宋体" w:eastAsia="宋体" w:hAnsi="宋体"/>
                <w:sz w:val="24"/>
                <w:szCs w:val="24"/>
              </w:rPr>
            </w:pPr>
            <w:r w:rsidRPr="00A50B19">
              <w:rPr>
                <w:rFonts w:ascii="宋体" w:eastAsia="宋体" w:hAnsi="宋体"/>
                <w:sz w:val="24"/>
                <w:szCs w:val="24"/>
              </w:rPr>
              <w:t>泰达宏利集利债券型证券投资基金</w:t>
            </w:r>
            <w:r w:rsidR="004D03BE" w:rsidRPr="00A50B19">
              <w:rPr>
                <w:rFonts w:ascii="宋体" w:eastAsia="宋体" w:hAnsi="宋体" w:hint="eastAsia"/>
                <w:sz w:val="24"/>
                <w:szCs w:val="24"/>
              </w:rPr>
              <w:t>A类份额</w:t>
            </w:r>
          </w:p>
        </w:tc>
      </w:tr>
      <w:tr w:rsidR="00A50B19" w:rsidTr="00581A07">
        <w:tc>
          <w:tcPr>
            <w:tcW w:w="704" w:type="dxa"/>
          </w:tcPr>
          <w:p w:rsidR="00A50B19" w:rsidRDefault="00A50B19" w:rsidP="001F78B9">
            <w:pPr>
              <w:pStyle w:val="a4"/>
              <w:ind w:firstLineChars="0" w:firstLine="0"/>
              <w:jc w:val="center"/>
              <w:rPr>
                <w:rFonts w:ascii="宋体" w:eastAsia="宋体" w:hAnsi="宋体"/>
                <w:sz w:val="24"/>
                <w:szCs w:val="24"/>
              </w:rPr>
            </w:pPr>
            <w:r>
              <w:rPr>
                <w:rFonts w:ascii="宋体" w:eastAsia="宋体" w:hAnsi="宋体" w:hint="eastAsia"/>
                <w:sz w:val="24"/>
                <w:szCs w:val="24"/>
              </w:rPr>
              <w:t>2</w:t>
            </w:r>
            <w:r w:rsidR="009B3026">
              <w:rPr>
                <w:rFonts w:ascii="宋体" w:eastAsia="宋体" w:hAnsi="宋体"/>
                <w:sz w:val="24"/>
                <w:szCs w:val="24"/>
              </w:rPr>
              <w:t>7</w:t>
            </w:r>
          </w:p>
        </w:tc>
        <w:tc>
          <w:tcPr>
            <w:tcW w:w="1843" w:type="dxa"/>
          </w:tcPr>
          <w:p w:rsidR="00A50B19" w:rsidRPr="00A50B19" w:rsidRDefault="00A50B19" w:rsidP="001F78B9">
            <w:pPr>
              <w:pStyle w:val="a4"/>
              <w:ind w:firstLineChars="0" w:firstLine="0"/>
              <w:jc w:val="center"/>
              <w:rPr>
                <w:rFonts w:ascii="宋体" w:eastAsia="宋体" w:hAnsi="宋体"/>
                <w:sz w:val="24"/>
                <w:szCs w:val="24"/>
              </w:rPr>
            </w:pPr>
            <w:r w:rsidRPr="003F43CA">
              <w:rPr>
                <w:rFonts w:ascii="宋体" w:eastAsia="宋体" w:hAnsi="宋体"/>
                <w:sz w:val="24"/>
                <w:szCs w:val="24"/>
              </w:rPr>
              <w:t>005221</w:t>
            </w:r>
          </w:p>
        </w:tc>
        <w:tc>
          <w:tcPr>
            <w:tcW w:w="6095" w:type="dxa"/>
          </w:tcPr>
          <w:p w:rsidR="00A50B19" w:rsidRPr="00A50B19" w:rsidRDefault="00A50B19" w:rsidP="001F78B9">
            <w:pPr>
              <w:pStyle w:val="a4"/>
              <w:ind w:firstLineChars="0" w:firstLine="0"/>
              <w:jc w:val="center"/>
              <w:rPr>
                <w:rFonts w:ascii="宋体" w:eastAsia="宋体" w:hAnsi="宋体"/>
                <w:sz w:val="24"/>
                <w:szCs w:val="24"/>
              </w:rPr>
            </w:pPr>
            <w:r w:rsidRPr="003F43CA">
              <w:rPr>
                <w:rFonts w:ascii="宋体" w:eastAsia="宋体" w:hAnsi="宋体"/>
                <w:sz w:val="24"/>
                <w:szCs w:val="24"/>
              </w:rPr>
              <w:t>泰达宏利全能优选混合型基金中基金（FOF）</w:t>
            </w:r>
            <w:r w:rsidR="003F43CA" w:rsidRPr="003F43CA">
              <w:rPr>
                <w:rFonts w:ascii="宋体" w:eastAsia="宋体" w:hAnsi="宋体" w:hint="eastAsia"/>
                <w:sz w:val="24"/>
                <w:szCs w:val="24"/>
              </w:rPr>
              <w:t>A类份额</w:t>
            </w:r>
          </w:p>
        </w:tc>
      </w:tr>
    </w:tbl>
    <w:p w:rsidR="006F10B2" w:rsidRDefault="006F10B2" w:rsidP="0066331C">
      <w:pPr>
        <w:pStyle w:val="Default"/>
        <w:spacing w:line="460" w:lineRule="exact"/>
        <w:ind w:firstLineChars="200" w:firstLine="480"/>
        <w:jc w:val="both"/>
        <w:rPr>
          <w:rFonts w:ascii="宋体" w:eastAsia="宋体" w:hAnsi="宋体" w:cs="宋体"/>
        </w:rPr>
      </w:pPr>
      <w:r>
        <w:rPr>
          <w:rFonts w:ascii="宋体" w:eastAsia="宋体" w:hAnsi="宋体" w:cs="宋体" w:hint="eastAsia"/>
        </w:rPr>
        <w:t>二、费率优惠活动时间：</w:t>
      </w:r>
    </w:p>
    <w:p w:rsidR="006F10B2" w:rsidRDefault="00537AB5" w:rsidP="0066331C">
      <w:pPr>
        <w:pStyle w:val="Default"/>
        <w:spacing w:line="460" w:lineRule="exact"/>
        <w:ind w:firstLineChars="200" w:firstLine="480"/>
        <w:jc w:val="both"/>
        <w:rPr>
          <w:rFonts w:ascii="宋体" w:eastAsia="宋体" w:hAnsi="宋体" w:cs="宋体"/>
        </w:rPr>
      </w:pPr>
      <w:r>
        <w:rPr>
          <w:rFonts w:ascii="宋体" w:eastAsia="宋体" w:hAnsi="宋体" w:cs="宋体" w:hint="eastAsia"/>
        </w:rPr>
        <w:lastRenderedPageBreak/>
        <w:t>费率优惠活动自</w:t>
      </w:r>
      <w:r w:rsidR="006F10B2">
        <w:rPr>
          <w:rFonts w:ascii="宋体" w:eastAsia="宋体" w:hAnsi="宋体" w:cs="宋体" w:hint="eastAsia"/>
        </w:rPr>
        <w:t>2</w:t>
      </w:r>
      <w:r w:rsidR="006F10B2">
        <w:rPr>
          <w:rFonts w:ascii="宋体" w:eastAsia="宋体" w:hAnsi="宋体" w:cs="宋体"/>
        </w:rPr>
        <w:t>02</w:t>
      </w:r>
      <w:r w:rsidR="006F5B68">
        <w:rPr>
          <w:rFonts w:ascii="宋体" w:eastAsia="宋体" w:hAnsi="宋体" w:cs="宋体"/>
        </w:rPr>
        <w:t>1</w:t>
      </w:r>
      <w:r w:rsidR="006F10B2">
        <w:rPr>
          <w:rFonts w:ascii="宋体" w:eastAsia="宋体" w:hAnsi="宋体" w:cs="宋体" w:hint="eastAsia"/>
        </w:rPr>
        <w:t>年</w:t>
      </w:r>
      <w:r w:rsidR="006F5B68">
        <w:rPr>
          <w:rFonts w:ascii="宋体" w:eastAsia="宋体" w:hAnsi="宋体" w:cs="宋体"/>
        </w:rPr>
        <w:t>7</w:t>
      </w:r>
      <w:r w:rsidR="006F10B2">
        <w:rPr>
          <w:rFonts w:ascii="宋体" w:eastAsia="宋体" w:hAnsi="宋体" w:cs="宋体" w:hint="eastAsia"/>
        </w:rPr>
        <w:t>月</w:t>
      </w:r>
      <w:r>
        <w:rPr>
          <w:rFonts w:ascii="宋体" w:eastAsia="宋体" w:hAnsi="宋体" w:cs="宋体"/>
        </w:rPr>
        <w:t>14</w:t>
      </w:r>
      <w:r w:rsidR="006F10B2">
        <w:rPr>
          <w:rFonts w:ascii="宋体" w:eastAsia="宋体" w:hAnsi="宋体" w:cs="宋体" w:hint="eastAsia"/>
        </w:rPr>
        <w:t>日</w:t>
      </w:r>
      <w:r>
        <w:rPr>
          <w:rFonts w:ascii="宋体" w:eastAsia="宋体" w:hAnsi="宋体" w:cs="宋体" w:hint="eastAsia"/>
        </w:rPr>
        <w:t>起，优惠活动截止时间以兴业证券为准，敬请投资者留意相关公告</w:t>
      </w:r>
      <w:r w:rsidR="000534AE">
        <w:rPr>
          <w:rFonts w:ascii="宋体" w:eastAsia="宋体" w:hAnsi="宋体" w:cs="宋体" w:hint="eastAsia"/>
        </w:rPr>
        <w:t>。</w:t>
      </w:r>
    </w:p>
    <w:p w:rsidR="006F10B2" w:rsidRDefault="006F10B2" w:rsidP="0066331C">
      <w:pPr>
        <w:pStyle w:val="Default"/>
        <w:spacing w:line="460" w:lineRule="exact"/>
        <w:ind w:firstLineChars="200" w:firstLine="480"/>
        <w:jc w:val="both"/>
        <w:rPr>
          <w:rFonts w:ascii="宋体" w:eastAsia="宋体" w:hAnsi="宋体" w:cs="宋体"/>
        </w:rPr>
      </w:pPr>
      <w:r>
        <w:rPr>
          <w:rFonts w:ascii="宋体" w:eastAsia="宋体" w:hAnsi="宋体" w:cs="宋体" w:hint="eastAsia"/>
        </w:rPr>
        <w:t>三、费率优惠活动内容：</w:t>
      </w:r>
    </w:p>
    <w:p w:rsidR="00443C2B" w:rsidRDefault="00443C2B" w:rsidP="00443C2B">
      <w:pPr>
        <w:pStyle w:val="Default"/>
        <w:spacing w:line="460" w:lineRule="exact"/>
        <w:ind w:firstLineChars="200" w:firstLine="480"/>
        <w:rPr>
          <w:rFonts w:ascii="宋体" w:eastAsia="宋体" w:hAnsi="宋体" w:cs="宋体"/>
        </w:rPr>
      </w:pPr>
      <w:r>
        <w:rPr>
          <w:rFonts w:ascii="宋体" w:eastAsia="宋体" w:hAnsi="宋体" w:cs="宋体" w:hint="eastAsia"/>
        </w:rPr>
        <w:t>投资者通过</w:t>
      </w:r>
      <w:r w:rsidR="00537AB5">
        <w:rPr>
          <w:rFonts w:ascii="宋体" w:eastAsia="宋体" w:hAnsi="宋体" w:cs="宋体" w:hint="eastAsia"/>
        </w:rPr>
        <w:t>兴业证券</w:t>
      </w:r>
      <w:r>
        <w:rPr>
          <w:rFonts w:ascii="宋体" w:eastAsia="宋体" w:hAnsi="宋体" w:cs="宋体" w:hint="eastAsia"/>
        </w:rPr>
        <w:t>申购和定期定额申购指定基金享有费率优惠，</w:t>
      </w:r>
      <w:r w:rsidRPr="00B04C1A">
        <w:rPr>
          <w:rFonts w:ascii="宋体" w:eastAsia="宋体" w:hAnsi="宋体" w:cs="宋体" w:hint="eastAsia"/>
        </w:rPr>
        <w:t>具体费率</w:t>
      </w:r>
      <w:r w:rsidRPr="009931BC">
        <w:rPr>
          <w:rFonts w:ascii="宋体" w:eastAsia="宋体" w:hAnsi="宋体" w:cs="宋体" w:hint="eastAsia"/>
        </w:rPr>
        <w:t>折扣</w:t>
      </w:r>
      <w:r w:rsidRPr="00B04C1A">
        <w:rPr>
          <w:rFonts w:ascii="宋体" w:eastAsia="宋体" w:hAnsi="宋体" w:cs="宋体" w:hint="eastAsia"/>
        </w:rPr>
        <w:t>以</w:t>
      </w:r>
      <w:r w:rsidR="00537AB5">
        <w:rPr>
          <w:rFonts w:ascii="宋体" w:eastAsia="宋体" w:hAnsi="宋体" w:cs="宋体" w:hint="eastAsia"/>
        </w:rPr>
        <w:t>兴业证券</w:t>
      </w:r>
      <w:r w:rsidRPr="00B04C1A">
        <w:rPr>
          <w:rFonts w:ascii="宋体" w:eastAsia="宋体" w:hAnsi="宋体" w:cs="宋体" w:hint="eastAsia"/>
        </w:rPr>
        <w:t>公告为准</w:t>
      </w:r>
      <w:r>
        <w:rPr>
          <w:rFonts w:ascii="宋体" w:eastAsia="宋体" w:hAnsi="宋体" w:cs="宋体" w:hint="eastAsia"/>
        </w:rPr>
        <w:t>，原申购费率为固定费用的，则按原固定费用执行，不享有费率折扣。具体</w:t>
      </w:r>
      <w:r w:rsidR="00537AB5">
        <w:rPr>
          <w:rFonts w:ascii="宋体" w:eastAsia="宋体" w:hAnsi="宋体" w:cs="宋体" w:hint="eastAsia"/>
        </w:rPr>
        <w:t>各基金原费率参见该基金的最新招募说明书及相关公告</w:t>
      </w:r>
      <w:r>
        <w:rPr>
          <w:rFonts w:ascii="宋体" w:eastAsia="宋体" w:hAnsi="宋体" w:cs="宋体" w:hint="eastAsia"/>
        </w:rPr>
        <w:t>。</w:t>
      </w:r>
    </w:p>
    <w:p w:rsidR="00537AB5" w:rsidRPr="00537AB5" w:rsidRDefault="00537AB5" w:rsidP="00443C2B">
      <w:pPr>
        <w:pStyle w:val="Default"/>
        <w:spacing w:line="460" w:lineRule="exact"/>
        <w:ind w:firstLineChars="200" w:firstLine="480"/>
        <w:rPr>
          <w:rFonts w:ascii="宋体" w:eastAsia="宋体" w:hAnsi="宋体" w:cs="宋体"/>
        </w:rPr>
      </w:pPr>
      <w:r>
        <w:rPr>
          <w:rFonts w:ascii="宋体" w:eastAsia="宋体" w:hAnsi="宋体" w:cs="宋体" w:hint="eastAsia"/>
        </w:rPr>
        <w:t>费率优惠期间，如本公司新增通过兴业证券代销的基金产品，则自基金销售起，将同时开展该基金的上述优惠活动。</w:t>
      </w:r>
    </w:p>
    <w:p w:rsidR="00B13604" w:rsidRDefault="00851691" w:rsidP="00B13604">
      <w:pPr>
        <w:pStyle w:val="Default"/>
        <w:spacing w:line="460" w:lineRule="exact"/>
        <w:ind w:firstLineChars="200" w:firstLine="480"/>
        <w:jc w:val="both"/>
        <w:rPr>
          <w:rFonts w:ascii="宋体" w:eastAsia="宋体" w:hAnsi="宋体" w:cs="宋体"/>
        </w:rPr>
      </w:pPr>
      <w:r>
        <w:rPr>
          <w:rFonts w:ascii="宋体" w:eastAsia="宋体" w:hAnsi="宋体" w:cs="宋体" w:hint="eastAsia"/>
        </w:rPr>
        <w:t>四、重要提示：</w:t>
      </w:r>
    </w:p>
    <w:p w:rsidR="00851691" w:rsidRDefault="00851691" w:rsidP="00B13604">
      <w:pPr>
        <w:pStyle w:val="Default"/>
        <w:spacing w:line="460" w:lineRule="exact"/>
        <w:ind w:firstLineChars="200" w:firstLine="480"/>
        <w:jc w:val="both"/>
        <w:rPr>
          <w:rFonts w:ascii="宋体" w:eastAsia="宋体" w:hAnsi="宋体" w:cs="宋体"/>
        </w:rPr>
      </w:pPr>
      <w:r>
        <w:rPr>
          <w:rFonts w:ascii="宋体" w:eastAsia="宋体" w:hAnsi="宋体" w:cs="宋体" w:hint="eastAsia"/>
        </w:rPr>
        <w:t>1、本费率优惠仅适用于本</w:t>
      </w:r>
      <w:r w:rsidR="00E36FC1">
        <w:rPr>
          <w:rFonts w:ascii="宋体" w:eastAsia="宋体" w:hAnsi="宋体" w:cs="宋体" w:hint="eastAsia"/>
        </w:rPr>
        <w:t>基金</w:t>
      </w:r>
      <w:r>
        <w:rPr>
          <w:rFonts w:ascii="宋体" w:eastAsia="宋体" w:hAnsi="宋体" w:cs="宋体" w:hint="eastAsia"/>
        </w:rPr>
        <w:t>在</w:t>
      </w:r>
      <w:r w:rsidR="00537AB5">
        <w:rPr>
          <w:rFonts w:ascii="宋体" w:eastAsia="宋体" w:hAnsi="宋体" w:cs="宋体" w:hint="eastAsia"/>
        </w:rPr>
        <w:t>兴业证券</w:t>
      </w:r>
      <w:r>
        <w:rPr>
          <w:rFonts w:ascii="宋体" w:eastAsia="宋体" w:hAnsi="宋体" w:cs="宋体" w:hint="eastAsia"/>
        </w:rPr>
        <w:t>申购业务的手续费、包括定期定额申购业务的手续费（各基金定投开通情况以我司最新公告为准），不包括基金赎回、转换业务等其他业务的手续费。</w:t>
      </w:r>
    </w:p>
    <w:p w:rsidR="00851691" w:rsidRPr="0066331C" w:rsidRDefault="00851691" w:rsidP="00B13604">
      <w:pPr>
        <w:pStyle w:val="Default"/>
        <w:spacing w:line="460" w:lineRule="exact"/>
        <w:ind w:firstLineChars="200" w:firstLine="480"/>
        <w:jc w:val="both"/>
        <w:rPr>
          <w:rFonts w:ascii="宋体" w:eastAsia="宋体" w:hAnsi="宋体" w:cs="宋体"/>
        </w:rPr>
      </w:pPr>
      <w:r>
        <w:rPr>
          <w:rFonts w:ascii="宋体" w:eastAsia="宋体" w:hAnsi="宋体" w:cs="宋体" w:hint="eastAsia"/>
        </w:rPr>
        <w:t>2、本费率优惠活动期间，业务办理的规则和流程以</w:t>
      </w:r>
      <w:r w:rsidR="00537AB5">
        <w:rPr>
          <w:rFonts w:ascii="宋体" w:eastAsia="宋体" w:hAnsi="宋体" w:cs="宋体" w:hint="eastAsia"/>
        </w:rPr>
        <w:t>兴业证券</w:t>
      </w:r>
      <w:r>
        <w:rPr>
          <w:rFonts w:ascii="宋体" w:eastAsia="宋体" w:hAnsi="宋体" w:cs="宋体" w:hint="eastAsia"/>
        </w:rPr>
        <w:t>的安排和规定为准。相关活动的具体规定如有变化，以</w:t>
      </w:r>
      <w:r w:rsidR="00537AB5">
        <w:rPr>
          <w:rFonts w:ascii="宋体" w:eastAsia="宋体" w:hAnsi="宋体" w:cs="宋体" w:hint="eastAsia"/>
        </w:rPr>
        <w:t>兴业证券</w:t>
      </w:r>
      <w:r>
        <w:rPr>
          <w:rFonts w:ascii="宋体" w:eastAsia="宋体" w:hAnsi="宋体" w:cs="宋体" w:hint="eastAsia"/>
        </w:rPr>
        <w:t>网站的最新公告为准，敬请投资者关注。</w:t>
      </w:r>
    </w:p>
    <w:p w:rsidR="00A10847" w:rsidRPr="001E7589" w:rsidRDefault="00851691"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五、</w:t>
      </w:r>
      <w:r w:rsidR="00A10847" w:rsidRPr="001E7589">
        <w:rPr>
          <w:rFonts w:ascii="宋体" w:eastAsia="宋体" w:hAnsi="宋体" w:cs="宋体" w:hint="eastAsia"/>
          <w:color w:val="000000"/>
          <w:kern w:val="0"/>
          <w:sz w:val="24"/>
          <w:szCs w:val="24"/>
        </w:rPr>
        <w:t>投资者可通过以下途径</w:t>
      </w:r>
      <w:r>
        <w:rPr>
          <w:rFonts w:ascii="宋体" w:eastAsia="宋体" w:hAnsi="宋体" w:cs="宋体" w:hint="eastAsia"/>
          <w:color w:val="000000"/>
          <w:kern w:val="0"/>
          <w:sz w:val="24"/>
          <w:szCs w:val="24"/>
        </w:rPr>
        <w:t>了解和</w:t>
      </w:r>
      <w:r w:rsidR="00A10847" w:rsidRPr="001E7589">
        <w:rPr>
          <w:rFonts w:ascii="宋体" w:eastAsia="宋体" w:hAnsi="宋体" w:cs="宋体" w:hint="eastAsia"/>
          <w:color w:val="000000"/>
          <w:kern w:val="0"/>
          <w:sz w:val="24"/>
          <w:szCs w:val="24"/>
        </w:rPr>
        <w:t>咨询</w:t>
      </w:r>
      <w:r w:rsidR="001E7589" w:rsidRPr="001E7589">
        <w:rPr>
          <w:rFonts w:ascii="宋体" w:eastAsia="宋体" w:hAnsi="宋体" w:cs="宋体" w:hint="eastAsia"/>
          <w:color w:val="000000"/>
          <w:kern w:val="0"/>
          <w:sz w:val="24"/>
          <w:szCs w:val="24"/>
        </w:rPr>
        <w:t>相关情况：</w:t>
      </w:r>
    </w:p>
    <w:p w:rsidR="001E7589" w:rsidRPr="001E7589" w:rsidRDefault="00851691"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color w:val="000000"/>
          <w:kern w:val="0"/>
          <w:sz w:val="24"/>
          <w:szCs w:val="24"/>
        </w:rPr>
        <w:t>1</w:t>
      </w:r>
      <w:r>
        <w:rPr>
          <w:rFonts w:ascii="宋体" w:eastAsia="宋体" w:hAnsi="宋体" w:cs="宋体" w:hint="eastAsia"/>
          <w:color w:val="000000"/>
          <w:kern w:val="0"/>
          <w:sz w:val="24"/>
          <w:szCs w:val="24"/>
        </w:rPr>
        <w:t>、</w:t>
      </w:r>
      <w:r w:rsidR="00537AB5">
        <w:rPr>
          <w:rFonts w:ascii="宋体" w:eastAsia="宋体" w:hAnsi="宋体" w:cs="宋体" w:hint="eastAsia"/>
          <w:color w:val="000000"/>
          <w:kern w:val="0"/>
          <w:sz w:val="24"/>
          <w:szCs w:val="24"/>
        </w:rPr>
        <w:t>兴业证券</w:t>
      </w:r>
      <w:r w:rsidR="001E7589" w:rsidRPr="001E7589">
        <w:rPr>
          <w:rFonts w:ascii="宋体" w:eastAsia="宋体" w:hAnsi="宋体" w:cs="宋体" w:hint="eastAsia"/>
          <w:color w:val="000000"/>
          <w:kern w:val="0"/>
          <w:sz w:val="24"/>
          <w:szCs w:val="24"/>
        </w:rPr>
        <w:t>股份有限公司</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w:t>
      </w:r>
      <w:r w:rsidR="002D45CD" w:rsidRPr="002D45CD">
        <w:rPr>
          <w:rFonts w:ascii="宋体" w:eastAsia="宋体" w:hAnsi="宋体" w:cs="宋体" w:hint="eastAsia"/>
          <w:color w:val="000000"/>
          <w:kern w:val="0"/>
          <w:sz w:val="24"/>
          <w:szCs w:val="24"/>
        </w:rPr>
        <w:t>955</w:t>
      </w:r>
      <w:r w:rsidR="00537AB5">
        <w:rPr>
          <w:rFonts w:ascii="宋体" w:eastAsia="宋体" w:hAnsi="宋体" w:cs="宋体"/>
          <w:color w:val="000000"/>
          <w:kern w:val="0"/>
          <w:sz w:val="24"/>
          <w:szCs w:val="24"/>
        </w:rPr>
        <w:t>62</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公司网站：</w:t>
      </w:r>
      <w:r w:rsidR="00537AB5" w:rsidRPr="00537AB5">
        <w:rPr>
          <w:rFonts w:ascii="宋体" w:eastAsia="宋体" w:hAnsi="宋体" w:cs="宋体" w:hint="eastAsia"/>
          <w:color w:val="000000"/>
          <w:kern w:val="0"/>
          <w:sz w:val="24"/>
          <w:szCs w:val="24"/>
        </w:rPr>
        <w:t>www.xyzq.com.cn</w:t>
      </w:r>
    </w:p>
    <w:p w:rsidR="001E7589" w:rsidRPr="001E7589" w:rsidRDefault="00851691"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sidR="001E7589" w:rsidRPr="001E7589">
        <w:rPr>
          <w:rFonts w:ascii="宋体" w:eastAsia="宋体" w:hAnsi="宋体" w:cs="宋体" w:hint="eastAsia"/>
          <w:color w:val="000000"/>
          <w:kern w:val="0"/>
          <w:sz w:val="24"/>
          <w:szCs w:val="24"/>
        </w:rPr>
        <w:t>泰达宏利基金管理有限公司</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客服电话：4</w:t>
      </w:r>
      <w:r w:rsidRPr="001E7589">
        <w:rPr>
          <w:rFonts w:ascii="宋体" w:eastAsia="宋体" w:hAnsi="宋体" w:cs="宋体"/>
          <w:color w:val="000000"/>
          <w:kern w:val="0"/>
          <w:sz w:val="24"/>
          <w:szCs w:val="24"/>
        </w:rPr>
        <w:t>00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698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8888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010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66555662</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公司网站：</w:t>
      </w:r>
      <w:hyperlink r:id="rId7" w:history="1">
        <w:r w:rsidRPr="001E7589">
          <w:rPr>
            <w:rFonts w:ascii="宋体" w:eastAsia="宋体" w:hAnsi="宋体" w:cs="宋体" w:hint="eastAsia"/>
            <w:color w:val="000000"/>
            <w:kern w:val="0"/>
            <w:sz w:val="24"/>
            <w:szCs w:val="24"/>
          </w:rPr>
          <w:t>w</w:t>
        </w:r>
        <w:r w:rsidRPr="001E7589">
          <w:rPr>
            <w:rFonts w:ascii="宋体" w:eastAsia="宋体" w:hAnsi="宋体" w:cs="宋体"/>
            <w:color w:val="000000"/>
            <w:kern w:val="0"/>
            <w:sz w:val="24"/>
            <w:szCs w:val="24"/>
          </w:rPr>
          <w:t>ww.mfcteda.com</w:t>
        </w:r>
      </w:hyperlink>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p>
    <w:p w:rsid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风险提示：基金管理人承诺以诚实信用、勤勉尽责的原则管理和运用基金资</w:t>
      </w:r>
      <w:r w:rsidRPr="00D706E8">
        <w:rPr>
          <w:rFonts w:ascii="宋体" w:eastAsia="宋体" w:hAnsi="宋体" w:cs="宋体" w:hint="eastAsia"/>
          <w:color w:val="000000"/>
          <w:kern w:val="0"/>
          <w:sz w:val="24"/>
          <w:szCs w:val="24"/>
        </w:rPr>
        <w:lastRenderedPageBreak/>
        <w:t>产，但不保证基金一定盈利，也不保证最低收益。投资者投资于本公司旗下基金前应认真阅读各基金的基金合同和招募说明书。</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特此公告。</w:t>
      </w:r>
    </w:p>
    <w:p w:rsidR="001E7589" w:rsidRPr="00D706E8" w:rsidRDefault="001E7589" w:rsidP="00912917">
      <w:pPr>
        <w:autoSpaceDE w:val="0"/>
        <w:autoSpaceDN w:val="0"/>
        <w:adjustRightInd w:val="0"/>
        <w:spacing w:before="100" w:beforeAutospacing="1" w:line="360" w:lineRule="auto"/>
        <w:ind w:firstLine="465"/>
        <w:jc w:val="right"/>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泰达宏利基金管理有限公司</w:t>
      </w:r>
    </w:p>
    <w:p w:rsidR="001E7589" w:rsidRPr="001E7589" w:rsidRDefault="001E7589" w:rsidP="003F7561">
      <w:pPr>
        <w:autoSpaceDE w:val="0"/>
        <w:autoSpaceDN w:val="0"/>
        <w:adjustRightInd w:val="0"/>
        <w:spacing w:before="100" w:beforeAutospacing="1" w:line="360" w:lineRule="auto"/>
        <w:ind w:right="720" w:firstLine="465"/>
        <w:jc w:val="right"/>
        <w:rPr>
          <w:rFonts w:ascii="宋体" w:eastAsia="宋体" w:hAnsi="宋体" w:cs="宋体"/>
          <w:color w:val="000000"/>
          <w:kern w:val="0"/>
          <w:sz w:val="24"/>
          <w:szCs w:val="24"/>
        </w:rPr>
      </w:pPr>
      <w:r w:rsidRPr="00D706E8">
        <w:rPr>
          <w:rFonts w:ascii="宋体" w:eastAsia="宋体" w:hAnsi="宋体" w:cs="宋体"/>
          <w:color w:val="000000"/>
          <w:kern w:val="0"/>
          <w:sz w:val="24"/>
          <w:szCs w:val="24"/>
        </w:rPr>
        <w:t>202</w:t>
      </w:r>
      <w:r w:rsidR="00845019">
        <w:rPr>
          <w:rFonts w:ascii="宋体" w:eastAsia="宋体" w:hAnsi="宋体" w:cs="宋体"/>
          <w:color w:val="000000"/>
          <w:kern w:val="0"/>
          <w:sz w:val="24"/>
          <w:szCs w:val="24"/>
        </w:rPr>
        <w:t>1</w:t>
      </w:r>
      <w:r w:rsidRPr="00D706E8">
        <w:rPr>
          <w:rFonts w:ascii="宋体" w:eastAsia="宋体" w:hAnsi="宋体" w:cs="宋体" w:hint="eastAsia"/>
          <w:color w:val="000000"/>
          <w:kern w:val="0"/>
          <w:sz w:val="24"/>
          <w:szCs w:val="24"/>
        </w:rPr>
        <w:t>年</w:t>
      </w:r>
      <w:r w:rsidR="00537AB5">
        <w:rPr>
          <w:rFonts w:ascii="宋体" w:eastAsia="宋体" w:hAnsi="宋体" w:cs="宋体"/>
          <w:color w:val="000000"/>
          <w:kern w:val="0"/>
          <w:sz w:val="24"/>
          <w:szCs w:val="24"/>
        </w:rPr>
        <w:t>7</w:t>
      </w:r>
      <w:r w:rsidRPr="00D706E8">
        <w:rPr>
          <w:rFonts w:ascii="宋体" w:eastAsia="宋体" w:hAnsi="宋体" w:cs="宋体" w:hint="eastAsia"/>
          <w:color w:val="000000"/>
          <w:kern w:val="0"/>
          <w:sz w:val="24"/>
          <w:szCs w:val="24"/>
        </w:rPr>
        <w:t>月</w:t>
      </w:r>
      <w:r w:rsidR="00537AB5">
        <w:rPr>
          <w:rFonts w:ascii="宋体" w:eastAsia="宋体" w:hAnsi="宋体" w:cs="宋体"/>
          <w:color w:val="000000"/>
          <w:kern w:val="0"/>
          <w:sz w:val="24"/>
          <w:szCs w:val="24"/>
        </w:rPr>
        <w:t>13</w:t>
      </w:r>
      <w:r w:rsidRPr="00D706E8">
        <w:rPr>
          <w:rFonts w:ascii="宋体" w:eastAsia="宋体" w:hAnsi="宋体" w:cs="宋体" w:hint="eastAsia"/>
          <w:color w:val="000000"/>
          <w:kern w:val="0"/>
          <w:sz w:val="24"/>
          <w:szCs w:val="24"/>
        </w:rPr>
        <w:t>日</w:t>
      </w:r>
    </w:p>
    <w:sectPr w:rsidR="001E7589" w:rsidRPr="001E7589" w:rsidSect="000160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BB6" w:rsidRDefault="00E96BB6" w:rsidP="009C1252">
      <w:r>
        <w:separator/>
      </w:r>
    </w:p>
  </w:endnote>
  <w:endnote w:type="continuationSeparator" w:id="0">
    <w:p w:rsidR="00E96BB6" w:rsidRDefault="00E96BB6" w:rsidP="009C1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BB6" w:rsidRDefault="00E96BB6" w:rsidP="009C1252">
      <w:r>
        <w:separator/>
      </w:r>
    </w:p>
  </w:footnote>
  <w:footnote w:type="continuationSeparator" w:id="0">
    <w:p w:rsidR="00E96BB6" w:rsidRDefault="00E96BB6" w:rsidP="009C1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975BB"/>
    <w:multiLevelType w:val="hybridMultilevel"/>
    <w:tmpl w:val="4CACEDA0"/>
    <w:lvl w:ilvl="0" w:tplc="14C66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065"/>
    <w:rsid w:val="00000324"/>
    <w:rsid w:val="00016028"/>
    <w:rsid w:val="000534AE"/>
    <w:rsid w:val="000C0CA1"/>
    <w:rsid w:val="000F599C"/>
    <w:rsid w:val="000F7FDB"/>
    <w:rsid w:val="0011411C"/>
    <w:rsid w:val="001339F4"/>
    <w:rsid w:val="00172995"/>
    <w:rsid w:val="001B6C5B"/>
    <w:rsid w:val="001E6A48"/>
    <w:rsid w:val="001E7589"/>
    <w:rsid w:val="001F5595"/>
    <w:rsid w:val="001F78B9"/>
    <w:rsid w:val="00206065"/>
    <w:rsid w:val="00245448"/>
    <w:rsid w:val="002B5E05"/>
    <w:rsid w:val="002D0226"/>
    <w:rsid w:val="002D45CD"/>
    <w:rsid w:val="0030045C"/>
    <w:rsid w:val="00352FDC"/>
    <w:rsid w:val="003B25BB"/>
    <w:rsid w:val="003B303E"/>
    <w:rsid w:val="003F43CA"/>
    <w:rsid w:val="003F7561"/>
    <w:rsid w:val="0040436A"/>
    <w:rsid w:val="00434D8D"/>
    <w:rsid w:val="00443C2B"/>
    <w:rsid w:val="00445434"/>
    <w:rsid w:val="0047358B"/>
    <w:rsid w:val="004D03BE"/>
    <w:rsid w:val="004E6349"/>
    <w:rsid w:val="00537AB5"/>
    <w:rsid w:val="00581A07"/>
    <w:rsid w:val="00600101"/>
    <w:rsid w:val="00602DF1"/>
    <w:rsid w:val="00634D02"/>
    <w:rsid w:val="0066331C"/>
    <w:rsid w:val="006B56CC"/>
    <w:rsid w:val="006F10B2"/>
    <w:rsid w:val="006F5B68"/>
    <w:rsid w:val="00770C21"/>
    <w:rsid w:val="0078162F"/>
    <w:rsid w:val="007843C3"/>
    <w:rsid w:val="007A4BB3"/>
    <w:rsid w:val="008220E0"/>
    <w:rsid w:val="00845019"/>
    <w:rsid w:val="00851691"/>
    <w:rsid w:val="0086114A"/>
    <w:rsid w:val="008E59E7"/>
    <w:rsid w:val="008F2784"/>
    <w:rsid w:val="00912917"/>
    <w:rsid w:val="00957AEB"/>
    <w:rsid w:val="009B3026"/>
    <w:rsid w:val="009C1252"/>
    <w:rsid w:val="009D2ED0"/>
    <w:rsid w:val="009E3FDC"/>
    <w:rsid w:val="00A10847"/>
    <w:rsid w:val="00A50B19"/>
    <w:rsid w:val="00AA123B"/>
    <w:rsid w:val="00B13604"/>
    <w:rsid w:val="00B84BBF"/>
    <w:rsid w:val="00BA46BC"/>
    <w:rsid w:val="00C22FB4"/>
    <w:rsid w:val="00C46CFB"/>
    <w:rsid w:val="00C63C23"/>
    <w:rsid w:val="00C70C8A"/>
    <w:rsid w:val="00CC0D8B"/>
    <w:rsid w:val="00CC7252"/>
    <w:rsid w:val="00D40237"/>
    <w:rsid w:val="00D63D53"/>
    <w:rsid w:val="00E113B5"/>
    <w:rsid w:val="00E22CDB"/>
    <w:rsid w:val="00E36FC1"/>
    <w:rsid w:val="00E962D4"/>
    <w:rsid w:val="00E963F0"/>
    <w:rsid w:val="00E96BB6"/>
    <w:rsid w:val="00EA5576"/>
    <w:rsid w:val="00F20BEB"/>
    <w:rsid w:val="00F27D41"/>
    <w:rsid w:val="00F4196C"/>
    <w:rsid w:val="00F67F52"/>
    <w:rsid w:val="00FA53B1"/>
    <w:rsid w:val="00FB0809"/>
    <w:rsid w:val="00FC5516"/>
    <w:rsid w:val="00FD241C"/>
    <w:rsid w:val="00FE42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7589"/>
    <w:pPr>
      <w:ind w:firstLineChars="200" w:firstLine="420"/>
    </w:pPr>
  </w:style>
  <w:style w:type="character" w:styleId="a5">
    <w:name w:val="Hyperlink"/>
    <w:basedOn w:val="a0"/>
    <w:uiPriority w:val="99"/>
    <w:unhideWhenUsed/>
    <w:rsid w:val="001E7589"/>
    <w:rPr>
      <w:color w:val="0563C1" w:themeColor="hyperlink"/>
      <w:u w:val="single"/>
    </w:rPr>
  </w:style>
  <w:style w:type="character" w:customStyle="1" w:styleId="1">
    <w:name w:val="未处理的提及1"/>
    <w:basedOn w:val="a0"/>
    <w:uiPriority w:val="99"/>
    <w:semiHidden/>
    <w:unhideWhenUsed/>
    <w:rsid w:val="001E7589"/>
    <w:rPr>
      <w:color w:val="605E5C"/>
      <w:shd w:val="clear" w:color="auto" w:fill="E1DFDD"/>
    </w:rPr>
  </w:style>
  <w:style w:type="paragraph" w:customStyle="1" w:styleId="Default">
    <w:name w:val="Default"/>
    <w:rsid w:val="001E7589"/>
    <w:pPr>
      <w:widowControl w:val="0"/>
      <w:autoSpaceDE w:val="0"/>
      <w:autoSpaceDN w:val="0"/>
      <w:adjustRightInd w:val="0"/>
    </w:pPr>
    <w:rPr>
      <w:rFonts w:ascii="微软雅黑" w:eastAsia="微软雅黑" w:cs="微软雅黑"/>
      <w:color w:val="000000"/>
      <w:kern w:val="0"/>
      <w:sz w:val="24"/>
      <w:szCs w:val="24"/>
    </w:rPr>
  </w:style>
  <w:style w:type="paragraph" w:styleId="a6">
    <w:name w:val="header"/>
    <w:basedOn w:val="a"/>
    <w:link w:val="Char"/>
    <w:uiPriority w:val="99"/>
    <w:unhideWhenUsed/>
    <w:rsid w:val="009C12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C1252"/>
    <w:rPr>
      <w:sz w:val="18"/>
      <w:szCs w:val="18"/>
    </w:rPr>
  </w:style>
  <w:style w:type="paragraph" w:styleId="a7">
    <w:name w:val="footer"/>
    <w:basedOn w:val="a"/>
    <w:link w:val="Char0"/>
    <w:uiPriority w:val="99"/>
    <w:unhideWhenUsed/>
    <w:rsid w:val="009C1252"/>
    <w:pPr>
      <w:tabs>
        <w:tab w:val="center" w:pos="4153"/>
        <w:tab w:val="right" w:pos="8306"/>
      </w:tabs>
      <w:snapToGrid w:val="0"/>
      <w:jc w:val="left"/>
    </w:pPr>
    <w:rPr>
      <w:sz w:val="18"/>
      <w:szCs w:val="18"/>
    </w:rPr>
  </w:style>
  <w:style w:type="character" w:customStyle="1" w:styleId="Char0">
    <w:name w:val="页脚 Char"/>
    <w:basedOn w:val="a0"/>
    <w:link w:val="a7"/>
    <w:uiPriority w:val="99"/>
    <w:rsid w:val="009C1252"/>
    <w:rPr>
      <w:sz w:val="18"/>
      <w:szCs w:val="18"/>
    </w:rPr>
  </w:style>
</w:styles>
</file>

<file path=word/webSettings.xml><?xml version="1.0" encoding="utf-8"?>
<w:webSettings xmlns:r="http://schemas.openxmlformats.org/officeDocument/2006/relationships" xmlns:w="http://schemas.openxmlformats.org/wordprocessingml/2006/main">
  <w:divs>
    <w:div w:id="137502162">
      <w:bodyDiv w:val="1"/>
      <w:marLeft w:val="0"/>
      <w:marRight w:val="0"/>
      <w:marTop w:val="0"/>
      <w:marBottom w:val="0"/>
      <w:divBdr>
        <w:top w:val="none" w:sz="0" w:space="0" w:color="auto"/>
        <w:left w:val="none" w:sz="0" w:space="0" w:color="auto"/>
        <w:bottom w:val="none" w:sz="0" w:space="0" w:color="auto"/>
        <w:right w:val="none" w:sz="0" w:space="0" w:color="auto"/>
      </w:divBdr>
    </w:div>
    <w:div w:id="285158954">
      <w:bodyDiv w:val="1"/>
      <w:marLeft w:val="0"/>
      <w:marRight w:val="0"/>
      <w:marTop w:val="0"/>
      <w:marBottom w:val="0"/>
      <w:divBdr>
        <w:top w:val="none" w:sz="0" w:space="0" w:color="auto"/>
        <w:left w:val="none" w:sz="0" w:space="0" w:color="auto"/>
        <w:bottom w:val="none" w:sz="0" w:space="0" w:color="auto"/>
        <w:right w:val="none" w:sz="0" w:space="0" w:color="auto"/>
      </w:divBdr>
    </w:div>
    <w:div w:id="469713346">
      <w:bodyDiv w:val="1"/>
      <w:marLeft w:val="0"/>
      <w:marRight w:val="0"/>
      <w:marTop w:val="0"/>
      <w:marBottom w:val="0"/>
      <w:divBdr>
        <w:top w:val="none" w:sz="0" w:space="0" w:color="auto"/>
        <w:left w:val="none" w:sz="0" w:space="0" w:color="auto"/>
        <w:bottom w:val="none" w:sz="0" w:space="0" w:color="auto"/>
        <w:right w:val="none" w:sz="0" w:space="0" w:color="auto"/>
      </w:divBdr>
    </w:div>
    <w:div w:id="899174728">
      <w:bodyDiv w:val="1"/>
      <w:marLeft w:val="0"/>
      <w:marRight w:val="0"/>
      <w:marTop w:val="0"/>
      <w:marBottom w:val="0"/>
      <w:divBdr>
        <w:top w:val="none" w:sz="0" w:space="0" w:color="auto"/>
        <w:left w:val="none" w:sz="0" w:space="0" w:color="auto"/>
        <w:bottom w:val="none" w:sz="0" w:space="0" w:color="auto"/>
        <w:right w:val="none" w:sz="0" w:space="0" w:color="auto"/>
      </w:divBdr>
    </w:div>
    <w:div w:id="964890277">
      <w:bodyDiv w:val="1"/>
      <w:marLeft w:val="0"/>
      <w:marRight w:val="0"/>
      <w:marTop w:val="0"/>
      <w:marBottom w:val="0"/>
      <w:divBdr>
        <w:top w:val="none" w:sz="0" w:space="0" w:color="auto"/>
        <w:left w:val="none" w:sz="0" w:space="0" w:color="auto"/>
        <w:bottom w:val="none" w:sz="0" w:space="0" w:color="auto"/>
        <w:right w:val="none" w:sz="0" w:space="0" w:color="auto"/>
      </w:divBdr>
    </w:div>
    <w:div w:id="995645105">
      <w:bodyDiv w:val="1"/>
      <w:marLeft w:val="0"/>
      <w:marRight w:val="0"/>
      <w:marTop w:val="0"/>
      <w:marBottom w:val="0"/>
      <w:divBdr>
        <w:top w:val="none" w:sz="0" w:space="0" w:color="auto"/>
        <w:left w:val="none" w:sz="0" w:space="0" w:color="auto"/>
        <w:bottom w:val="none" w:sz="0" w:space="0" w:color="auto"/>
        <w:right w:val="none" w:sz="0" w:space="0" w:color="auto"/>
      </w:divBdr>
    </w:div>
    <w:div w:id="1365868355">
      <w:bodyDiv w:val="1"/>
      <w:marLeft w:val="0"/>
      <w:marRight w:val="0"/>
      <w:marTop w:val="0"/>
      <w:marBottom w:val="0"/>
      <w:divBdr>
        <w:top w:val="none" w:sz="0" w:space="0" w:color="auto"/>
        <w:left w:val="none" w:sz="0" w:space="0" w:color="auto"/>
        <w:bottom w:val="none" w:sz="0" w:space="0" w:color="auto"/>
        <w:right w:val="none" w:sz="0" w:space="0" w:color="auto"/>
      </w:divBdr>
    </w:div>
    <w:div w:id="1544057269">
      <w:bodyDiv w:val="1"/>
      <w:marLeft w:val="0"/>
      <w:marRight w:val="0"/>
      <w:marTop w:val="0"/>
      <w:marBottom w:val="0"/>
      <w:divBdr>
        <w:top w:val="none" w:sz="0" w:space="0" w:color="auto"/>
        <w:left w:val="none" w:sz="0" w:space="0" w:color="auto"/>
        <w:bottom w:val="none" w:sz="0" w:space="0" w:color="auto"/>
        <w:right w:val="none" w:sz="0" w:space="0" w:color="auto"/>
      </w:divBdr>
    </w:div>
    <w:div w:id="1744522772">
      <w:bodyDiv w:val="1"/>
      <w:marLeft w:val="0"/>
      <w:marRight w:val="0"/>
      <w:marTop w:val="0"/>
      <w:marBottom w:val="0"/>
      <w:divBdr>
        <w:top w:val="none" w:sz="0" w:space="0" w:color="auto"/>
        <w:left w:val="none" w:sz="0" w:space="0" w:color="auto"/>
        <w:bottom w:val="none" w:sz="0" w:space="0" w:color="auto"/>
        <w:right w:val="none" w:sz="0" w:space="0" w:color="auto"/>
      </w:divBdr>
    </w:div>
    <w:div w:id="19767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te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1477</Characters>
  <Application>Microsoft Office Word</Application>
  <DocSecurity>4</DocSecurity>
  <Lines>12</Lines>
  <Paragraphs>3</Paragraphs>
  <ScaleCrop>false</ScaleCrop>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陈静红</dc:creator>
  <cp:lastModifiedBy>ZHONGM</cp:lastModifiedBy>
  <cp:revision>2</cp:revision>
  <dcterms:created xsi:type="dcterms:W3CDTF">2021-07-12T16:27:00Z</dcterms:created>
  <dcterms:modified xsi:type="dcterms:W3CDTF">2021-07-12T16:27:00Z</dcterms:modified>
</cp:coreProperties>
</file>