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5E" w:rsidRDefault="00B751C3" w:rsidP="00E11D5E">
      <w:pPr>
        <w:adjustRightInd w:val="0"/>
        <w:snapToGrid w:val="0"/>
        <w:jc w:val="center"/>
        <w:rPr>
          <w:rFonts w:ascii="黑体" w:eastAsia="黑体" w:hAnsi="黑体"/>
          <w:b/>
          <w:sz w:val="30"/>
          <w:szCs w:val="30"/>
        </w:rPr>
      </w:pPr>
      <w:r>
        <w:rPr>
          <w:rFonts w:ascii="黑体" w:eastAsia="黑体" w:hAnsi="黑体" w:hint="eastAsia"/>
          <w:b/>
          <w:sz w:val="30"/>
          <w:szCs w:val="30"/>
        </w:rPr>
        <w:t>前海开源</w:t>
      </w:r>
      <w:r w:rsidR="004F7B3C">
        <w:rPr>
          <w:rFonts w:ascii="黑体" w:eastAsia="黑体" w:hAnsi="黑体" w:hint="eastAsia"/>
          <w:b/>
          <w:sz w:val="30"/>
          <w:szCs w:val="30"/>
        </w:rPr>
        <w:t>恒远灵活配置混合型</w:t>
      </w:r>
      <w:r>
        <w:rPr>
          <w:rFonts w:ascii="黑体" w:eastAsia="黑体" w:hAnsi="黑体" w:hint="eastAsia"/>
          <w:b/>
          <w:sz w:val="30"/>
          <w:szCs w:val="30"/>
        </w:rPr>
        <w:t>证券投资基金</w:t>
      </w:r>
    </w:p>
    <w:p w:rsidR="00E11D5E" w:rsidRPr="00C16159" w:rsidRDefault="004135EE" w:rsidP="00E11D5E">
      <w:pPr>
        <w:adjustRightInd w:val="0"/>
        <w:snapToGrid w:val="0"/>
        <w:jc w:val="center"/>
        <w:rPr>
          <w:rFonts w:ascii="黑体" w:eastAsia="黑体" w:hAnsi="黑体"/>
          <w:b/>
          <w:sz w:val="30"/>
          <w:szCs w:val="30"/>
        </w:rPr>
      </w:pPr>
      <w:r>
        <w:rPr>
          <w:rFonts w:ascii="黑体" w:eastAsia="黑体" w:hAnsi="黑体" w:hint="eastAsia"/>
          <w:b/>
          <w:sz w:val="30"/>
          <w:szCs w:val="30"/>
        </w:rPr>
        <w:t>2</w:t>
      </w:r>
      <w:r>
        <w:rPr>
          <w:rFonts w:ascii="黑体" w:eastAsia="黑体" w:hAnsi="黑体"/>
          <w:b/>
          <w:sz w:val="30"/>
          <w:szCs w:val="30"/>
        </w:rPr>
        <w:t>021</w:t>
      </w:r>
      <w:r w:rsidR="00743F6D">
        <w:rPr>
          <w:rFonts w:ascii="黑体" w:eastAsia="黑体" w:hAnsi="黑体"/>
          <w:b/>
          <w:sz w:val="30"/>
          <w:szCs w:val="30"/>
        </w:rPr>
        <w:t>年度</w:t>
      </w:r>
      <w:r w:rsidR="00E11D5E">
        <w:rPr>
          <w:rFonts w:ascii="黑体" w:eastAsia="黑体" w:hAnsi="黑体" w:hint="eastAsia"/>
          <w:b/>
          <w:sz w:val="30"/>
          <w:szCs w:val="30"/>
        </w:rPr>
        <w:t>第</w:t>
      </w:r>
      <w:r w:rsidR="00CA5A9F">
        <w:rPr>
          <w:rFonts w:ascii="黑体" w:eastAsia="黑体" w:hAnsi="黑体" w:hint="eastAsia"/>
          <w:b/>
          <w:sz w:val="30"/>
          <w:szCs w:val="30"/>
        </w:rPr>
        <w:t>三</w:t>
      </w:r>
      <w:r w:rsidR="00E11D5E">
        <w:rPr>
          <w:rFonts w:ascii="黑体" w:eastAsia="黑体" w:hAnsi="黑体" w:hint="eastAsia"/>
          <w:b/>
          <w:sz w:val="30"/>
          <w:szCs w:val="30"/>
        </w:rPr>
        <w:t>次收益分配</w:t>
      </w:r>
      <w:r w:rsidR="00E11D5E" w:rsidRPr="00C16159">
        <w:rPr>
          <w:rFonts w:ascii="黑体" w:eastAsia="黑体" w:hAnsi="黑体" w:hint="eastAsia"/>
          <w:b/>
          <w:sz w:val="30"/>
          <w:szCs w:val="30"/>
        </w:rPr>
        <w:t>公告</w:t>
      </w:r>
    </w:p>
    <w:p w:rsidR="00E11D5E" w:rsidRPr="004135EE" w:rsidRDefault="00E11D5E" w:rsidP="00E11D5E">
      <w:pPr>
        <w:adjustRightInd w:val="0"/>
        <w:snapToGrid w:val="0"/>
        <w:spacing w:line="360" w:lineRule="auto"/>
        <w:jc w:val="center"/>
        <w:rPr>
          <w:rFonts w:ascii="宋体" w:hAnsi="宋体"/>
          <w:sz w:val="24"/>
        </w:rPr>
      </w:pPr>
    </w:p>
    <w:p w:rsidR="00E11D5E" w:rsidRPr="00B42DCE" w:rsidRDefault="00E11D5E" w:rsidP="00E11D5E">
      <w:pPr>
        <w:adjustRightInd w:val="0"/>
        <w:snapToGrid w:val="0"/>
        <w:spacing w:line="360" w:lineRule="auto"/>
        <w:jc w:val="center"/>
        <w:rPr>
          <w:rFonts w:ascii="宋体" w:hAnsi="宋体"/>
          <w:sz w:val="24"/>
        </w:rPr>
      </w:pPr>
      <w:r w:rsidRPr="00B42DCE">
        <w:rPr>
          <w:rFonts w:ascii="宋体" w:hAnsi="宋体" w:hint="eastAsia"/>
          <w:sz w:val="24"/>
        </w:rPr>
        <w:t>公告送出日期：</w:t>
      </w:r>
      <w:r w:rsidR="00627E5B">
        <w:rPr>
          <w:rFonts w:ascii="宋体" w:hAnsi="宋体" w:hint="eastAsia"/>
          <w:sz w:val="24"/>
        </w:rPr>
        <w:t>202</w:t>
      </w:r>
      <w:r w:rsidR="00627E5B">
        <w:rPr>
          <w:rFonts w:ascii="宋体" w:hAnsi="宋体"/>
          <w:sz w:val="24"/>
        </w:rPr>
        <w:t>1</w:t>
      </w:r>
      <w:r w:rsidR="00CA5A9F">
        <w:rPr>
          <w:rFonts w:ascii="宋体" w:hAnsi="宋体" w:hint="eastAsia"/>
          <w:sz w:val="24"/>
        </w:rPr>
        <w:t>年</w:t>
      </w:r>
      <w:r w:rsidR="00627E5B">
        <w:rPr>
          <w:rFonts w:ascii="宋体" w:hAnsi="宋体"/>
          <w:sz w:val="24"/>
        </w:rPr>
        <w:t>7</w:t>
      </w:r>
      <w:r w:rsidR="00CA5A9F">
        <w:rPr>
          <w:rFonts w:ascii="宋体" w:hAnsi="宋体" w:hint="eastAsia"/>
          <w:sz w:val="24"/>
        </w:rPr>
        <w:t>月</w:t>
      </w:r>
      <w:r w:rsidR="00745E6F">
        <w:rPr>
          <w:rFonts w:ascii="宋体" w:hAnsi="宋体"/>
          <w:sz w:val="24"/>
        </w:rPr>
        <w:t>12</w:t>
      </w:r>
      <w:r w:rsidR="00CA5A9F">
        <w:rPr>
          <w:rFonts w:ascii="宋体" w:hAnsi="宋体" w:hint="eastAsia"/>
          <w:sz w:val="24"/>
        </w:rPr>
        <w:t>日</w:t>
      </w:r>
    </w:p>
    <w:p w:rsidR="00E11D5E" w:rsidRPr="00B42DCE" w:rsidRDefault="00E11D5E" w:rsidP="00E11D5E">
      <w:pPr>
        <w:adjustRightInd w:val="0"/>
        <w:snapToGrid w:val="0"/>
        <w:spacing w:line="360" w:lineRule="auto"/>
        <w:ind w:firstLineChars="200" w:firstLine="482"/>
        <w:rPr>
          <w:rFonts w:ascii="宋体" w:hAnsi="宋体"/>
          <w:b/>
          <w:sz w:val="24"/>
        </w:rPr>
      </w:pPr>
      <w:r w:rsidRPr="00B42DCE">
        <w:rPr>
          <w:rFonts w:ascii="宋体" w:hAnsi="宋体" w:hint="eastAsia"/>
          <w:b/>
          <w:sz w:val="24"/>
        </w:rPr>
        <w:t>1 公告基本信息</w:t>
      </w:r>
    </w:p>
    <w:tbl>
      <w:tblPr>
        <w:tblW w:w="876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2693"/>
        <w:gridCol w:w="4849"/>
      </w:tblGrid>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szCs w:val="24"/>
              </w:rPr>
            </w:pPr>
            <w:r w:rsidRPr="00195867">
              <w:rPr>
                <w:rFonts w:ascii="宋体" w:hAnsi="宋体" w:hint="eastAsia"/>
                <w:sz w:val="24"/>
                <w:szCs w:val="24"/>
              </w:rPr>
              <w:t>基金名称</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195867" w:rsidRDefault="00B751C3" w:rsidP="00F56BE4">
            <w:pPr>
              <w:adjustRightInd w:val="0"/>
              <w:snapToGrid w:val="0"/>
              <w:rPr>
                <w:rFonts w:ascii="宋体" w:hAnsi="宋体"/>
                <w:sz w:val="24"/>
                <w:szCs w:val="24"/>
              </w:rPr>
            </w:pPr>
            <w:r>
              <w:rPr>
                <w:rFonts w:ascii="宋体" w:hAnsi="宋体" w:hint="eastAsia"/>
                <w:sz w:val="24"/>
                <w:szCs w:val="24"/>
              </w:rPr>
              <w:t>前海开源</w:t>
            </w:r>
            <w:r w:rsidR="004F7B3C">
              <w:rPr>
                <w:rFonts w:ascii="宋体" w:hAnsi="宋体" w:hint="eastAsia"/>
                <w:sz w:val="24"/>
                <w:szCs w:val="24"/>
              </w:rPr>
              <w:t>恒远灵活配置混合型</w:t>
            </w:r>
            <w:r>
              <w:rPr>
                <w:rFonts w:ascii="宋体" w:hAnsi="宋体" w:hint="eastAsia"/>
                <w:sz w:val="24"/>
                <w:szCs w:val="24"/>
              </w:rPr>
              <w:t>证券投资基金</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szCs w:val="24"/>
              </w:rPr>
            </w:pPr>
            <w:r w:rsidRPr="00195867">
              <w:rPr>
                <w:rFonts w:ascii="宋体" w:hAnsi="宋体" w:hint="eastAsia"/>
                <w:sz w:val="24"/>
                <w:szCs w:val="24"/>
              </w:rPr>
              <w:t>基金简称</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195867" w:rsidRDefault="00F77DFE" w:rsidP="00B751C3">
            <w:pPr>
              <w:adjustRightInd w:val="0"/>
              <w:snapToGrid w:val="0"/>
              <w:rPr>
                <w:rFonts w:ascii="宋体" w:hAnsi="宋体"/>
                <w:sz w:val="24"/>
                <w:szCs w:val="24"/>
              </w:rPr>
            </w:pPr>
            <w:r w:rsidRPr="00F77DFE">
              <w:rPr>
                <w:rFonts w:ascii="宋体" w:hAnsi="宋体" w:hint="eastAsia"/>
                <w:sz w:val="24"/>
                <w:szCs w:val="24"/>
              </w:rPr>
              <w:t>前海开源</w:t>
            </w:r>
            <w:r w:rsidR="004F7B3C">
              <w:rPr>
                <w:rFonts w:ascii="宋体" w:hAnsi="宋体" w:hint="eastAsia"/>
                <w:sz w:val="24"/>
                <w:szCs w:val="24"/>
              </w:rPr>
              <w:t>恒远灵活配置混合</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基金主代码</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4F7B3C" w:rsidP="00E11D5E">
            <w:pPr>
              <w:adjustRightInd w:val="0"/>
              <w:snapToGrid w:val="0"/>
              <w:rPr>
                <w:rFonts w:ascii="宋体" w:hAnsi="宋体"/>
                <w:sz w:val="24"/>
                <w:szCs w:val="24"/>
              </w:rPr>
            </w:pPr>
            <w:r w:rsidRPr="004F7B3C">
              <w:rPr>
                <w:rFonts w:ascii="宋体" w:hAnsi="宋体"/>
                <w:sz w:val="24"/>
                <w:szCs w:val="24"/>
              </w:rPr>
              <w:t>002407</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基金合同生效日</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4F7B3C" w:rsidP="00B751C3">
            <w:pPr>
              <w:adjustRightInd w:val="0"/>
              <w:snapToGrid w:val="0"/>
              <w:rPr>
                <w:rFonts w:ascii="宋体" w:hAnsi="宋体"/>
                <w:sz w:val="24"/>
                <w:szCs w:val="24"/>
              </w:rPr>
            </w:pPr>
            <w:r w:rsidRPr="004F7B3C">
              <w:rPr>
                <w:rFonts w:ascii="宋体" w:hAnsi="宋体" w:hint="eastAsia"/>
                <w:sz w:val="24"/>
                <w:szCs w:val="24"/>
              </w:rPr>
              <w:t>2018年04月04日</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基金管理人名称</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前海开源基金管理有限公司</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基金托管人名称</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4F7B3C" w:rsidP="00F56BE4">
            <w:pPr>
              <w:adjustRightInd w:val="0"/>
              <w:snapToGrid w:val="0"/>
              <w:rPr>
                <w:rFonts w:ascii="宋体" w:hAnsi="宋体"/>
                <w:sz w:val="24"/>
                <w:szCs w:val="24"/>
              </w:rPr>
            </w:pPr>
            <w:r w:rsidRPr="004F7B3C">
              <w:rPr>
                <w:rFonts w:ascii="宋体" w:hAnsi="宋体" w:hint="eastAsia"/>
                <w:sz w:val="24"/>
                <w:szCs w:val="24"/>
              </w:rPr>
              <w:t>中国工商银行股份有限公司</w:t>
            </w:r>
          </w:p>
        </w:tc>
      </w:tr>
      <w:tr w:rsidR="00E11D5E" w:rsidRPr="00195867" w:rsidTr="00023EB9">
        <w:trPr>
          <w:trHeight w:val="382"/>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公告依据</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w:t>
            </w:r>
            <w:r w:rsidR="009A5FFD">
              <w:rPr>
                <w:rFonts w:ascii="宋体" w:hAnsi="宋体" w:hint="eastAsia"/>
                <w:sz w:val="24"/>
                <w:szCs w:val="24"/>
              </w:rPr>
              <w:t>公开募集</w:t>
            </w:r>
            <w:r w:rsidRPr="00090393">
              <w:rPr>
                <w:rFonts w:ascii="宋体" w:hAnsi="宋体" w:hint="eastAsia"/>
                <w:sz w:val="24"/>
                <w:szCs w:val="24"/>
              </w:rPr>
              <w:t>证券投资基金信息披露管理办法》、《</w:t>
            </w:r>
            <w:r w:rsidR="00B751C3">
              <w:rPr>
                <w:rFonts w:ascii="宋体" w:hAnsi="宋体" w:hint="eastAsia"/>
                <w:sz w:val="24"/>
                <w:szCs w:val="24"/>
              </w:rPr>
              <w:t>前海开源</w:t>
            </w:r>
            <w:r w:rsidR="004F7B3C">
              <w:rPr>
                <w:rFonts w:ascii="宋体" w:hAnsi="宋体" w:hint="eastAsia"/>
                <w:sz w:val="24"/>
                <w:szCs w:val="24"/>
              </w:rPr>
              <w:t>恒远灵活配置混合型</w:t>
            </w:r>
            <w:r w:rsidR="00B751C3">
              <w:rPr>
                <w:rFonts w:ascii="宋体" w:hAnsi="宋体" w:hint="eastAsia"/>
                <w:sz w:val="24"/>
                <w:szCs w:val="24"/>
              </w:rPr>
              <w:t>证券投资基金</w:t>
            </w:r>
            <w:r w:rsidRPr="00090393">
              <w:rPr>
                <w:rFonts w:ascii="宋体" w:hAnsi="宋体" w:hint="eastAsia"/>
                <w:sz w:val="24"/>
                <w:szCs w:val="24"/>
              </w:rPr>
              <w:t>基金合同》、《</w:t>
            </w:r>
            <w:r w:rsidR="00B751C3">
              <w:rPr>
                <w:rFonts w:ascii="宋体" w:hAnsi="宋体" w:hint="eastAsia"/>
                <w:sz w:val="24"/>
                <w:szCs w:val="24"/>
              </w:rPr>
              <w:t>前海开源</w:t>
            </w:r>
            <w:r w:rsidR="004F7B3C">
              <w:rPr>
                <w:rFonts w:ascii="宋体" w:hAnsi="宋体" w:hint="eastAsia"/>
                <w:sz w:val="24"/>
                <w:szCs w:val="24"/>
              </w:rPr>
              <w:t>恒远灵活配置混合型</w:t>
            </w:r>
            <w:r w:rsidR="00B751C3">
              <w:rPr>
                <w:rFonts w:ascii="宋体" w:hAnsi="宋体" w:hint="eastAsia"/>
                <w:sz w:val="24"/>
                <w:szCs w:val="24"/>
              </w:rPr>
              <w:t>证券投资基金</w:t>
            </w:r>
            <w:r w:rsidRPr="00090393">
              <w:rPr>
                <w:rFonts w:ascii="宋体" w:hAnsi="宋体" w:hint="eastAsia"/>
                <w:sz w:val="24"/>
                <w:szCs w:val="24"/>
              </w:rPr>
              <w:t>招募说明书》</w:t>
            </w:r>
            <w:r w:rsidR="00A20BF5" w:rsidRPr="00090393">
              <w:rPr>
                <w:rFonts w:ascii="宋体" w:hAnsi="宋体" w:hint="eastAsia"/>
                <w:sz w:val="24"/>
                <w:szCs w:val="24"/>
              </w:rPr>
              <w:t>及其更新</w:t>
            </w:r>
          </w:p>
        </w:tc>
      </w:tr>
      <w:tr w:rsidR="00E11D5E"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E11D5E" w:rsidRPr="00090393" w:rsidRDefault="00E11D5E" w:rsidP="00F56BE4">
            <w:pPr>
              <w:adjustRightInd w:val="0"/>
              <w:snapToGrid w:val="0"/>
              <w:rPr>
                <w:rFonts w:ascii="宋体" w:hAnsi="宋体"/>
                <w:sz w:val="24"/>
                <w:szCs w:val="24"/>
              </w:rPr>
            </w:pPr>
            <w:r w:rsidRPr="00090393">
              <w:rPr>
                <w:rFonts w:ascii="宋体" w:hAnsi="宋体" w:hint="eastAsia"/>
                <w:sz w:val="24"/>
                <w:szCs w:val="24"/>
              </w:rPr>
              <w:t>收益分配基准日</w:t>
            </w:r>
          </w:p>
        </w:tc>
        <w:tc>
          <w:tcPr>
            <w:tcW w:w="4849" w:type="dxa"/>
            <w:tcBorders>
              <w:top w:val="single" w:sz="4" w:space="0" w:color="auto"/>
              <w:left w:val="single" w:sz="4" w:space="0" w:color="auto"/>
              <w:bottom w:val="single" w:sz="4" w:space="0" w:color="auto"/>
              <w:right w:val="single" w:sz="4" w:space="0" w:color="auto"/>
            </w:tcBorders>
            <w:vAlign w:val="center"/>
            <w:hideMark/>
          </w:tcPr>
          <w:p w:rsidR="00E11D5E" w:rsidRPr="00090393" w:rsidRDefault="00627E5B" w:rsidP="00627E5B">
            <w:pPr>
              <w:adjustRightInd w:val="0"/>
              <w:snapToGrid w:val="0"/>
              <w:rPr>
                <w:rFonts w:ascii="宋体" w:hAnsi="宋体"/>
                <w:sz w:val="24"/>
                <w:szCs w:val="24"/>
              </w:rPr>
            </w:pPr>
            <w:r>
              <w:rPr>
                <w:rFonts w:ascii="宋体" w:hAnsi="宋体" w:hint="eastAsia"/>
                <w:sz w:val="24"/>
                <w:szCs w:val="24"/>
              </w:rPr>
              <w:t>202</w:t>
            </w:r>
            <w:r>
              <w:rPr>
                <w:rFonts w:ascii="宋体" w:hAnsi="宋体"/>
                <w:sz w:val="24"/>
                <w:szCs w:val="24"/>
              </w:rPr>
              <w:t>1</w:t>
            </w:r>
            <w:r w:rsidR="00CA5A9F">
              <w:rPr>
                <w:rFonts w:ascii="宋体" w:hAnsi="宋体" w:hint="eastAsia"/>
                <w:sz w:val="24"/>
                <w:szCs w:val="24"/>
              </w:rPr>
              <w:t>年</w:t>
            </w:r>
            <w:r>
              <w:rPr>
                <w:rFonts w:ascii="宋体" w:hAnsi="宋体"/>
                <w:sz w:val="24"/>
                <w:szCs w:val="24"/>
              </w:rPr>
              <w:t>6</w:t>
            </w:r>
            <w:r w:rsidR="00CA5A9F">
              <w:rPr>
                <w:rFonts w:ascii="宋体" w:hAnsi="宋体" w:hint="eastAsia"/>
                <w:sz w:val="24"/>
                <w:szCs w:val="24"/>
              </w:rPr>
              <w:t>月30日</w:t>
            </w:r>
          </w:p>
        </w:tc>
      </w:tr>
      <w:tr w:rsidR="00F545AE" w:rsidRPr="00195867" w:rsidTr="00ED2B34">
        <w:tblPrEx>
          <w:tblLook w:val="0000"/>
        </w:tblPrEx>
        <w:trPr>
          <w:jc w:val="center"/>
        </w:trPr>
        <w:tc>
          <w:tcPr>
            <w:tcW w:w="1222" w:type="dxa"/>
            <w:vMerge w:val="restart"/>
            <w:vAlign w:val="center"/>
          </w:tcPr>
          <w:p w:rsidR="00F545AE" w:rsidRPr="00090393" w:rsidRDefault="00F545AE" w:rsidP="003953A0">
            <w:pPr>
              <w:snapToGrid w:val="0"/>
              <w:jc w:val="left"/>
              <w:rPr>
                <w:rFonts w:ascii="宋体" w:hAnsi="宋体"/>
                <w:color w:val="000000"/>
                <w:sz w:val="24"/>
                <w:szCs w:val="24"/>
              </w:rPr>
            </w:pPr>
            <w:r w:rsidRPr="00090393">
              <w:rPr>
                <w:rFonts w:ascii="宋体" w:hAnsi="宋体"/>
                <w:color w:val="000000"/>
                <w:sz w:val="24"/>
                <w:szCs w:val="24"/>
              </w:rPr>
              <w:t>截止</w:t>
            </w:r>
            <w:r w:rsidRPr="00090393">
              <w:rPr>
                <w:rFonts w:ascii="宋体" w:hAnsi="宋体" w:hint="eastAsia"/>
                <w:color w:val="000000"/>
                <w:sz w:val="24"/>
                <w:szCs w:val="24"/>
              </w:rPr>
              <w:t>收益分配</w:t>
            </w:r>
            <w:r w:rsidRPr="00090393">
              <w:rPr>
                <w:rFonts w:ascii="宋体" w:hAnsi="宋体"/>
                <w:color w:val="000000"/>
                <w:sz w:val="24"/>
                <w:szCs w:val="24"/>
              </w:rPr>
              <w:t>基准日的相关指标</w:t>
            </w:r>
          </w:p>
        </w:tc>
        <w:tc>
          <w:tcPr>
            <w:tcW w:w="2693" w:type="dxa"/>
          </w:tcPr>
          <w:p w:rsidR="00F545AE" w:rsidRPr="00090393" w:rsidRDefault="00F545AE" w:rsidP="00B12C24">
            <w:pPr>
              <w:snapToGrid w:val="0"/>
              <w:rPr>
                <w:rFonts w:ascii="宋体" w:hAnsi="宋体"/>
                <w:color w:val="000000"/>
                <w:sz w:val="24"/>
                <w:szCs w:val="24"/>
              </w:rPr>
            </w:pPr>
            <w:r w:rsidRPr="00090393">
              <w:rPr>
                <w:rFonts w:ascii="宋体" w:hAnsi="宋体"/>
                <w:color w:val="000000"/>
                <w:sz w:val="24"/>
                <w:szCs w:val="24"/>
              </w:rPr>
              <w:t>基准日基金份额净值（单位：</w:t>
            </w:r>
            <w:r w:rsidRPr="00090393">
              <w:rPr>
                <w:rFonts w:ascii="宋体" w:hAnsi="宋体" w:hint="eastAsia"/>
                <w:color w:val="000000"/>
                <w:sz w:val="24"/>
                <w:szCs w:val="24"/>
              </w:rPr>
              <w:t>元</w:t>
            </w:r>
            <w:r w:rsidRPr="00090393">
              <w:rPr>
                <w:rFonts w:ascii="宋体" w:hAnsi="宋体"/>
                <w:color w:val="000000"/>
                <w:sz w:val="24"/>
                <w:szCs w:val="24"/>
              </w:rPr>
              <w:t>）</w:t>
            </w:r>
          </w:p>
        </w:tc>
        <w:tc>
          <w:tcPr>
            <w:tcW w:w="4849" w:type="dxa"/>
            <w:vAlign w:val="center"/>
          </w:tcPr>
          <w:p w:rsidR="00F545AE" w:rsidRPr="00090393" w:rsidRDefault="00627E5B">
            <w:pPr>
              <w:snapToGrid w:val="0"/>
              <w:jc w:val="left"/>
              <w:rPr>
                <w:rFonts w:ascii="宋体" w:hAnsi="宋体" w:cs="Calibri"/>
                <w:color w:val="000000"/>
                <w:sz w:val="24"/>
                <w:szCs w:val="24"/>
              </w:rPr>
            </w:pPr>
            <w:r w:rsidRPr="00627E5B">
              <w:rPr>
                <w:rFonts w:ascii="宋体" w:hAnsi="宋体" w:cs="Calibri"/>
                <w:color w:val="000000"/>
                <w:sz w:val="24"/>
                <w:szCs w:val="24"/>
              </w:rPr>
              <w:t>1.2539</w:t>
            </w:r>
          </w:p>
        </w:tc>
      </w:tr>
      <w:tr w:rsidR="00F545AE" w:rsidRPr="00195867" w:rsidTr="00ED2B34">
        <w:tblPrEx>
          <w:tblLook w:val="0000"/>
        </w:tblPrEx>
        <w:trPr>
          <w:trHeight w:val="405"/>
          <w:jc w:val="center"/>
        </w:trPr>
        <w:tc>
          <w:tcPr>
            <w:tcW w:w="1222" w:type="dxa"/>
            <w:vMerge/>
          </w:tcPr>
          <w:p w:rsidR="00F545AE" w:rsidRPr="00090393" w:rsidRDefault="00F545AE" w:rsidP="00F56BE4">
            <w:pPr>
              <w:snapToGrid w:val="0"/>
              <w:rPr>
                <w:rFonts w:ascii="宋体" w:hAnsi="宋体"/>
                <w:color w:val="000000"/>
                <w:sz w:val="24"/>
                <w:szCs w:val="24"/>
              </w:rPr>
            </w:pPr>
          </w:p>
        </w:tc>
        <w:tc>
          <w:tcPr>
            <w:tcW w:w="2693" w:type="dxa"/>
            <w:vAlign w:val="center"/>
          </w:tcPr>
          <w:p w:rsidR="00F545AE" w:rsidRPr="00090393" w:rsidRDefault="00F545AE" w:rsidP="00B42696">
            <w:pPr>
              <w:snapToGrid w:val="0"/>
              <w:jc w:val="left"/>
              <w:rPr>
                <w:rFonts w:ascii="宋体" w:hAnsi="宋体" w:cs="Calibri"/>
                <w:color w:val="000000"/>
                <w:sz w:val="24"/>
                <w:szCs w:val="24"/>
              </w:rPr>
            </w:pPr>
            <w:r w:rsidRPr="00090393">
              <w:rPr>
                <w:rFonts w:ascii="宋体" w:hAnsi="宋体" w:cs="Calibri"/>
                <w:color w:val="000000"/>
                <w:sz w:val="24"/>
                <w:szCs w:val="24"/>
              </w:rPr>
              <w:t>基准日基金可供分配利润（单位：</w:t>
            </w:r>
            <w:r w:rsidRPr="00090393">
              <w:rPr>
                <w:rFonts w:ascii="宋体" w:hAnsi="宋体" w:cs="Calibri" w:hint="eastAsia"/>
                <w:color w:val="000000"/>
                <w:sz w:val="24"/>
                <w:szCs w:val="24"/>
              </w:rPr>
              <w:t>元</w:t>
            </w:r>
            <w:r w:rsidRPr="00090393">
              <w:rPr>
                <w:rFonts w:ascii="宋体" w:hAnsi="宋体" w:cs="Calibri"/>
                <w:color w:val="000000"/>
                <w:sz w:val="24"/>
                <w:szCs w:val="24"/>
              </w:rPr>
              <w:t>）</w:t>
            </w:r>
          </w:p>
        </w:tc>
        <w:tc>
          <w:tcPr>
            <w:tcW w:w="4849" w:type="dxa"/>
            <w:vAlign w:val="center"/>
          </w:tcPr>
          <w:p w:rsidR="00F545AE" w:rsidRPr="00090393" w:rsidRDefault="00627E5B" w:rsidP="00B42696">
            <w:pPr>
              <w:jc w:val="left"/>
              <w:rPr>
                <w:rFonts w:ascii="宋体" w:hAnsi="宋体" w:cs="Calibri"/>
                <w:color w:val="000000"/>
                <w:sz w:val="24"/>
                <w:szCs w:val="24"/>
              </w:rPr>
            </w:pPr>
            <w:r>
              <w:rPr>
                <w:rFonts w:ascii="宋体" w:hAnsi="宋体" w:cs="Calibri"/>
                <w:color w:val="000000"/>
                <w:sz w:val="24"/>
                <w:szCs w:val="24"/>
              </w:rPr>
              <w:t>16,898,906.07</w:t>
            </w:r>
          </w:p>
        </w:tc>
      </w:tr>
      <w:tr w:rsidR="00F545AE" w:rsidRPr="00195867" w:rsidTr="00ED2B34">
        <w:tblPrEx>
          <w:tblLook w:val="0000"/>
        </w:tblPrEx>
        <w:trPr>
          <w:jc w:val="center"/>
        </w:trPr>
        <w:tc>
          <w:tcPr>
            <w:tcW w:w="1222" w:type="dxa"/>
            <w:vMerge/>
          </w:tcPr>
          <w:p w:rsidR="00F545AE" w:rsidRPr="00090393" w:rsidRDefault="00F545AE" w:rsidP="00F56BE4">
            <w:pPr>
              <w:snapToGrid w:val="0"/>
              <w:rPr>
                <w:rFonts w:ascii="宋体" w:hAnsi="宋体"/>
                <w:color w:val="000000"/>
                <w:sz w:val="24"/>
                <w:szCs w:val="24"/>
              </w:rPr>
            </w:pPr>
          </w:p>
        </w:tc>
        <w:tc>
          <w:tcPr>
            <w:tcW w:w="2693" w:type="dxa"/>
          </w:tcPr>
          <w:p w:rsidR="00F545AE" w:rsidRPr="00090393" w:rsidRDefault="00F545AE" w:rsidP="00B42696">
            <w:pPr>
              <w:snapToGrid w:val="0"/>
              <w:jc w:val="left"/>
              <w:rPr>
                <w:rFonts w:ascii="宋体" w:hAnsi="宋体" w:cs="Calibri"/>
                <w:color w:val="000000"/>
                <w:sz w:val="24"/>
                <w:szCs w:val="24"/>
              </w:rPr>
            </w:pPr>
            <w:r w:rsidRPr="00090393">
              <w:rPr>
                <w:rFonts w:ascii="宋体" w:hAnsi="宋体" w:cs="Calibri"/>
                <w:color w:val="000000"/>
                <w:sz w:val="24"/>
                <w:szCs w:val="24"/>
              </w:rPr>
              <w:t>截止基准日按照基金合同约定的分红比例计算的应分配金额（单位：元）</w:t>
            </w:r>
          </w:p>
        </w:tc>
        <w:tc>
          <w:tcPr>
            <w:tcW w:w="4849" w:type="dxa"/>
            <w:vAlign w:val="center"/>
          </w:tcPr>
          <w:p w:rsidR="00F545AE" w:rsidRPr="00090393" w:rsidRDefault="00627E5B" w:rsidP="00721DDB">
            <w:pPr>
              <w:jc w:val="left"/>
              <w:rPr>
                <w:rFonts w:ascii="宋体" w:hAnsi="宋体" w:cs="Calibri"/>
                <w:color w:val="000000"/>
                <w:sz w:val="24"/>
                <w:szCs w:val="24"/>
              </w:rPr>
            </w:pPr>
            <w:r>
              <w:rPr>
                <w:rFonts w:ascii="宋体" w:hAnsi="宋体" w:cs="Calibri"/>
                <w:color w:val="000000"/>
                <w:sz w:val="24"/>
                <w:szCs w:val="24"/>
              </w:rPr>
              <w:t>8,449,453.04</w:t>
            </w:r>
          </w:p>
        </w:tc>
      </w:tr>
      <w:tr w:rsidR="00F545AE" w:rsidRPr="00195867" w:rsidTr="00ED2B34">
        <w:tblPrEx>
          <w:tblLook w:val="0000"/>
        </w:tblPrEx>
        <w:trPr>
          <w:jc w:val="center"/>
        </w:trPr>
        <w:tc>
          <w:tcPr>
            <w:tcW w:w="3915" w:type="dxa"/>
            <w:gridSpan w:val="2"/>
          </w:tcPr>
          <w:p w:rsidR="00F545AE" w:rsidRPr="00090393" w:rsidRDefault="00F545AE" w:rsidP="00B12C24">
            <w:pPr>
              <w:snapToGrid w:val="0"/>
              <w:rPr>
                <w:rFonts w:ascii="宋体" w:hAnsi="宋体"/>
                <w:color w:val="000000"/>
                <w:sz w:val="24"/>
                <w:szCs w:val="24"/>
              </w:rPr>
            </w:pPr>
            <w:r w:rsidRPr="00090393">
              <w:rPr>
                <w:rFonts w:ascii="宋体" w:hAnsi="宋体"/>
                <w:color w:val="000000"/>
                <w:sz w:val="24"/>
                <w:szCs w:val="24"/>
              </w:rPr>
              <w:t>本次分红方案（单位：元/10份基金份额）</w:t>
            </w:r>
          </w:p>
        </w:tc>
        <w:tc>
          <w:tcPr>
            <w:tcW w:w="4849" w:type="dxa"/>
            <w:vAlign w:val="center"/>
          </w:tcPr>
          <w:p w:rsidR="00F545AE" w:rsidRPr="00090393" w:rsidRDefault="00627E5B" w:rsidP="00356173">
            <w:pPr>
              <w:snapToGrid w:val="0"/>
              <w:jc w:val="left"/>
              <w:rPr>
                <w:rFonts w:ascii="宋体" w:hAnsi="宋体"/>
                <w:color w:val="000000"/>
                <w:kern w:val="0"/>
                <w:sz w:val="24"/>
                <w:szCs w:val="24"/>
              </w:rPr>
            </w:pPr>
            <w:r>
              <w:rPr>
                <w:rFonts w:ascii="宋体" w:hAnsi="宋体"/>
                <w:color w:val="000000"/>
                <w:kern w:val="0"/>
                <w:sz w:val="24"/>
                <w:szCs w:val="24"/>
              </w:rPr>
              <w:t>0.65</w:t>
            </w:r>
          </w:p>
        </w:tc>
      </w:tr>
      <w:tr w:rsidR="00B751C3" w:rsidRPr="00195867" w:rsidTr="00023EB9">
        <w:trPr>
          <w:jc w:val="center"/>
        </w:trPr>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B751C3" w:rsidRPr="00195867" w:rsidRDefault="00B751C3" w:rsidP="00F56BE4">
            <w:pPr>
              <w:adjustRightInd w:val="0"/>
              <w:snapToGrid w:val="0"/>
              <w:rPr>
                <w:rFonts w:ascii="宋体" w:hAnsi="宋体"/>
                <w:sz w:val="24"/>
                <w:szCs w:val="24"/>
              </w:rPr>
            </w:pPr>
            <w:r w:rsidRPr="00195867">
              <w:rPr>
                <w:rFonts w:ascii="宋体" w:hAnsi="宋体" w:hint="eastAsia"/>
                <w:sz w:val="24"/>
                <w:szCs w:val="24"/>
              </w:rPr>
              <w:t>有关年度分红次数的说明</w:t>
            </w:r>
          </w:p>
        </w:tc>
        <w:tc>
          <w:tcPr>
            <w:tcW w:w="4849" w:type="dxa"/>
            <w:tcBorders>
              <w:top w:val="single" w:sz="4" w:space="0" w:color="auto"/>
              <w:left w:val="single" w:sz="4" w:space="0" w:color="auto"/>
              <w:bottom w:val="single" w:sz="4" w:space="0" w:color="auto"/>
              <w:right w:val="single" w:sz="4" w:space="0" w:color="auto"/>
            </w:tcBorders>
            <w:vAlign w:val="center"/>
            <w:hideMark/>
          </w:tcPr>
          <w:p w:rsidR="00B751C3" w:rsidRPr="00195867" w:rsidRDefault="00B751C3" w:rsidP="00627E5B">
            <w:pPr>
              <w:adjustRightInd w:val="0"/>
              <w:snapToGrid w:val="0"/>
              <w:rPr>
                <w:rFonts w:ascii="宋体" w:hAnsi="宋体"/>
                <w:sz w:val="24"/>
                <w:szCs w:val="24"/>
              </w:rPr>
            </w:pPr>
            <w:r w:rsidRPr="00195867">
              <w:rPr>
                <w:rFonts w:ascii="宋体" w:hAnsi="宋体" w:hint="eastAsia"/>
                <w:sz w:val="24"/>
                <w:szCs w:val="24"/>
              </w:rPr>
              <w:t>本次分红为本基金</w:t>
            </w:r>
            <w:r w:rsidR="00627E5B">
              <w:rPr>
                <w:rFonts w:ascii="宋体" w:hAnsi="宋体" w:hint="eastAsia"/>
                <w:sz w:val="24"/>
                <w:szCs w:val="24"/>
              </w:rPr>
              <w:t>20</w:t>
            </w:r>
            <w:r w:rsidR="00627E5B">
              <w:rPr>
                <w:rFonts w:ascii="宋体" w:hAnsi="宋体"/>
                <w:sz w:val="24"/>
                <w:szCs w:val="24"/>
              </w:rPr>
              <w:t>21</w:t>
            </w:r>
            <w:r w:rsidRPr="00195867">
              <w:rPr>
                <w:rFonts w:ascii="宋体" w:hAnsi="宋体" w:hint="eastAsia"/>
                <w:sz w:val="24"/>
                <w:szCs w:val="24"/>
              </w:rPr>
              <w:t>年度的第</w:t>
            </w:r>
            <w:r w:rsidR="00CA5A9F">
              <w:rPr>
                <w:rFonts w:ascii="宋体" w:hAnsi="宋体" w:hint="eastAsia"/>
                <w:sz w:val="24"/>
                <w:szCs w:val="24"/>
              </w:rPr>
              <w:t>三</w:t>
            </w:r>
            <w:r w:rsidRPr="00195867">
              <w:rPr>
                <w:rFonts w:ascii="宋体" w:hAnsi="宋体" w:hint="eastAsia"/>
                <w:sz w:val="24"/>
                <w:szCs w:val="24"/>
              </w:rPr>
              <w:t>次分红</w:t>
            </w:r>
          </w:p>
        </w:tc>
      </w:tr>
    </w:tbl>
    <w:p w:rsidR="00E11D5E" w:rsidRPr="00B42DCE" w:rsidRDefault="00E11D5E" w:rsidP="00511A72">
      <w:pPr>
        <w:adjustRightInd w:val="0"/>
        <w:snapToGrid w:val="0"/>
        <w:spacing w:beforeLines="50" w:line="360" w:lineRule="auto"/>
        <w:ind w:firstLineChars="200" w:firstLine="480"/>
        <w:rPr>
          <w:rFonts w:ascii="宋体" w:hAnsi="宋体"/>
          <w:sz w:val="24"/>
        </w:rPr>
      </w:pPr>
      <w:r w:rsidRPr="00B42DCE">
        <w:rPr>
          <w:rFonts w:ascii="宋体" w:hAnsi="宋体" w:hint="eastAsia"/>
          <w:sz w:val="24"/>
        </w:rPr>
        <w:t>注：</w:t>
      </w:r>
      <w:r w:rsidR="00B751C3" w:rsidRPr="00B751C3">
        <w:rPr>
          <w:rFonts w:ascii="宋体" w:hAnsi="宋体" w:hint="eastAsia"/>
          <w:sz w:val="24"/>
        </w:rPr>
        <w:t>在符合有关基金分红条件的前提下，</w:t>
      </w:r>
      <w:r w:rsidR="008E679C" w:rsidRPr="008E679C">
        <w:rPr>
          <w:rFonts w:ascii="宋体" w:hAnsi="宋体" w:hint="eastAsia"/>
          <w:sz w:val="24"/>
        </w:rPr>
        <w:t>本基金每年收益分配次数最多为12次，每份基金份额每次基金收益分配比例不得低于基金收益分配基准日每份基金份额可供分配利润的50%</w:t>
      </w:r>
      <w:r w:rsidR="008F0970">
        <w:rPr>
          <w:rFonts w:ascii="宋体" w:hAnsi="宋体" w:hint="eastAsia"/>
          <w:sz w:val="24"/>
        </w:rPr>
        <w:t>。</w:t>
      </w:r>
    </w:p>
    <w:p w:rsidR="00E11D5E" w:rsidRPr="00B42DCE" w:rsidRDefault="00E11D5E" w:rsidP="00E11D5E">
      <w:pPr>
        <w:adjustRightInd w:val="0"/>
        <w:snapToGrid w:val="0"/>
        <w:spacing w:line="360" w:lineRule="auto"/>
        <w:ind w:firstLineChars="200" w:firstLine="482"/>
        <w:rPr>
          <w:rFonts w:ascii="宋体" w:hAnsi="宋体"/>
          <w:b/>
          <w:sz w:val="24"/>
        </w:rPr>
      </w:pPr>
      <w:r w:rsidRPr="00B42DCE">
        <w:rPr>
          <w:rFonts w:ascii="宋体" w:hAnsi="宋体" w:hint="eastAsia"/>
          <w:b/>
          <w:sz w:val="24"/>
        </w:rPr>
        <w:t>2 与分红相关的其他信息</w:t>
      </w:r>
    </w:p>
    <w:tbl>
      <w:tblPr>
        <w:tblW w:w="4855" w:type="pct"/>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6163"/>
      </w:tblGrid>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权益登记日</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627E5B" w:rsidP="008E679C">
            <w:pPr>
              <w:adjustRightInd w:val="0"/>
              <w:snapToGrid w:val="0"/>
              <w:rPr>
                <w:rFonts w:ascii="宋体" w:hAnsi="宋体" w:hint="eastAsia"/>
                <w:sz w:val="24"/>
              </w:rPr>
            </w:pPr>
            <w:r>
              <w:rPr>
                <w:rFonts w:ascii="宋体" w:hAnsi="宋体" w:hint="eastAsia"/>
                <w:sz w:val="24"/>
              </w:rPr>
              <w:t>2021年7月14日</w:t>
            </w:r>
          </w:p>
        </w:tc>
      </w:tr>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除息日</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627E5B" w:rsidP="00A42FD6">
            <w:pPr>
              <w:adjustRightInd w:val="0"/>
              <w:snapToGrid w:val="0"/>
              <w:rPr>
                <w:rFonts w:ascii="宋体" w:hAnsi="宋体"/>
                <w:sz w:val="24"/>
              </w:rPr>
            </w:pPr>
            <w:r>
              <w:rPr>
                <w:rFonts w:ascii="宋体" w:hAnsi="宋体" w:hint="eastAsia"/>
                <w:sz w:val="24"/>
              </w:rPr>
              <w:t>2021年7月14日</w:t>
            </w:r>
          </w:p>
        </w:tc>
      </w:tr>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现金红利发放日</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627E5B" w:rsidP="00A42FD6">
            <w:pPr>
              <w:adjustRightInd w:val="0"/>
              <w:snapToGrid w:val="0"/>
              <w:rPr>
                <w:rFonts w:ascii="宋体" w:hAnsi="宋体"/>
                <w:sz w:val="24"/>
              </w:rPr>
            </w:pPr>
            <w:r>
              <w:rPr>
                <w:rFonts w:ascii="宋体" w:hAnsi="宋体" w:hint="eastAsia"/>
                <w:sz w:val="24"/>
              </w:rPr>
              <w:t>2021年7月15日</w:t>
            </w:r>
          </w:p>
        </w:tc>
      </w:tr>
      <w:tr w:rsidR="00E11D5E" w:rsidRPr="00195867" w:rsidTr="00F56BE4">
        <w:trPr>
          <w:trHeight w:val="84"/>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分红对象</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权益登记日登记在册的本基金全体份额持有人</w:t>
            </w:r>
          </w:p>
        </w:tc>
      </w:tr>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红利再投资相关事项的说明</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711216">
            <w:pPr>
              <w:adjustRightInd w:val="0"/>
              <w:snapToGrid w:val="0"/>
              <w:rPr>
                <w:rFonts w:ascii="宋体" w:hAnsi="宋体"/>
                <w:sz w:val="24"/>
              </w:rPr>
            </w:pPr>
            <w:r w:rsidRPr="00195867">
              <w:rPr>
                <w:rFonts w:ascii="宋体" w:hAnsi="宋体" w:hint="eastAsia"/>
                <w:sz w:val="24"/>
              </w:rPr>
              <w:t>选择红利再投资方式的投资者，</w:t>
            </w:r>
            <w:r w:rsidR="00F70301">
              <w:rPr>
                <w:rFonts w:ascii="宋体" w:hAnsi="宋体" w:hint="eastAsia"/>
                <w:sz w:val="24"/>
              </w:rPr>
              <w:t>其红利将按照</w:t>
            </w:r>
            <w:r w:rsidR="00627E5B">
              <w:rPr>
                <w:rFonts w:ascii="宋体" w:hAnsi="宋体"/>
                <w:sz w:val="24"/>
              </w:rPr>
              <w:t>2021年7月14日</w:t>
            </w:r>
            <w:r w:rsidR="00F70301">
              <w:rPr>
                <w:rFonts w:ascii="宋体" w:hAnsi="宋体" w:hint="eastAsia"/>
                <w:sz w:val="24"/>
              </w:rPr>
              <w:t>除息后的基金份额净值计算基准确定再投资份额。</w:t>
            </w:r>
            <w:r w:rsidRPr="00195867">
              <w:rPr>
                <w:rFonts w:ascii="宋体" w:hAnsi="宋体" w:hint="eastAsia"/>
                <w:sz w:val="24"/>
              </w:rPr>
              <w:t>其红利再投资的份额将于</w:t>
            </w:r>
            <w:r w:rsidR="00627E5B">
              <w:rPr>
                <w:rFonts w:ascii="宋体" w:hAnsi="宋体"/>
                <w:sz w:val="24"/>
              </w:rPr>
              <w:t>2021年7月15日</w:t>
            </w:r>
            <w:r w:rsidRPr="00195867">
              <w:rPr>
                <w:rFonts w:ascii="宋体" w:hAnsi="宋体" w:hint="eastAsia"/>
                <w:sz w:val="24"/>
              </w:rPr>
              <w:t>直接计入其基金账户，</w:t>
            </w:r>
            <w:r w:rsidR="00627E5B">
              <w:rPr>
                <w:rFonts w:ascii="宋体" w:hAnsi="宋体" w:hint="eastAsia"/>
                <w:sz w:val="24"/>
              </w:rPr>
              <w:t>2021年7月16日</w:t>
            </w:r>
            <w:r w:rsidRPr="001E2DCD">
              <w:rPr>
                <w:rFonts w:ascii="宋体" w:hAnsi="宋体" w:hint="eastAsia"/>
                <w:sz w:val="24"/>
              </w:rPr>
              <w:t>起可以</w:t>
            </w:r>
            <w:r w:rsidRPr="00195867">
              <w:rPr>
                <w:rFonts w:ascii="宋体" w:hAnsi="宋体" w:hint="eastAsia"/>
                <w:sz w:val="24"/>
              </w:rPr>
              <w:t>查询、赎回。</w:t>
            </w:r>
          </w:p>
        </w:tc>
      </w:tr>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lastRenderedPageBreak/>
              <w:t>税收相关事项的说明</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根据财政部、国家税务总局的相关规定，基金向投资者分配的基金收益，暂免征收所得税。</w:t>
            </w:r>
          </w:p>
        </w:tc>
      </w:tr>
      <w:tr w:rsidR="00E11D5E" w:rsidRPr="00195867" w:rsidTr="00F56BE4">
        <w:trPr>
          <w:jc w:val="center"/>
        </w:trPr>
        <w:tc>
          <w:tcPr>
            <w:tcW w:w="1276"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费用相关事项的说明</w:t>
            </w:r>
          </w:p>
        </w:tc>
        <w:tc>
          <w:tcPr>
            <w:tcW w:w="3724" w:type="pct"/>
            <w:tcBorders>
              <w:top w:val="single" w:sz="4" w:space="0" w:color="auto"/>
              <w:left w:val="single" w:sz="4" w:space="0" w:color="auto"/>
              <w:bottom w:val="single" w:sz="4" w:space="0" w:color="auto"/>
              <w:right w:val="single" w:sz="4" w:space="0" w:color="auto"/>
            </w:tcBorders>
            <w:vAlign w:val="center"/>
            <w:hideMark/>
          </w:tcPr>
          <w:p w:rsidR="00E11D5E" w:rsidRPr="00195867" w:rsidRDefault="00E11D5E" w:rsidP="00F56BE4">
            <w:pPr>
              <w:adjustRightInd w:val="0"/>
              <w:snapToGrid w:val="0"/>
              <w:rPr>
                <w:rFonts w:ascii="宋体" w:hAnsi="宋体"/>
                <w:sz w:val="24"/>
              </w:rPr>
            </w:pPr>
            <w:r w:rsidRPr="00195867">
              <w:rPr>
                <w:rFonts w:ascii="宋体" w:hAnsi="宋体" w:hint="eastAsia"/>
                <w:sz w:val="24"/>
              </w:rPr>
              <w:t>本基金本次分红免收分红手续费。选择红利再投资方式的投资者</w:t>
            </w:r>
            <w:r w:rsidR="00CE50F1" w:rsidRPr="00195867">
              <w:rPr>
                <w:rFonts w:ascii="宋体" w:hAnsi="宋体" w:hint="eastAsia"/>
                <w:sz w:val="24"/>
              </w:rPr>
              <w:t>，</w:t>
            </w:r>
            <w:r w:rsidRPr="00195867">
              <w:rPr>
                <w:rFonts w:ascii="宋体" w:hAnsi="宋体" w:hint="eastAsia"/>
                <w:sz w:val="24"/>
              </w:rPr>
              <w:t>其红利所转换的基金份额免收申购费用。</w:t>
            </w:r>
          </w:p>
        </w:tc>
      </w:tr>
    </w:tbl>
    <w:p w:rsidR="00E11D5E" w:rsidRPr="00B42DCE" w:rsidRDefault="00E11D5E" w:rsidP="00E11D5E">
      <w:pPr>
        <w:adjustRightInd w:val="0"/>
        <w:snapToGrid w:val="0"/>
        <w:spacing w:line="360" w:lineRule="auto"/>
        <w:ind w:firstLineChars="200" w:firstLine="482"/>
        <w:rPr>
          <w:rFonts w:ascii="宋体" w:hAnsi="宋体"/>
          <w:b/>
          <w:sz w:val="24"/>
        </w:rPr>
      </w:pPr>
      <w:r w:rsidRPr="00B42DCE">
        <w:rPr>
          <w:rFonts w:ascii="宋体" w:hAnsi="宋体" w:hint="eastAsia"/>
          <w:b/>
          <w:sz w:val="24"/>
        </w:rPr>
        <w:t>3 其他需要提示的事项</w:t>
      </w:r>
    </w:p>
    <w:p w:rsidR="00E11D5E" w:rsidRPr="00B42DC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（1）权益登记日申请申购的基金份额不享有本次分红权益，权益登记日申请赎回的基金份额享有本次分红权益。</w:t>
      </w:r>
    </w:p>
    <w:p w:rsidR="00E11D5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rsidR="00E11D5E" w:rsidRPr="00B42DCE" w:rsidRDefault="00E11D5E" w:rsidP="00E11D5E">
      <w:pPr>
        <w:adjustRightInd w:val="0"/>
        <w:snapToGrid w:val="0"/>
        <w:spacing w:line="360" w:lineRule="auto"/>
        <w:ind w:firstLineChars="200" w:firstLine="480"/>
        <w:rPr>
          <w:rFonts w:ascii="宋体" w:hAnsi="宋体"/>
          <w:sz w:val="24"/>
        </w:rPr>
      </w:pPr>
      <w:r>
        <w:rPr>
          <w:rFonts w:ascii="宋体" w:hAnsi="宋体" w:hint="eastAsia"/>
          <w:sz w:val="24"/>
        </w:rPr>
        <w:t>（3）</w:t>
      </w:r>
      <w:r w:rsidRPr="00B42DCE">
        <w:rPr>
          <w:rFonts w:ascii="宋体" w:hAnsi="宋体" w:hint="eastAsia"/>
          <w:sz w:val="24"/>
        </w:rPr>
        <w:t>投资者可以在本基金开放日的交易时间内到销售网点修改分红方式，本次分红确认的方式将按照投资者在权益登记日之前(不含</w:t>
      </w:r>
      <w:r w:rsidR="00627E5B">
        <w:rPr>
          <w:rFonts w:ascii="宋体" w:hAnsi="宋体" w:hint="eastAsia"/>
          <w:sz w:val="24"/>
        </w:rPr>
        <w:t>2021年7月14日</w:t>
      </w:r>
      <w:r w:rsidRPr="00B42DCE">
        <w:rPr>
          <w:rFonts w:ascii="宋体" w:hAnsi="宋体" w:hint="eastAsia"/>
          <w:sz w:val="24"/>
        </w:rPr>
        <w:t>)最后一次选择的分红方式为准。请投资者到销售网点或通过本基金管理人客户服务中心确认分红方式是否正确，如不正确或希望修改分红方式的，请在上述规定时间前到销售网点办理变更手续。</w:t>
      </w:r>
    </w:p>
    <w:p w:rsidR="00E11D5E" w:rsidRPr="00B42DC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w:t>
      </w:r>
      <w:r w:rsidR="00EE452F">
        <w:rPr>
          <w:rFonts w:ascii="宋体" w:hAnsi="宋体" w:hint="eastAsia"/>
          <w:sz w:val="24"/>
        </w:rPr>
        <w:t>4</w:t>
      </w:r>
      <w:r w:rsidRPr="00B42DCE">
        <w:rPr>
          <w:rFonts w:ascii="宋体" w:hAnsi="宋体" w:hint="eastAsia"/>
          <w:sz w:val="24"/>
        </w:rPr>
        <w:t>）冻结基金份额的红利发放按照红利再投资处理。</w:t>
      </w:r>
    </w:p>
    <w:p w:rsidR="00E11D5E" w:rsidRPr="00B42DC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w:t>
      </w:r>
      <w:r w:rsidR="00EE452F">
        <w:rPr>
          <w:rFonts w:ascii="宋体" w:hAnsi="宋体" w:hint="eastAsia"/>
          <w:sz w:val="24"/>
        </w:rPr>
        <w:t>5</w:t>
      </w:r>
      <w:r w:rsidRPr="00B42DCE">
        <w:rPr>
          <w:rFonts w:ascii="宋体" w:hAnsi="宋体" w:hint="eastAsia"/>
          <w:sz w:val="24"/>
        </w:rPr>
        <w:t>）红利再投资份额的持有期自红利发放日起计算。</w:t>
      </w:r>
    </w:p>
    <w:p w:rsidR="00E11D5E" w:rsidRDefault="00E11D5E" w:rsidP="00E11D5E">
      <w:pPr>
        <w:adjustRightInd w:val="0"/>
        <w:snapToGrid w:val="0"/>
        <w:spacing w:line="360" w:lineRule="auto"/>
        <w:ind w:firstLineChars="200" w:firstLine="480"/>
        <w:rPr>
          <w:rFonts w:ascii="宋体" w:hAnsi="宋体"/>
          <w:sz w:val="24"/>
        </w:rPr>
      </w:pPr>
      <w:r>
        <w:rPr>
          <w:rFonts w:ascii="宋体" w:hAnsi="宋体" w:hint="eastAsia"/>
          <w:sz w:val="24"/>
        </w:rPr>
        <w:t>（</w:t>
      </w:r>
      <w:r w:rsidR="005E70EB">
        <w:rPr>
          <w:rFonts w:ascii="宋体" w:hAnsi="宋体" w:hint="eastAsia"/>
          <w:sz w:val="24"/>
        </w:rPr>
        <w:t>6</w:t>
      </w:r>
      <w:r>
        <w:rPr>
          <w:rFonts w:ascii="宋体" w:hAnsi="宋体" w:hint="eastAsia"/>
          <w:sz w:val="24"/>
        </w:rPr>
        <w:t>）</w:t>
      </w:r>
      <w:r w:rsidRPr="00B42DCE">
        <w:rPr>
          <w:rFonts w:ascii="宋体" w:hAnsi="宋体" w:hint="eastAsia"/>
          <w:sz w:val="24"/>
        </w:rPr>
        <w:t>本基金份额持有人及希望了解本基金其他有关信息的投资者，可以</w:t>
      </w:r>
      <w:r w:rsidR="00353637">
        <w:rPr>
          <w:rFonts w:ascii="宋体" w:hAnsi="宋体" w:hint="eastAsia"/>
          <w:sz w:val="24"/>
        </w:rPr>
        <w:t>登陆</w:t>
      </w:r>
      <w:r w:rsidRPr="00B42DCE">
        <w:rPr>
          <w:rFonts w:ascii="宋体" w:hAnsi="宋体" w:hint="eastAsia"/>
          <w:sz w:val="24"/>
        </w:rPr>
        <w:t>本基金管理人网站（www.qhkyfund.com）或拨打客服电话（4001-666-998）咨询相关事宜。</w:t>
      </w:r>
    </w:p>
    <w:p w:rsidR="00E11D5E" w:rsidRPr="00315E09" w:rsidRDefault="00E11D5E" w:rsidP="00E11D5E">
      <w:pPr>
        <w:adjustRightInd w:val="0"/>
        <w:snapToGrid w:val="0"/>
        <w:spacing w:line="360" w:lineRule="auto"/>
        <w:ind w:firstLineChars="200" w:firstLine="480"/>
        <w:rPr>
          <w:rFonts w:ascii="宋体" w:hAnsi="宋体"/>
          <w:sz w:val="24"/>
        </w:rPr>
      </w:pPr>
    </w:p>
    <w:p w:rsidR="00E11D5E" w:rsidRPr="00B42DC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风险提示：本基金分红并不改变本基金的风险收益特征，也不会因此降低基金投资风险或提高基金投资收益。本公司承诺以诚实信用、勤勉尽责的原则管理和运用基金财产，但不保证本基金一定盈利，也不保证最低收益。基金的过往业绩及其净值高低并不预示其未来业绩表现。投资者投资基金前应认真阅读基金合同、招募说明书</w:t>
      </w:r>
      <w:r w:rsidR="00627E5B">
        <w:rPr>
          <w:rFonts w:ascii="宋体" w:hAnsi="宋体" w:hint="eastAsia"/>
          <w:sz w:val="24"/>
        </w:rPr>
        <w:t>、基金产品资料概要及其更新</w:t>
      </w:r>
      <w:r w:rsidRPr="00B42DCE">
        <w:rPr>
          <w:rFonts w:ascii="宋体" w:hAnsi="宋体" w:hint="eastAsia"/>
          <w:sz w:val="24"/>
        </w:rPr>
        <w:t>等法律文件，了解所投资基金的风险收益特征，并根据自身情况购买与本人风险承受能力相匹配的产品。敬请投资者注意投资风险。</w:t>
      </w:r>
    </w:p>
    <w:p w:rsidR="00E11D5E" w:rsidRDefault="00E11D5E" w:rsidP="00E11D5E">
      <w:pPr>
        <w:adjustRightInd w:val="0"/>
        <w:snapToGrid w:val="0"/>
        <w:spacing w:line="360" w:lineRule="auto"/>
        <w:ind w:firstLineChars="200" w:firstLine="480"/>
        <w:rPr>
          <w:rFonts w:ascii="宋体" w:hAnsi="宋体"/>
          <w:sz w:val="24"/>
        </w:rPr>
      </w:pPr>
      <w:r w:rsidRPr="00B42DCE">
        <w:rPr>
          <w:rFonts w:ascii="宋体" w:hAnsi="宋体" w:hint="eastAsia"/>
          <w:sz w:val="24"/>
        </w:rPr>
        <w:t>特此公告</w:t>
      </w:r>
    </w:p>
    <w:p w:rsidR="00E11D5E" w:rsidRPr="00B42DCE" w:rsidRDefault="00E11D5E" w:rsidP="00E11D5E">
      <w:pPr>
        <w:adjustRightInd w:val="0"/>
        <w:snapToGrid w:val="0"/>
        <w:spacing w:line="360" w:lineRule="auto"/>
        <w:ind w:firstLineChars="200" w:firstLine="480"/>
        <w:jc w:val="right"/>
        <w:rPr>
          <w:rFonts w:ascii="宋体" w:hAnsi="宋体"/>
          <w:sz w:val="24"/>
        </w:rPr>
      </w:pPr>
      <w:r w:rsidRPr="00B42DCE">
        <w:rPr>
          <w:rFonts w:ascii="宋体" w:hAnsi="宋体" w:hint="eastAsia"/>
          <w:sz w:val="24"/>
        </w:rPr>
        <w:t>前海开源基金管理有限公司</w:t>
      </w:r>
    </w:p>
    <w:p w:rsidR="00B42DCE" w:rsidRPr="00B42DCE" w:rsidRDefault="00B31616" w:rsidP="00B42DCE">
      <w:pPr>
        <w:adjustRightInd w:val="0"/>
        <w:snapToGrid w:val="0"/>
        <w:spacing w:line="360" w:lineRule="auto"/>
        <w:ind w:firstLineChars="200" w:firstLine="480"/>
        <w:jc w:val="right"/>
        <w:rPr>
          <w:rFonts w:ascii="宋体" w:hAnsi="宋体"/>
          <w:sz w:val="24"/>
        </w:rPr>
      </w:pPr>
      <w:r>
        <w:rPr>
          <w:rFonts w:ascii="宋体" w:hAnsi="宋体" w:hint="eastAsia"/>
          <w:sz w:val="24"/>
        </w:rPr>
        <w:t>202</w:t>
      </w:r>
      <w:r>
        <w:rPr>
          <w:rFonts w:ascii="宋体" w:hAnsi="宋体"/>
          <w:sz w:val="24"/>
        </w:rPr>
        <w:t>1</w:t>
      </w:r>
      <w:r w:rsidR="00CA5A9F">
        <w:rPr>
          <w:rFonts w:ascii="宋体" w:hAnsi="宋体" w:hint="eastAsia"/>
          <w:sz w:val="24"/>
        </w:rPr>
        <w:t>年</w:t>
      </w:r>
      <w:r>
        <w:rPr>
          <w:rFonts w:ascii="宋体" w:hAnsi="宋体"/>
          <w:sz w:val="24"/>
        </w:rPr>
        <w:t>7</w:t>
      </w:r>
      <w:r w:rsidR="00CA5A9F">
        <w:rPr>
          <w:rFonts w:ascii="宋体" w:hAnsi="宋体" w:hint="eastAsia"/>
          <w:sz w:val="24"/>
        </w:rPr>
        <w:t>月</w:t>
      </w:r>
      <w:r w:rsidR="00745E6F">
        <w:rPr>
          <w:rFonts w:ascii="宋体" w:hAnsi="宋体" w:hint="eastAsia"/>
          <w:sz w:val="24"/>
        </w:rPr>
        <w:t>1</w:t>
      </w:r>
      <w:r w:rsidR="00745E6F">
        <w:rPr>
          <w:rFonts w:ascii="宋体" w:hAnsi="宋体"/>
          <w:sz w:val="24"/>
        </w:rPr>
        <w:t>2</w:t>
      </w:r>
      <w:r w:rsidR="00CA5A9F">
        <w:rPr>
          <w:rFonts w:ascii="宋体" w:hAnsi="宋体" w:hint="eastAsia"/>
          <w:sz w:val="24"/>
        </w:rPr>
        <w:t>日</w:t>
      </w:r>
    </w:p>
    <w:sectPr w:rsidR="00B42DCE" w:rsidRPr="00B42DCE" w:rsidSect="002468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E9" w:rsidRDefault="008557E9" w:rsidP="008958C9">
      <w:r>
        <w:separator/>
      </w:r>
    </w:p>
  </w:endnote>
  <w:endnote w:type="continuationSeparator" w:id="0">
    <w:p w:rsidR="008557E9" w:rsidRDefault="008557E9" w:rsidP="00895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E9" w:rsidRDefault="008557E9" w:rsidP="008958C9">
      <w:r>
        <w:separator/>
      </w:r>
    </w:p>
  </w:footnote>
  <w:footnote w:type="continuationSeparator" w:id="0">
    <w:p w:rsidR="008557E9" w:rsidRDefault="008557E9" w:rsidP="00895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E9D"/>
    <w:rsid w:val="00002086"/>
    <w:rsid w:val="00023EB9"/>
    <w:rsid w:val="00032832"/>
    <w:rsid w:val="00037A04"/>
    <w:rsid w:val="00082D9D"/>
    <w:rsid w:val="00090393"/>
    <w:rsid w:val="00092212"/>
    <w:rsid w:val="0009590E"/>
    <w:rsid w:val="000A0196"/>
    <w:rsid w:val="000D24AF"/>
    <w:rsid w:val="000D2F28"/>
    <w:rsid w:val="000F2794"/>
    <w:rsid w:val="00101B67"/>
    <w:rsid w:val="00104A59"/>
    <w:rsid w:val="001056B5"/>
    <w:rsid w:val="0012166A"/>
    <w:rsid w:val="00122BC3"/>
    <w:rsid w:val="00123B9C"/>
    <w:rsid w:val="0013064A"/>
    <w:rsid w:val="00146278"/>
    <w:rsid w:val="00154C48"/>
    <w:rsid w:val="00163A56"/>
    <w:rsid w:val="00183DEE"/>
    <w:rsid w:val="00195867"/>
    <w:rsid w:val="001A31C7"/>
    <w:rsid w:val="001B7E00"/>
    <w:rsid w:val="001C1AB2"/>
    <w:rsid w:val="001C1C9B"/>
    <w:rsid w:val="001D37A6"/>
    <w:rsid w:val="001E19BF"/>
    <w:rsid w:val="001E1D79"/>
    <w:rsid w:val="001E2DCD"/>
    <w:rsid w:val="001E6D80"/>
    <w:rsid w:val="00210D5A"/>
    <w:rsid w:val="002320E7"/>
    <w:rsid w:val="00246851"/>
    <w:rsid w:val="002600DE"/>
    <w:rsid w:val="0026657F"/>
    <w:rsid w:val="002671DE"/>
    <w:rsid w:val="00271D57"/>
    <w:rsid w:val="002A2C5F"/>
    <w:rsid w:val="002C24B4"/>
    <w:rsid w:val="002C5608"/>
    <w:rsid w:val="002C7447"/>
    <w:rsid w:val="002D3F20"/>
    <w:rsid w:val="002D74C9"/>
    <w:rsid w:val="002E0880"/>
    <w:rsid w:val="002E7D6E"/>
    <w:rsid w:val="002F1511"/>
    <w:rsid w:val="00324CE7"/>
    <w:rsid w:val="00352B2E"/>
    <w:rsid w:val="00353637"/>
    <w:rsid w:val="00353AC1"/>
    <w:rsid w:val="00356173"/>
    <w:rsid w:val="003654DA"/>
    <w:rsid w:val="00390D9C"/>
    <w:rsid w:val="003947E9"/>
    <w:rsid w:val="003953A0"/>
    <w:rsid w:val="003E480A"/>
    <w:rsid w:val="003F0C2D"/>
    <w:rsid w:val="00412691"/>
    <w:rsid w:val="004135EE"/>
    <w:rsid w:val="00444DCB"/>
    <w:rsid w:val="0044720D"/>
    <w:rsid w:val="00450F3D"/>
    <w:rsid w:val="00452FE1"/>
    <w:rsid w:val="00483622"/>
    <w:rsid w:val="0048561B"/>
    <w:rsid w:val="0049281F"/>
    <w:rsid w:val="004C4648"/>
    <w:rsid w:val="004D05B1"/>
    <w:rsid w:val="004D241B"/>
    <w:rsid w:val="004E62E2"/>
    <w:rsid w:val="004F7B3C"/>
    <w:rsid w:val="00511A72"/>
    <w:rsid w:val="00530B9B"/>
    <w:rsid w:val="00540DB0"/>
    <w:rsid w:val="0055156E"/>
    <w:rsid w:val="00556715"/>
    <w:rsid w:val="00563CB0"/>
    <w:rsid w:val="00566911"/>
    <w:rsid w:val="00591FDE"/>
    <w:rsid w:val="005A16B7"/>
    <w:rsid w:val="005A1C7E"/>
    <w:rsid w:val="005B3766"/>
    <w:rsid w:val="005D173D"/>
    <w:rsid w:val="005E3877"/>
    <w:rsid w:val="005E70EB"/>
    <w:rsid w:val="006132AE"/>
    <w:rsid w:val="006274D5"/>
    <w:rsid w:val="00627E5B"/>
    <w:rsid w:val="00644403"/>
    <w:rsid w:val="00652FD3"/>
    <w:rsid w:val="00665DD7"/>
    <w:rsid w:val="006778D9"/>
    <w:rsid w:val="0068188E"/>
    <w:rsid w:val="006B77D9"/>
    <w:rsid w:val="006B7F92"/>
    <w:rsid w:val="006C235F"/>
    <w:rsid w:val="006D7643"/>
    <w:rsid w:val="006E4260"/>
    <w:rsid w:val="006F0F83"/>
    <w:rsid w:val="006F251D"/>
    <w:rsid w:val="006F4A43"/>
    <w:rsid w:val="006F6778"/>
    <w:rsid w:val="00711216"/>
    <w:rsid w:val="0072082C"/>
    <w:rsid w:val="00721DDB"/>
    <w:rsid w:val="00743F6D"/>
    <w:rsid w:val="00745E6F"/>
    <w:rsid w:val="0074634C"/>
    <w:rsid w:val="00750CBB"/>
    <w:rsid w:val="007812D5"/>
    <w:rsid w:val="007A2BD8"/>
    <w:rsid w:val="007B7728"/>
    <w:rsid w:val="007C0276"/>
    <w:rsid w:val="007C2223"/>
    <w:rsid w:val="007C2F7A"/>
    <w:rsid w:val="007F69D0"/>
    <w:rsid w:val="00801F70"/>
    <w:rsid w:val="008557E9"/>
    <w:rsid w:val="00894551"/>
    <w:rsid w:val="008958C9"/>
    <w:rsid w:val="008A462E"/>
    <w:rsid w:val="008A5C12"/>
    <w:rsid w:val="008C1A4B"/>
    <w:rsid w:val="008D5265"/>
    <w:rsid w:val="008E0E22"/>
    <w:rsid w:val="008E679C"/>
    <w:rsid w:val="008F0970"/>
    <w:rsid w:val="008F347C"/>
    <w:rsid w:val="008F7710"/>
    <w:rsid w:val="008F7E9D"/>
    <w:rsid w:val="00907730"/>
    <w:rsid w:val="00930F02"/>
    <w:rsid w:val="009349FF"/>
    <w:rsid w:val="009361DA"/>
    <w:rsid w:val="009437D1"/>
    <w:rsid w:val="00952705"/>
    <w:rsid w:val="00955863"/>
    <w:rsid w:val="009A5FFD"/>
    <w:rsid w:val="009B26C8"/>
    <w:rsid w:val="009E5DCC"/>
    <w:rsid w:val="009E67B5"/>
    <w:rsid w:val="00A14B0B"/>
    <w:rsid w:val="00A20BF5"/>
    <w:rsid w:val="00A41D62"/>
    <w:rsid w:val="00A42FD6"/>
    <w:rsid w:val="00A47747"/>
    <w:rsid w:val="00A75EAC"/>
    <w:rsid w:val="00A94E0E"/>
    <w:rsid w:val="00A94E5B"/>
    <w:rsid w:val="00AC0034"/>
    <w:rsid w:val="00AD3DB1"/>
    <w:rsid w:val="00AD574D"/>
    <w:rsid w:val="00B12C24"/>
    <w:rsid w:val="00B16376"/>
    <w:rsid w:val="00B262A2"/>
    <w:rsid w:val="00B272B4"/>
    <w:rsid w:val="00B31616"/>
    <w:rsid w:val="00B401D9"/>
    <w:rsid w:val="00B40896"/>
    <w:rsid w:val="00B42696"/>
    <w:rsid w:val="00B42DCE"/>
    <w:rsid w:val="00B454F2"/>
    <w:rsid w:val="00B50341"/>
    <w:rsid w:val="00B50F01"/>
    <w:rsid w:val="00B628EC"/>
    <w:rsid w:val="00B751C3"/>
    <w:rsid w:val="00BA786D"/>
    <w:rsid w:val="00BC4257"/>
    <w:rsid w:val="00BC7073"/>
    <w:rsid w:val="00BD2DB7"/>
    <w:rsid w:val="00BE2564"/>
    <w:rsid w:val="00C00546"/>
    <w:rsid w:val="00C23FCA"/>
    <w:rsid w:val="00C26D0E"/>
    <w:rsid w:val="00C26FCE"/>
    <w:rsid w:val="00C376ED"/>
    <w:rsid w:val="00C70E43"/>
    <w:rsid w:val="00C77986"/>
    <w:rsid w:val="00C8418D"/>
    <w:rsid w:val="00C844F2"/>
    <w:rsid w:val="00CA1002"/>
    <w:rsid w:val="00CA21CF"/>
    <w:rsid w:val="00CA522F"/>
    <w:rsid w:val="00CA5A9F"/>
    <w:rsid w:val="00CB0520"/>
    <w:rsid w:val="00CC2AEA"/>
    <w:rsid w:val="00CE50F1"/>
    <w:rsid w:val="00CE6511"/>
    <w:rsid w:val="00CE6976"/>
    <w:rsid w:val="00D22C9C"/>
    <w:rsid w:val="00D35748"/>
    <w:rsid w:val="00D57BC7"/>
    <w:rsid w:val="00D62385"/>
    <w:rsid w:val="00D62C62"/>
    <w:rsid w:val="00D62EAB"/>
    <w:rsid w:val="00D64766"/>
    <w:rsid w:val="00D72502"/>
    <w:rsid w:val="00DC42A8"/>
    <w:rsid w:val="00DC432A"/>
    <w:rsid w:val="00DE7951"/>
    <w:rsid w:val="00E11D5E"/>
    <w:rsid w:val="00E16CF4"/>
    <w:rsid w:val="00E2275C"/>
    <w:rsid w:val="00E62051"/>
    <w:rsid w:val="00E80D5E"/>
    <w:rsid w:val="00E970BB"/>
    <w:rsid w:val="00EB3601"/>
    <w:rsid w:val="00EB4E21"/>
    <w:rsid w:val="00EC6C1B"/>
    <w:rsid w:val="00ED2B34"/>
    <w:rsid w:val="00ED2B51"/>
    <w:rsid w:val="00EE3D46"/>
    <w:rsid w:val="00EE452F"/>
    <w:rsid w:val="00EF5935"/>
    <w:rsid w:val="00F37108"/>
    <w:rsid w:val="00F545AE"/>
    <w:rsid w:val="00F56BE4"/>
    <w:rsid w:val="00F70301"/>
    <w:rsid w:val="00F77DFE"/>
    <w:rsid w:val="00FA2AE2"/>
    <w:rsid w:val="00FB4D32"/>
    <w:rsid w:val="00FB5E84"/>
    <w:rsid w:val="00FC113C"/>
    <w:rsid w:val="00FC4DA2"/>
    <w:rsid w:val="00FC670D"/>
    <w:rsid w:val="00FF3008"/>
    <w:rsid w:val="00FF56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958C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8958C9"/>
    <w:rPr>
      <w:sz w:val="18"/>
      <w:szCs w:val="18"/>
    </w:rPr>
  </w:style>
  <w:style w:type="paragraph" w:styleId="a5">
    <w:name w:val="footer"/>
    <w:basedOn w:val="a"/>
    <w:link w:val="Char0"/>
    <w:uiPriority w:val="99"/>
    <w:unhideWhenUsed/>
    <w:rsid w:val="008958C9"/>
    <w:pPr>
      <w:tabs>
        <w:tab w:val="center" w:pos="4153"/>
        <w:tab w:val="right" w:pos="8306"/>
      </w:tabs>
      <w:snapToGrid w:val="0"/>
      <w:jc w:val="left"/>
    </w:pPr>
    <w:rPr>
      <w:kern w:val="0"/>
      <w:sz w:val="18"/>
      <w:szCs w:val="18"/>
      <w:lang/>
    </w:rPr>
  </w:style>
  <w:style w:type="character" w:customStyle="1" w:styleId="Char0">
    <w:name w:val="页脚 Char"/>
    <w:link w:val="a5"/>
    <w:uiPriority w:val="99"/>
    <w:rsid w:val="008958C9"/>
    <w:rPr>
      <w:sz w:val="18"/>
      <w:szCs w:val="18"/>
    </w:rPr>
  </w:style>
  <w:style w:type="paragraph" w:styleId="a6">
    <w:name w:val="Balloon Text"/>
    <w:basedOn w:val="a"/>
    <w:link w:val="Char1"/>
    <w:uiPriority w:val="99"/>
    <w:semiHidden/>
    <w:unhideWhenUsed/>
    <w:rsid w:val="00591FDE"/>
    <w:rPr>
      <w:kern w:val="0"/>
      <w:sz w:val="18"/>
      <w:szCs w:val="18"/>
      <w:lang/>
    </w:rPr>
  </w:style>
  <w:style w:type="character" w:customStyle="1" w:styleId="Char1">
    <w:name w:val="批注框文本 Char"/>
    <w:link w:val="a6"/>
    <w:uiPriority w:val="99"/>
    <w:semiHidden/>
    <w:rsid w:val="00591FDE"/>
    <w:rPr>
      <w:sz w:val="18"/>
      <w:szCs w:val="18"/>
    </w:rPr>
  </w:style>
  <w:style w:type="character" w:styleId="a7">
    <w:name w:val="annotation reference"/>
    <w:uiPriority w:val="99"/>
    <w:semiHidden/>
    <w:unhideWhenUsed/>
    <w:rsid w:val="00A94E5B"/>
    <w:rPr>
      <w:sz w:val="21"/>
      <w:szCs w:val="21"/>
    </w:rPr>
  </w:style>
  <w:style w:type="paragraph" w:styleId="a8">
    <w:name w:val="annotation text"/>
    <w:basedOn w:val="a"/>
    <w:link w:val="Char2"/>
    <w:uiPriority w:val="99"/>
    <w:semiHidden/>
    <w:unhideWhenUsed/>
    <w:rsid w:val="00A94E5B"/>
    <w:pPr>
      <w:jc w:val="left"/>
    </w:pPr>
    <w:rPr>
      <w:lang/>
    </w:rPr>
  </w:style>
  <w:style w:type="character" w:customStyle="1" w:styleId="Char2">
    <w:name w:val="批注文字 Char"/>
    <w:link w:val="a8"/>
    <w:uiPriority w:val="99"/>
    <w:semiHidden/>
    <w:rsid w:val="00A94E5B"/>
    <w:rPr>
      <w:kern w:val="2"/>
      <w:sz w:val="21"/>
      <w:szCs w:val="22"/>
    </w:rPr>
  </w:style>
  <w:style w:type="paragraph" w:styleId="a9">
    <w:name w:val="annotation subject"/>
    <w:basedOn w:val="a8"/>
    <w:next w:val="a8"/>
    <w:link w:val="Char3"/>
    <w:uiPriority w:val="99"/>
    <w:semiHidden/>
    <w:unhideWhenUsed/>
    <w:rsid w:val="00A94E5B"/>
    <w:rPr>
      <w:b/>
      <w:bCs/>
    </w:rPr>
  </w:style>
  <w:style w:type="character" w:customStyle="1" w:styleId="Char3">
    <w:name w:val="批注主题 Char"/>
    <w:link w:val="a9"/>
    <w:uiPriority w:val="99"/>
    <w:semiHidden/>
    <w:rsid w:val="00A94E5B"/>
    <w:rPr>
      <w:b/>
      <w:bCs/>
      <w:kern w:val="2"/>
      <w:sz w:val="21"/>
      <w:szCs w:val="22"/>
    </w:rPr>
  </w:style>
  <w:style w:type="paragraph" w:styleId="aa">
    <w:name w:val="Revision"/>
    <w:hidden/>
    <w:uiPriority w:val="99"/>
    <w:semiHidden/>
    <w:rsid w:val="00F77DFE"/>
    <w:rPr>
      <w:kern w:val="2"/>
      <w:sz w:val="21"/>
      <w:szCs w:val="22"/>
    </w:rPr>
  </w:style>
</w:styles>
</file>

<file path=word/webSettings.xml><?xml version="1.0" encoding="utf-8"?>
<w:webSettings xmlns:r="http://schemas.openxmlformats.org/officeDocument/2006/relationships" xmlns:w="http://schemas.openxmlformats.org/wordprocessingml/2006/main">
  <w:divs>
    <w:div w:id="42603721">
      <w:bodyDiv w:val="1"/>
      <w:marLeft w:val="0"/>
      <w:marRight w:val="0"/>
      <w:marTop w:val="0"/>
      <w:marBottom w:val="0"/>
      <w:divBdr>
        <w:top w:val="none" w:sz="0" w:space="0" w:color="auto"/>
        <w:left w:val="none" w:sz="0" w:space="0" w:color="auto"/>
        <w:bottom w:val="none" w:sz="0" w:space="0" w:color="auto"/>
        <w:right w:val="none" w:sz="0" w:space="0" w:color="auto"/>
      </w:divBdr>
    </w:div>
    <w:div w:id="58024373">
      <w:bodyDiv w:val="1"/>
      <w:marLeft w:val="0"/>
      <w:marRight w:val="0"/>
      <w:marTop w:val="0"/>
      <w:marBottom w:val="0"/>
      <w:divBdr>
        <w:top w:val="none" w:sz="0" w:space="0" w:color="auto"/>
        <w:left w:val="none" w:sz="0" w:space="0" w:color="auto"/>
        <w:bottom w:val="none" w:sz="0" w:space="0" w:color="auto"/>
        <w:right w:val="none" w:sz="0" w:space="0" w:color="auto"/>
      </w:divBdr>
    </w:div>
    <w:div w:id="207883529">
      <w:bodyDiv w:val="1"/>
      <w:marLeft w:val="0"/>
      <w:marRight w:val="0"/>
      <w:marTop w:val="0"/>
      <w:marBottom w:val="0"/>
      <w:divBdr>
        <w:top w:val="none" w:sz="0" w:space="0" w:color="auto"/>
        <w:left w:val="none" w:sz="0" w:space="0" w:color="auto"/>
        <w:bottom w:val="none" w:sz="0" w:space="0" w:color="auto"/>
        <w:right w:val="none" w:sz="0" w:space="0" w:color="auto"/>
      </w:divBdr>
    </w:div>
    <w:div w:id="229655795">
      <w:bodyDiv w:val="1"/>
      <w:marLeft w:val="0"/>
      <w:marRight w:val="0"/>
      <w:marTop w:val="0"/>
      <w:marBottom w:val="0"/>
      <w:divBdr>
        <w:top w:val="none" w:sz="0" w:space="0" w:color="auto"/>
        <w:left w:val="none" w:sz="0" w:space="0" w:color="auto"/>
        <w:bottom w:val="none" w:sz="0" w:space="0" w:color="auto"/>
        <w:right w:val="none" w:sz="0" w:space="0" w:color="auto"/>
      </w:divBdr>
    </w:div>
    <w:div w:id="231889466">
      <w:bodyDiv w:val="1"/>
      <w:marLeft w:val="0"/>
      <w:marRight w:val="0"/>
      <w:marTop w:val="0"/>
      <w:marBottom w:val="0"/>
      <w:divBdr>
        <w:top w:val="none" w:sz="0" w:space="0" w:color="auto"/>
        <w:left w:val="none" w:sz="0" w:space="0" w:color="auto"/>
        <w:bottom w:val="none" w:sz="0" w:space="0" w:color="auto"/>
        <w:right w:val="none" w:sz="0" w:space="0" w:color="auto"/>
      </w:divBdr>
    </w:div>
    <w:div w:id="662512293">
      <w:bodyDiv w:val="1"/>
      <w:marLeft w:val="0"/>
      <w:marRight w:val="0"/>
      <w:marTop w:val="0"/>
      <w:marBottom w:val="0"/>
      <w:divBdr>
        <w:top w:val="none" w:sz="0" w:space="0" w:color="auto"/>
        <w:left w:val="none" w:sz="0" w:space="0" w:color="auto"/>
        <w:bottom w:val="none" w:sz="0" w:space="0" w:color="auto"/>
        <w:right w:val="none" w:sz="0" w:space="0" w:color="auto"/>
      </w:divBdr>
    </w:div>
    <w:div w:id="872158118">
      <w:bodyDiv w:val="1"/>
      <w:marLeft w:val="0"/>
      <w:marRight w:val="0"/>
      <w:marTop w:val="0"/>
      <w:marBottom w:val="0"/>
      <w:divBdr>
        <w:top w:val="none" w:sz="0" w:space="0" w:color="auto"/>
        <w:left w:val="none" w:sz="0" w:space="0" w:color="auto"/>
        <w:bottom w:val="none" w:sz="0" w:space="0" w:color="auto"/>
        <w:right w:val="none" w:sz="0" w:space="0" w:color="auto"/>
      </w:divBdr>
    </w:div>
    <w:div w:id="1037393242">
      <w:bodyDiv w:val="1"/>
      <w:marLeft w:val="0"/>
      <w:marRight w:val="0"/>
      <w:marTop w:val="0"/>
      <w:marBottom w:val="0"/>
      <w:divBdr>
        <w:top w:val="none" w:sz="0" w:space="0" w:color="auto"/>
        <w:left w:val="none" w:sz="0" w:space="0" w:color="auto"/>
        <w:bottom w:val="none" w:sz="0" w:space="0" w:color="auto"/>
        <w:right w:val="none" w:sz="0" w:space="0" w:color="auto"/>
      </w:divBdr>
    </w:div>
    <w:div w:id="1107239643">
      <w:bodyDiv w:val="1"/>
      <w:marLeft w:val="0"/>
      <w:marRight w:val="0"/>
      <w:marTop w:val="0"/>
      <w:marBottom w:val="0"/>
      <w:divBdr>
        <w:top w:val="none" w:sz="0" w:space="0" w:color="auto"/>
        <w:left w:val="none" w:sz="0" w:space="0" w:color="auto"/>
        <w:bottom w:val="none" w:sz="0" w:space="0" w:color="auto"/>
        <w:right w:val="none" w:sz="0" w:space="0" w:color="auto"/>
      </w:divBdr>
    </w:div>
    <w:div w:id="1221280944">
      <w:bodyDiv w:val="1"/>
      <w:marLeft w:val="0"/>
      <w:marRight w:val="0"/>
      <w:marTop w:val="0"/>
      <w:marBottom w:val="0"/>
      <w:divBdr>
        <w:top w:val="none" w:sz="0" w:space="0" w:color="auto"/>
        <w:left w:val="none" w:sz="0" w:space="0" w:color="auto"/>
        <w:bottom w:val="none" w:sz="0" w:space="0" w:color="auto"/>
        <w:right w:val="none" w:sz="0" w:space="0" w:color="auto"/>
      </w:divBdr>
    </w:div>
    <w:div w:id="1330399663">
      <w:bodyDiv w:val="1"/>
      <w:marLeft w:val="0"/>
      <w:marRight w:val="0"/>
      <w:marTop w:val="0"/>
      <w:marBottom w:val="0"/>
      <w:divBdr>
        <w:top w:val="none" w:sz="0" w:space="0" w:color="auto"/>
        <w:left w:val="none" w:sz="0" w:space="0" w:color="auto"/>
        <w:bottom w:val="none" w:sz="0" w:space="0" w:color="auto"/>
        <w:right w:val="none" w:sz="0" w:space="0" w:color="auto"/>
      </w:divBdr>
    </w:div>
    <w:div w:id="1524973830">
      <w:bodyDiv w:val="1"/>
      <w:marLeft w:val="0"/>
      <w:marRight w:val="0"/>
      <w:marTop w:val="0"/>
      <w:marBottom w:val="0"/>
      <w:divBdr>
        <w:top w:val="none" w:sz="0" w:space="0" w:color="auto"/>
        <w:left w:val="none" w:sz="0" w:space="0" w:color="auto"/>
        <w:bottom w:val="none" w:sz="0" w:space="0" w:color="auto"/>
        <w:right w:val="none" w:sz="0" w:space="0" w:color="auto"/>
      </w:divBdr>
    </w:div>
    <w:div w:id="1996177763">
      <w:bodyDiv w:val="1"/>
      <w:marLeft w:val="0"/>
      <w:marRight w:val="0"/>
      <w:marTop w:val="0"/>
      <w:marBottom w:val="0"/>
      <w:divBdr>
        <w:top w:val="none" w:sz="0" w:space="0" w:color="auto"/>
        <w:left w:val="none" w:sz="0" w:space="0" w:color="auto"/>
        <w:bottom w:val="none" w:sz="0" w:space="0" w:color="auto"/>
        <w:right w:val="none" w:sz="0" w:space="0" w:color="auto"/>
      </w:divBdr>
    </w:div>
    <w:div w:id="20622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4</DocSecurity>
  <Lines>11</Lines>
  <Paragraphs>3</Paragraphs>
  <ScaleCrop>false</ScaleCrop>
  <Company>Lenovo</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2021-07-11T16:01:00Z</dcterms:created>
  <dcterms:modified xsi:type="dcterms:W3CDTF">2021-07-11T16:01:00Z</dcterms:modified>
</cp:coreProperties>
</file>