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4C" w:rsidRDefault="0056421B">
      <w:pPr>
        <w:pStyle w:val="a3"/>
        <w:widowControl/>
        <w:shd w:val="clear" w:color="auto" w:fill="FFFFFF"/>
        <w:spacing w:before="192" w:beforeAutospacing="0" w:afterAutospacing="0" w:line="16" w:lineRule="atLeast"/>
        <w:jc w:val="center"/>
        <w:rPr>
          <w:rFonts w:ascii="微软雅黑" w:eastAsia="微软雅黑" w:hAnsi="微软雅黑" w:cs="微软雅黑"/>
          <w:b/>
          <w:color w:val="000000" w:themeColor="text1"/>
          <w:sz w:val="28"/>
        </w:rPr>
      </w:pPr>
      <w:r>
        <w:rPr>
          <w:rFonts w:ascii="微软雅黑" w:eastAsia="微软雅黑" w:hAnsi="微软雅黑" w:cs="微软雅黑" w:hint="eastAsia"/>
          <w:b/>
          <w:color w:val="000000" w:themeColor="text1"/>
          <w:sz w:val="28"/>
          <w:shd w:val="clear" w:color="auto" w:fill="FFFFFF"/>
        </w:rPr>
        <w:t>中庚基金管理有限公司关于增加宁波银行股份有限公司为旗下开放式证券投资基金销售机构的公告</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根据中庚基金管理有限公司与宁波银行股份有限公司（以下简称“宁波银行”）签署的证券投资基金销售协议，自2021年7月9日起，增加宁波银行为旗下开放式证券投资基金的销售机构。</w:t>
      </w:r>
    </w:p>
    <w:p w:rsidR="00227E4C" w:rsidRDefault="0056421B">
      <w:pPr>
        <w:pStyle w:val="4"/>
        <w:widowControl/>
        <w:shd w:val="clear" w:color="auto" w:fill="FFFFFF"/>
        <w:spacing w:before="120" w:beforeAutospacing="0" w:after="120" w:afterAutospacing="0"/>
        <w:rPr>
          <w:rFonts w:ascii="微软雅黑" w:eastAsia="微软雅黑" w:hAnsi="微软雅黑" w:cs="微软雅黑" w:hint="default"/>
          <w:color w:val="000000" w:themeColor="text1"/>
        </w:rPr>
      </w:pPr>
      <w:r>
        <w:rPr>
          <w:rFonts w:ascii="微软雅黑" w:eastAsia="微软雅黑" w:hAnsi="微软雅黑" w:cs="微软雅黑"/>
          <w:color w:val="000000" w:themeColor="text1"/>
          <w:shd w:val="clear" w:color="auto" w:fill="FFFFFF"/>
        </w:rPr>
        <w:t>一、基金开户、申购、赎回、转换、定期定额投资等业务</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自2021年7月9日起，投资者可通过宁波银</w:t>
      </w:r>
      <w:r>
        <w:rPr>
          <w:rFonts w:ascii="微软雅黑" w:eastAsia="微软雅黑" w:hAnsi="微软雅黑" w:cs="微软雅黑"/>
          <w:color w:val="000000" w:themeColor="text1"/>
          <w:shd w:val="clear" w:color="auto" w:fill="FFFFFF"/>
        </w:rPr>
        <w:t>行办</w:t>
      </w:r>
      <w:r>
        <w:rPr>
          <w:rFonts w:ascii="微软雅黑" w:eastAsia="微软雅黑" w:hAnsi="微软雅黑" w:cs="微软雅黑" w:hint="eastAsia"/>
          <w:color w:val="000000" w:themeColor="text1"/>
          <w:shd w:val="clear" w:color="auto" w:fill="FFFFFF"/>
        </w:rPr>
        <w:t>理下述基金的开户、申购、赎回、转换、定期定额投资等业务，具体的业务流程、办理时间和办理方式以宁波银行的规定为准。</w:t>
      </w:r>
    </w:p>
    <w:tbl>
      <w:tblPr>
        <w:tblW w:w="8486" w:type="dxa"/>
        <w:jc w:val="center"/>
        <w:tblBorders>
          <w:top w:val="single" w:sz="4" w:space="0" w:color="CCCCCC"/>
          <w:left w:val="single" w:sz="4" w:space="0" w:color="CCCCCC"/>
          <w:bottom w:val="single" w:sz="4" w:space="0" w:color="CCCCCC"/>
          <w:right w:val="single" w:sz="4" w:space="0" w:color="CCCCCC"/>
        </w:tblBorders>
        <w:tblCellMar>
          <w:top w:w="15" w:type="dxa"/>
          <w:left w:w="15" w:type="dxa"/>
          <w:bottom w:w="15" w:type="dxa"/>
          <w:right w:w="15" w:type="dxa"/>
        </w:tblCellMar>
        <w:tblLook w:val="04A0"/>
      </w:tblPr>
      <w:tblGrid>
        <w:gridCol w:w="929"/>
        <w:gridCol w:w="2090"/>
        <w:gridCol w:w="5467"/>
      </w:tblGrid>
      <w:tr w:rsidR="00227E4C">
        <w:trPr>
          <w:tblHeader/>
          <w:jc w:val="center"/>
        </w:trPr>
        <w:tc>
          <w:tcPr>
            <w:tcW w:w="941" w:type="dxa"/>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jc w:val="center"/>
              <w:rPr>
                <w:rFonts w:ascii="微软雅黑" w:eastAsia="微软雅黑" w:hAnsi="微软雅黑"/>
                <w:b/>
                <w:color w:val="000000" w:themeColor="text1"/>
                <w:sz w:val="24"/>
              </w:rPr>
            </w:pPr>
            <w:r>
              <w:rPr>
                <w:rFonts w:ascii="微软雅黑" w:eastAsia="微软雅黑" w:hAnsi="微软雅黑" w:cs="宋体"/>
                <w:b/>
                <w:color w:val="000000" w:themeColor="text1"/>
                <w:kern w:val="0"/>
                <w:sz w:val="24"/>
                <w:lang/>
              </w:rPr>
              <w:t>序号</w:t>
            </w:r>
          </w:p>
        </w:tc>
        <w:tc>
          <w:tcPr>
            <w:tcW w:w="2112" w:type="dxa"/>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jc w:val="center"/>
              <w:rPr>
                <w:rFonts w:ascii="微软雅黑" w:eastAsia="微软雅黑" w:hAnsi="微软雅黑"/>
                <w:b/>
                <w:color w:val="000000" w:themeColor="text1"/>
                <w:sz w:val="24"/>
              </w:rPr>
            </w:pPr>
            <w:r>
              <w:rPr>
                <w:rFonts w:ascii="微软雅黑" w:eastAsia="微软雅黑" w:hAnsi="微软雅黑" w:cs="宋体"/>
                <w:b/>
                <w:color w:val="000000" w:themeColor="text1"/>
                <w:kern w:val="0"/>
                <w:sz w:val="24"/>
                <w:lang/>
              </w:rPr>
              <w:t>基金代码</w:t>
            </w:r>
          </w:p>
        </w:tc>
        <w:tc>
          <w:tcPr>
            <w:tcW w:w="5424" w:type="dxa"/>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jc w:val="center"/>
              <w:rPr>
                <w:rFonts w:ascii="微软雅黑" w:eastAsia="微软雅黑" w:hAnsi="微软雅黑"/>
                <w:b/>
                <w:color w:val="000000" w:themeColor="text1"/>
                <w:sz w:val="24"/>
              </w:rPr>
            </w:pPr>
            <w:r>
              <w:rPr>
                <w:rFonts w:ascii="微软雅黑" w:eastAsia="微软雅黑" w:hAnsi="微软雅黑" w:cs="宋体"/>
                <w:b/>
                <w:color w:val="000000" w:themeColor="text1"/>
                <w:kern w:val="0"/>
                <w:sz w:val="24"/>
                <w:lang/>
              </w:rPr>
              <w:t>基金名称</w:t>
            </w:r>
          </w:p>
        </w:tc>
      </w:tr>
      <w:tr w:rsidR="00227E4C">
        <w:trPr>
          <w:jc w:val="center"/>
        </w:trPr>
        <w:tc>
          <w:tcPr>
            <w:tcW w:w="941" w:type="dxa"/>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1</w:t>
            </w:r>
          </w:p>
        </w:tc>
        <w:tc>
          <w:tcPr>
            <w:tcW w:w="2112" w:type="dxa"/>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006551</w:t>
            </w:r>
          </w:p>
        </w:tc>
        <w:tc>
          <w:tcPr>
            <w:tcW w:w="5424" w:type="dxa"/>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中庚价值领航混合型证券投资基金</w:t>
            </w:r>
          </w:p>
        </w:tc>
      </w:tr>
      <w:tr w:rsidR="00227E4C">
        <w:trPr>
          <w:jc w:val="center"/>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2</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007130</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中庚小盘价值股票型证券投资基金</w:t>
            </w:r>
          </w:p>
        </w:tc>
      </w:tr>
      <w:tr w:rsidR="00227E4C">
        <w:trPr>
          <w:jc w:val="center"/>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3</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007497</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中庚价值灵动灵活配置混合型证券投资基金（A类）</w:t>
            </w:r>
          </w:p>
        </w:tc>
      </w:tr>
      <w:tr w:rsidR="00227E4C">
        <w:trPr>
          <w:jc w:val="center"/>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4</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007498</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olor w:val="000000" w:themeColor="text1"/>
                <w:sz w:val="24"/>
              </w:rPr>
            </w:pPr>
            <w:r>
              <w:rPr>
                <w:rFonts w:ascii="微软雅黑" w:eastAsia="微软雅黑" w:hAnsi="微软雅黑" w:cs="宋体"/>
                <w:color w:val="000000" w:themeColor="text1"/>
                <w:kern w:val="0"/>
                <w:sz w:val="24"/>
                <w:lang/>
              </w:rPr>
              <w:t>中庚价值灵动灵活配置混合型证券投资基金（B类）</w:t>
            </w:r>
          </w:p>
        </w:tc>
      </w:tr>
      <w:tr w:rsidR="00227E4C">
        <w:trPr>
          <w:jc w:val="center"/>
        </w:trPr>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5</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011174</w:t>
            </w:r>
          </w:p>
        </w:tc>
        <w:tc>
          <w:tcPr>
            <w:tcW w:w="0" w:type="auto"/>
            <w:tcBorders>
              <w:top w:val="single" w:sz="4" w:space="0" w:color="CCCCCC"/>
              <w:left w:val="single" w:sz="4" w:space="0" w:color="CCCCCC"/>
              <w:bottom w:val="single" w:sz="4" w:space="0" w:color="CCCCCC"/>
              <w:right w:val="single" w:sz="4" w:space="0" w:color="CCCCCC"/>
            </w:tcBorders>
            <w:shd w:val="clear" w:color="auto" w:fill="auto"/>
            <w:tcMar>
              <w:top w:w="0" w:type="dxa"/>
              <w:left w:w="24" w:type="dxa"/>
              <w:bottom w:w="0" w:type="dxa"/>
              <w:right w:w="24" w:type="dxa"/>
            </w:tcMar>
            <w:vAlign w:val="center"/>
          </w:tcPr>
          <w:p w:rsidR="00227E4C" w:rsidRDefault="0056421B">
            <w:pPr>
              <w:widowControl/>
              <w:spacing w:line="264" w:lineRule="atLeast"/>
              <w:jc w:val="center"/>
              <w:rPr>
                <w:rFonts w:ascii="微软雅黑" w:eastAsia="微软雅黑" w:hAnsi="微软雅黑" w:cs="宋体"/>
                <w:color w:val="000000" w:themeColor="text1"/>
                <w:kern w:val="0"/>
                <w:sz w:val="24"/>
                <w:lang/>
              </w:rPr>
            </w:pPr>
            <w:r>
              <w:rPr>
                <w:rFonts w:ascii="微软雅黑" w:eastAsia="微软雅黑" w:hAnsi="微软雅黑" w:cs="宋体" w:hint="eastAsia"/>
                <w:color w:val="000000" w:themeColor="text1"/>
                <w:kern w:val="0"/>
                <w:sz w:val="24"/>
                <w:lang/>
              </w:rPr>
              <w:t>中庚价值品质一年持有期混合型证券投资基金</w:t>
            </w:r>
          </w:p>
        </w:tc>
      </w:tr>
    </w:tbl>
    <w:p w:rsidR="00227E4C" w:rsidRDefault="0056421B">
      <w:pPr>
        <w:pStyle w:val="4"/>
        <w:widowControl/>
        <w:shd w:val="clear" w:color="auto" w:fill="FFFFFF"/>
        <w:spacing w:before="120" w:beforeAutospacing="0" w:after="120" w:afterAutospacing="0"/>
        <w:ind w:firstLineChars="200" w:firstLine="480"/>
        <w:rPr>
          <w:rFonts w:ascii="微软雅黑" w:eastAsia="微软雅黑" w:hAnsi="微软雅黑" w:cs="微软雅黑" w:hint="default"/>
          <w:b w:val="0"/>
          <w:color w:val="000000" w:themeColor="text1"/>
          <w:shd w:val="clear" w:color="auto" w:fill="FFFFFF"/>
        </w:rPr>
      </w:pPr>
      <w:r>
        <w:rPr>
          <w:rFonts w:ascii="微软雅黑" w:eastAsia="微软雅黑" w:hAnsi="微软雅黑" w:cs="微软雅黑"/>
          <w:b w:val="0"/>
          <w:color w:val="000000" w:themeColor="text1"/>
          <w:shd w:val="clear" w:color="auto" w:fill="FFFFFF"/>
        </w:rPr>
        <w:t>注：中庚价值品质一年持有期混合型证券投资基金暂不开通基金转换业务。</w:t>
      </w:r>
    </w:p>
    <w:p w:rsidR="00227E4C" w:rsidRDefault="0056421B">
      <w:pPr>
        <w:pStyle w:val="4"/>
        <w:widowControl/>
        <w:shd w:val="clear" w:color="auto" w:fill="FFFFFF"/>
        <w:spacing w:before="120" w:beforeAutospacing="0" w:after="120" w:afterAutospacing="0"/>
        <w:rPr>
          <w:rFonts w:ascii="微软雅黑" w:eastAsia="微软雅黑" w:hAnsi="微软雅黑" w:cs="微软雅黑" w:hint="default"/>
          <w:color w:val="000000" w:themeColor="text1"/>
        </w:rPr>
      </w:pPr>
      <w:r>
        <w:rPr>
          <w:rFonts w:ascii="微软雅黑" w:eastAsia="微软雅黑" w:hAnsi="微软雅黑" w:cs="微软雅黑"/>
          <w:color w:val="000000" w:themeColor="text1"/>
          <w:shd w:val="clear" w:color="auto" w:fill="FFFFFF"/>
        </w:rPr>
        <w:t>二、业务咨询</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投资者可以通过以下途径咨询、了解有关基金详情：</w:t>
      </w:r>
    </w:p>
    <w:p w:rsidR="00227E4C" w:rsidRDefault="0056421B">
      <w:pPr>
        <w:pStyle w:val="5"/>
        <w:widowControl/>
        <w:shd w:val="clear" w:color="auto" w:fill="FFFFFF"/>
        <w:spacing w:beforeAutospacing="0" w:afterAutospacing="0"/>
        <w:ind w:firstLineChars="200" w:firstLine="480"/>
        <w:rPr>
          <w:rFonts w:ascii="微软雅黑" w:eastAsia="微软雅黑" w:hAnsi="微软雅黑" w:cs="微软雅黑" w:hint="default"/>
          <w:color w:val="000000" w:themeColor="text1"/>
          <w:sz w:val="24"/>
          <w:szCs w:val="24"/>
          <w:shd w:val="clear" w:color="auto" w:fill="FFFFFF"/>
        </w:rPr>
      </w:pPr>
      <w:r>
        <w:rPr>
          <w:rFonts w:ascii="微软雅黑" w:eastAsia="微软雅黑" w:hAnsi="微软雅黑" w:cs="微软雅黑"/>
          <w:color w:val="000000" w:themeColor="text1"/>
          <w:sz w:val="24"/>
          <w:szCs w:val="24"/>
          <w:shd w:val="clear" w:color="auto" w:fill="FFFFFF"/>
        </w:rPr>
        <w:t>1. 宁波银行股份有限公司</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客户服务电话：95574</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lastRenderedPageBreak/>
        <w:t>网址：www.nbcb.com.cn</w:t>
      </w:r>
    </w:p>
    <w:p w:rsidR="00227E4C" w:rsidRDefault="0056421B">
      <w:pPr>
        <w:pStyle w:val="5"/>
        <w:widowControl/>
        <w:shd w:val="clear" w:color="auto" w:fill="FFFFFF"/>
        <w:spacing w:beforeAutospacing="0" w:afterAutospacing="0"/>
        <w:ind w:firstLineChars="200" w:firstLine="480"/>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2. 中庚基金管理有限公司</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客户服务电话</w:t>
      </w:r>
      <w:bookmarkStart w:id="0" w:name="_GoBack"/>
      <w:bookmarkEnd w:id="0"/>
      <w:r>
        <w:rPr>
          <w:rFonts w:ascii="微软雅黑" w:eastAsia="微软雅黑" w:hAnsi="微软雅黑" w:cs="微软雅黑" w:hint="eastAsia"/>
          <w:color w:val="000000" w:themeColor="text1"/>
          <w:shd w:val="clear" w:color="auto" w:fill="FFFFFF"/>
        </w:rPr>
        <w:t>：021-53549999</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网址：www.zgfunds.com.cn</w:t>
      </w:r>
    </w:p>
    <w:p w:rsidR="00227E4C" w:rsidRDefault="0056421B">
      <w:pPr>
        <w:pStyle w:val="4"/>
        <w:widowControl/>
        <w:shd w:val="clear" w:color="auto" w:fill="FFFFFF"/>
        <w:spacing w:before="120" w:beforeAutospacing="0" w:after="120" w:afterAutospacing="0"/>
        <w:rPr>
          <w:rFonts w:ascii="微软雅黑" w:eastAsia="微软雅黑" w:hAnsi="微软雅黑" w:cs="微软雅黑" w:hint="default"/>
          <w:color w:val="000000" w:themeColor="text1"/>
        </w:rPr>
      </w:pPr>
      <w:r>
        <w:rPr>
          <w:rFonts w:ascii="微软雅黑" w:eastAsia="微软雅黑" w:hAnsi="微软雅黑" w:cs="微软雅黑"/>
          <w:color w:val="000000" w:themeColor="text1"/>
          <w:shd w:val="clear" w:color="auto" w:fill="FFFFFF"/>
        </w:rPr>
        <w:t>三、风险提示</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本基金管理人承诺以诚实信用、勤勉尽责的原则管理和运用基金资产，但不保证基金一定盈利，也不保证最低收益。投资人应当认真阅读《基金合同》、《招募说明书》等基金法律文件，了解基金的风险收益特征，并根据自身的投资目的、投资期限、投资经验、资产状况等判断基金是否和投资人的风险承受能力相适应。</w:t>
      </w:r>
    </w:p>
    <w:p w:rsidR="00227E4C" w:rsidRDefault="0056421B">
      <w:pPr>
        <w:pStyle w:val="a3"/>
        <w:widowControl/>
        <w:shd w:val="clear" w:color="auto" w:fill="FFFFFF"/>
        <w:spacing w:before="192" w:beforeAutospacing="0" w:afterAutospacing="0" w:line="336" w:lineRule="atLeast"/>
        <w:ind w:firstLineChars="200" w:firstLine="480"/>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特此公告。</w:t>
      </w:r>
    </w:p>
    <w:p w:rsidR="00227E4C" w:rsidRDefault="0056421B">
      <w:pPr>
        <w:pStyle w:val="a3"/>
        <w:widowControl/>
        <w:shd w:val="clear" w:color="auto" w:fill="FFFFFF"/>
        <w:spacing w:before="192" w:beforeAutospacing="0" w:afterAutospacing="0" w:line="336" w:lineRule="atLeast"/>
        <w:jc w:val="right"/>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中庚基金管理有限公司</w:t>
      </w:r>
    </w:p>
    <w:p w:rsidR="00227E4C" w:rsidRDefault="0056421B">
      <w:pPr>
        <w:pStyle w:val="a3"/>
        <w:widowControl/>
        <w:shd w:val="clear" w:color="auto" w:fill="FFFFFF"/>
        <w:spacing w:before="192" w:beforeAutospacing="0" w:afterAutospacing="0" w:line="336" w:lineRule="atLeast"/>
        <w:jc w:val="right"/>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2021年7月9日</w:t>
      </w:r>
    </w:p>
    <w:p w:rsidR="00227E4C" w:rsidRDefault="00227E4C">
      <w:pPr>
        <w:rPr>
          <w:color w:val="000000" w:themeColor="text1"/>
          <w:sz w:val="24"/>
        </w:rPr>
      </w:pPr>
    </w:p>
    <w:sectPr w:rsidR="00227E4C" w:rsidSect="004146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A5" w:rsidRDefault="003443A5" w:rsidP="003443A5">
      <w:r>
        <w:separator/>
      </w:r>
    </w:p>
  </w:endnote>
  <w:endnote w:type="continuationSeparator" w:id="0">
    <w:p w:rsidR="003443A5" w:rsidRDefault="003443A5" w:rsidP="00344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A5" w:rsidRDefault="003443A5" w:rsidP="003443A5">
      <w:r>
        <w:separator/>
      </w:r>
    </w:p>
  </w:footnote>
  <w:footnote w:type="continuationSeparator" w:id="0">
    <w:p w:rsidR="003443A5" w:rsidRDefault="003443A5" w:rsidP="003443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F634C05"/>
    <w:rsid w:val="00227E4C"/>
    <w:rsid w:val="003443A5"/>
    <w:rsid w:val="003F0188"/>
    <w:rsid w:val="004146A2"/>
    <w:rsid w:val="0056421B"/>
    <w:rsid w:val="00977A3D"/>
    <w:rsid w:val="00B15E6A"/>
    <w:rsid w:val="00C270CF"/>
    <w:rsid w:val="00D82406"/>
    <w:rsid w:val="00E009A9"/>
    <w:rsid w:val="00F675A5"/>
    <w:rsid w:val="049E6A0D"/>
    <w:rsid w:val="1E8458E9"/>
    <w:rsid w:val="2EC629FE"/>
    <w:rsid w:val="32F1666A"/>
    <w:rsid w:val="33010566"/>
    <w:rsid w:val="3C795FBB"/>
    <w:rsid w:val="54D60EEF"/>
    <w:rsid w:val="5AC11793"/>
    <w:rsid w:val="5C87630D"/>
    <w:rsid w:val="67F75B2F"/>
    <w:rsid w:val="728230EB"/>
    <w:rsid w:val="7B0A6FEA"/>
    <w:rsid w:val="7F634C05"/>
    <w:rsid w:val="7FDD7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6A2"/>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4146A2"/>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rsid w:val="004146A2"/>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46A2"/>
    <w:pPr>
      <w:spacing w:beforeAutospacing="1" w:afterAutospacing="1"/>
      <w:jc w:val="left"/>
    </w:pPr>
    <w:rPr>
      <w:rFonts w:cs="Times New Roman"/>
      <w:kern w:val="0"/>
      <w:sz w:val="24"/>
    </w:rPr>
  </w:style>
  <w:style w:type="paragraph" w:styleId="a4">
    <w:name w:val="header"/>
    <w:basedOn w:val="a"/>
    <w:link w:val="Char"/>
    <w:rsid w:val="003443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43A5"/>
    <w:rPr>
      <w:rFonts w:asciiTheme="minorHAnsi" w:eastAsiaTheme="minorEastAsia" w:hAnsiTheme="minorHAnsi" w:cstheme="minorBidi"/>
      <w:kern w:val="2"/>
      <w:sz w:val="18"/>
      <w:szCs w:val="18"/>
    </w:rPr>
  </w:style>
  <w:style w:type="paragraph" w:styleId="a5">
    <w:name w:val="footer"/>
    <w:basedOn w:val="a"/>
    <w:link w:val="Char0"/>
    <w:rsid w:val="003443A5"/>
    <w:pPr>
      <w:tabs>
        <w:tab w:val="center" w:pos="4153"/>
        <w:tab w:val="right" w:pos="8306"/>
      </w:tabs>
      <w:snapToGrid w:val="0"/>
      <w:jc w:val="left"/>
    </w:pPr>
    <w:rPr>
      <w:sz w:val="18"/>
      <w:szCs w:val="18"/>
    </w:rPr>
  </w:style>
  <w:style w:type="character" w:customStyle="1" w:styleId="Char0">
    <w:name w:val="页脚 Char"/>
    <w:basedOn w:val="a0"/>
    <w:link w:val="a5"/>
    <w:rsid w:val="003443A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634</Characters>
  <Application>Microsoft Office Word</Application>
  <DocSecurity>4</DocSecurity>
  <Lines>5</Lines>
  <Paragraphs>1</Paragraphs>
  <ScaleCrop>false</ScaleCrop>
  <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cj117</dc:creator>
  <cp:lastModifiedBy>ZHONGM</cp:lastModifiedBy>
  <cp:revision>2</cp:revision>
  <dcterms:created xsi:type="dcterms:W3CDTF">2021-07-08T16:17:00Z</dcterms:created>
  <dcterms:modified xsi:type="dcterms:W3CDTF">2021-07-08T16:17:00Z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5CB91C9AED98433EA8E61D560737D3E4</vt:lpwstr>
  </property>
</Properties>
</file>