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F7C32">
      <w:pPr>
        <w:spacing w:line="360" w:lineRule="auto"/>
        <w:jc w:val="center"/>
        <w:rPr>
          <w:rFonts w:hint="eastAsia"/>
          <w:b/>
          <w:sz w:val="24"/>
        </w:rPr>
      </w:pPr>
      <w:r>
        <w:rPr>
          <w:rFonts w:hint="eastAsia"/>
          <w:b/>
          <w:sz w:val="24"/>
        </w:rPr>
        <w:t>国联安基金管理有限公司关于旗下部分基金参加中国人寿相关费率优惠活动的公告</w:t>
      </w:r>
    </w:p>
    <w:p w:rsidR="00000000" w:rsidRDefault="007F7C32">
      <w:pPr>
        <w:jc w:val="center"/>
        <w:rPr>
          <w:rFonts w:hint="eastAsia"/>
          <w:b/>
          <w:sz w:val="24"/>
        </w:rPr>
      </w:pPr>
    </w:p>
    <w:p w:rsidR="00000000" w:rsidRDefault="007F7C32">
      <w:pPr>
        <w:spacing w:line="360" w:lineRule="auto"/>
        <w:ind w:firstLineChars="200" w:firstLine="420"/>
        <w:rPr>
          <w:rFonts w:ascii="Arial" w:cs="Arial"/>
          <w:szCs w:val="21"/>
        </w:rPr>
      </w:pPr>
      <w:r>
        <w:rPr>
          <w:rFonts w:ascii="Arial" w:cs="Arial" w:hint="eastAsia"/>
          <w:szCs w:val="21"/>
        </w:rPr>
        <w:t>为了更好地满足广大投资者的理财需求，国联安基金管理有限公司（以下简称“本公司”）经与中国人寿股份有限公司（以下简称“中国人寿”）协商一致，决定本公司旗下部分基金自</w:t>
      </w:r>
      <w:r>
        <w:rPr>
          <w:rFonts w:ascii="Arial" w:cs="Arial" w:hint="eastAsia"/>
          <w:szCs w:val="21"/>
        </w:rPr>
        <w:t>2021</w:t>
      </w:r>
      <w:r>
        <w:rPr>
          <w:rFonts w:ascii="Arial" w:cs="Arial" w:hint="eastAsia"/>
          <w:szCs w:val="21"/>
        </w:rPr>
        <w:t>年</w:t>
      </w:r>
      <w:r>
        <w:rPr>
          <w:rFonts w:ascii="Arial" w:cs="Arial" w:hint="eastAsia"/>
          <w:szCs w:val="21"/>
        </w:rPr>
        <w:t>7</w:t>
      </w:r>
      <w:r>
        <w:rPr>
          <w:rFonts w:ascii="Arial" w:cs="Arial" w:hint="eastAsia"/>
          <w:szCs w:val="21"/>
        </w:rPr>
        <w:t>月</w:t>
      </w:r>
      <w:r>
        <w:rPr>
          <w:rFonts w:ascii="Arial" w:cs="Arial" w:hint="eastAsia"/>
          <w:szCs w:val="21"/>
        </w:rPr>
        <w:t>5</w:t>
      </w:r>
      <w:r>
        <w:rPr>
          <w:rFonts w:ascii="Arial" w:cs="Arial" w:hint="eastAsia"/>
          <w:szCs w:val="21"/>
        </w:rPr>
        <w:t>日起参加中国人寿开展的相关费率优惠活动。现就有关事项公告如下：</w:t>
      </w:r>
    </w:p>
    <w:p w:rsidR="00000000" w:rsidRDefault="007F7C32">
      <w:pPr>
        <w:spacing w:line="360" w:lineRule="auto"/>
        <w:ind w:firstLineChars="200" w:firstLine="420"/>
        <w:rPr>
          <w:rFonts w:ascii="Arial" w:hAnsi="Arial" w:cs="Arial" w:hint="eastAsia"/>
          <w:szCs w:val="21"/>
        </w:rPr>
      </w:pPr>
    </w:p>
    <w:p w:rsidR="00000000" w:rsidRDefault="007F7C32">
      <w:pPr>
        <w:spacing w:line="360" w:lineRule="auto"/>
        <w:ind w:firstLineChars="200" w:firstLine="420"/>
        <w:rPr>
          <w:rFonts w:ascii="Arial" w:hAnsi="Arial" w:cs="Arial"/>
          <w:szCs w:val="21"/>
        </w:rPr>
      </w:pPr>
      <w:r>
        <w:rPr>
          <w:rFonts w:ascii="Arial" w:cs="Arial"/>
          <w:szCs w:val="21"/>
        </w:rPr>
        <w:t>一、业务范围</w:t>
      </w:r>
    </w:p>
    <w:p w:rsidR="00000000" w:rsidRDefault="007F7C32">
      <w:pPr>
        <w:spacing w:line="360" w:lineRule="auto"/>
        <w:ind w:firstLineChars="200" w:firstLine="420"/>
        <w:rPr>
          <w:rFonts w:ascii="Arial" w:cs="Arial"/>
          <w:szCs w:val="21"/>
        </w:rPr>
      </w:pPr>
      <w:r>
        <w:rPr>
          <w:rFonts w:ascii="Arial" w:cs="Arial"/>
          <w:szCs w:val="21"/>
        </w:rPr>
        <w:t>投资者可在</w:t>
      </w:r>
      <w:r>
        <w:rPr>
          <w:rFonts w:ascii="Arial" w:cs="Arial" w:hint="eastAsia"/>
          <w:szCs w:val="21"/>
        </w:rPr>
        <w:t>中国人寿</w:t>
      </w:r>
      <w:r>
        <w:rPr>
          <w:rFonts w:ascii="Arial" w:cs="Arial"/>
          <w:szCs w:val="21"/>
        </w:rPr>
        <w:t>的营业网点办理下述基金的申购、赎回、</w:t>
      </w:r>
      <w:r>
        <w:rPr>
          <w:rFonts w:ascii="Arial" w:cs="Arial" w:hint="eastAsia"/>
          <w:szCs w:val="21"/>
        </w:rPr>
        <w:t>定期定额投资</w:t>
      </w:r>
      <w:r>
        <w:rPr>
          <w:rFonts w:ascii="Arial" w:cs="Arial"/>
          <w:szCs w:val="21"/>
        </w:rPr>
        <w:t>等相关业务：</w:t>
      </w:r>
    </w:p>
    <w:p w:rsidR="00000000" w:rsidRDefault="007F7C32">
      <w:pPr>
        <w:spacing w:line="360" w:lineRule="auto"/>
        <w:ind w:firstLineChars="200" w:firstLine="420"/>
        <w:rPr>
          <w:rFonts w:ascii="Arial" w:cs="Arial"/>
          <w:szCs w:val="21"/>
        </w:rPr>
      </w:pPr>
      <w:r>
        <w:rPr>
          <w:rFonts w:ascii="Arial" w:cs="Arial" w:hint="eastAsia"/>
          <w:szCs w:val="21"/>
        </w:rPr>
        <w:t>国联安中证</w:t>
      </w:r>
      <w:r>
        <w:rPr>
          <w:rFonts w:ascii="Arial" w:cs="Arial" w:hint="eastAsia"/>
          <w:szCs w:val="21"/>
        </w:rPr>
        <w:t>100</w:t>
      </w:r>
      <w:r>
        <w:rPr>
          <w:rFonts w:ascii="Arial" w:cs="Arial" w:hint="eastAsia"/>
          <w:szCs w:val="21"/>
        </w:rPr>
        <w:t>指数证券投资基金（</w:t>
      </w:r>
      <w:r>
        <w:rPr>
          <w:rFonts w:ascii="Arial" w:cs="Arial" w:hint="eastAsia"/>
          <w:szCs w:val="21"/>
        </w:rPr>
        <w:t>LOF</w:t>
      </w:r>
      <w:r>
        <w:rPr>
          <w:rFonts w:ascii="Arial" w:cs="Arial" w:hint="eastAsia"/>
          <w:szCs w:val="21"/>
        </w:rPr>
        <w:t>）（基金简称：国联安中证</w:t>
      </w:r>
      <w:r>
        <w:rPr>
          <w:rFonts w:ascii="Arial" w:cs="Arial" w:hint="eastAsia"/>
          <w:szCs w:val="21"/>
        </w:rPr>
        <w:t>100</w:t>
      </w:r>
      <w:r>
        <w:rPr>
          <w:rFonts w:ascii="Arial" w:cs="Arial" w:hint="eastAsia"/>
          <w:szCs w:val="21"/>
        </w:rPr>
        <w:t>指数（</w:t>
      </w:r>
      <w:r>
        <w:rPr>
          <w:rFonts w:ascii="Arial" w:cs="Arial" w:hint="eastAsia"/>
          <w:szCs w:val="21"/>
        </w:rPr>
        <w:t>LOF</w:t>
      </w:r>
      <w:r>
        <w:rPr>
          <w:rFonts w:ascii="Arial" w:cs="Arial" w:hint="eastAsia"/>
          <w:szCs w:val="21"/>
        </w:rPr>
        <w:t>）；基金代码：</w:t>
      </w:r>
      <w:r>
        <w:rPr>
          <w:rFonts w:ascii="Arial" w:cs="Arial"/>
          <w:szCs w:val="21"/>
        </w:rPr>
        <w:t>1</w:t>
      </w:r>
      <w:r>
        <w:rPr>
          <w:rFonts w:ascii="Arial" w:cs="Arial"/>
          <w:szCs w:val="21"/>
        </w:rPr>
        <w:t>62509</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hint="eastAsia"/>
          <w:szCs w:val="21"/>
        </w:rPr>
        <w:t>国联安中小企业综合指数证券投资基金（</w:t>
      </w:r>
      <w:r>
        <w:rPr>
          <w:rFonts w:ascii="Arial" w:cs="Arial" w:hint="eastAsia"/>
          <w:szCs w:val="21"/>
        </w:rPr>
        <w:t>LOF</w:t>
      </w:r>
      <w:r>
        <w:rPr>
          <w:rFonts w:ascii="Arial" w:cs="Arial" w:hint="eastAsia"/>
          <w:szCs w:val="21"/>
        </w:rPr>
        <w:t>）（基金简称：国联安中小综指（</w:t>
      </w:r>
      <w:r>
        <w:rPr>
          <w:rFonts w:ascii="Arial" w:cs="Arial" w:hint="eastAsia"/>
          <w:szCs w:val="21"/>
        </w:rPr>
        <w:t>LOF)</w:t>
      </w:r>
      <w:r>
        <w:rPr>
          <w:rFonts w:ascii="Arial" w:cs="Arial" w:hint="eastAsia"/>
          <w:szCs w:val="21"/>
        </w:rPr>
        <w:t>；基金代码：</w:t>
      </w:r>
      <w:r>
        <w:rPr>
          <w:rFonts w:ascii="Arial" w:cs="Arial"/>
          <w:szCs w:val="21"/>
        </w:rPr>
        <w:t>162510</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hint="eastAsia"/>
          <w:szCs w:val="21"/>
        </w:rPr>
        <w:t>国联安双佳信用债券型证券投资基金（</w:t>
      </w:r>
      <w:r>
        <w:rPr>
          <w:rFonts w:ascii="Arial" w:cs="Arial" w:hint="eastAsia"/>
          <w:szCs w:val="21"/>
        </w:rPr>
        <w:t>LOF</w:t>
      </w:r>
      <w:r>
        <w:rPr>
          <w:rFonts w:ascii="Arial" w:cs="Arial" w:hint="eastAsia"/>
          <w:szCs w:val="21"/>
        </w:rPr>
        <w:t>）（基金简称：国联安双佳信用债券（</w:t>
      </w:r>
      <w:r>
        <w:rPr>
          <w:rFonts w:ascii="Arial" w:cs="Arial" w:hint="eastAsia"/>
          <w:szCs w:val="21"/>
        </w:rPr>
        <w:t>LOF</w:t>
      </w:r>
      <w:r>
        <w:rPr>
          <w:rFonts w:ascii="Arial" w:cs="Arial" w:hint="eastAsia"/>
          <w:szCs w:val="21"/>
        </w:rPr>
        <w:t>）；基金代码：</w:t>
      </w:r>
      <w:r>
        <w:rPr>
          <w:rFonts w:ascii="Arial" w:cs="Arial"/>
          <w:szCs w:val="21"/>
        </w:rPr>
        <w:t>162511</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hint="eastAsia"/>
          <w:szCs w:val="21"/>
        </w:rPr>
        <w:t>国联安科技创新</w:t>
      </w:r>
      <w:r>
        <w:rPr>
          <w:rFonts w:ascii="Arial" w:cs="Arial" w:hint="eastAsia"/>
          <w:szCs w:val="21"/>
        </w:rPr>
        <w:t>3</w:t>
      </w:r>
      <w:r>
        <w:rPr>
          <w:rFonts w:ascii="Arial" w:cs="Arial" w:hint="eastAsia"/>
          <w:szCs w:val="21"/>
        </w:rPr>
        <w:t>年封闭运作灵活配置混合型证券投资基金（基金简称：国联安科技创新</w:t>
      </w:r>
      <w:r>
        <w:rPr>
          <w:rFonts w:ascii="Arial" w:cs="Arial" w:hint="eastAsia"/>
          <w:szCs w:val="21"/>
        </w:rPr>
        <w:t>3</w:t>
      </w:r>
      <w:r>
        <w:rPr>
          <w:rFonts w:ascii="Arial" w:cs="Arial" w:hint="eastAsia"/>
          <w:szCs w:val="21"/>
        </w:rPr>
        <w:t>年混合；基金代码：</w:t>
      </w:r>
      <w:r>
        <w:rPr>
          <w:rFonts w:ascii="Arial" w:cs="Arial"/>
          <w:szCs w:val="21"/>
        </w:rPr>
        <w:t>501096</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国联安恒利</w:t>
      </w:r>
      <w:r>
        <w:rPr>
          <w:rFonts w:ascii="Arial" w:cs="Arial" w:hint="eastAsia"/>
          <w:szCs w:val="21"/>
        </w:rPr>
        <w:t>63</w:t>
      </w:r>
      <w:r>
        <w:rPr>
          <w:rFonts w:ascii="Arial" w:cs="Arial" w:hint="eastAsia"/>
          <w:szCs w:val="21"/>
        </w:rPr>
        <w:t>个月定期开放债券型证券投资基金（基金简称：国联安恒利</w:t>
      </w:r>
      <w:r>
        <w:rPr>
          <w:rFonts w:ascii="Arial" w:cs="Arial" w:hint="eastAsia"/>
          <w:szCs w:val="21"/>
        </w:rPr>
        <w:t>63</w:t>
      </w:r>
      <w:r>
        <w:rPr>
          <w:rFonts w:ascii="Arial" w:cs="Arial" w:hint="eastAsia"/>
          <w:szCs w:val="21"/>
        </w:rPr>
        <w:t>个月定开债券；基金代码：</w:t>
      </w:r>
      <w:r>
        <w:rPr>
          <w:rFonts w:ascii="Arial" w:cs="Arial"/>
          <w:szCs w:val="21"/>
        </w:rPr>
        <w:t>A</w:t>
      </w:r>
      <w:r>
        <w:rPr>
          <w:rFonts w:ascii="Arial" w:cs="Arial" w:hint="eastAsia"/>
          <w:szCs w:val="21"/>
        </w:rPr>
        <w:t>类：</w:t>
      </w:r>
      <w:r>
        <w:rPr>
          <w:rFonts w:ascii="Arial" w:cs="Arial"/>
          <w:szCs w:val="21"/>
        </w:rPr>
        <w:t>007999</w:t>
      </w:r>
      <w:r>
        <w:rPr>
          <w:rFonts w:ascii="Arial" w:cs="Arial" w:hint="eastAsia"/>
          <w:szCs w:val="21"/>
        </w:rPr>
        <w:t>、</w:t>
      </w:r>
      <w:r>
        <w:rPr>
          <w:rFonts w:ascii="Arial" w:cs="Arial" w:hint="eastAsia"/>
          <w:szCs w:val="21"/>
        </w:rPr>
        <w:t>C</w:t>
      </w:r>
      <w:r>
        <w:rPr>
          <w:rFonts w:ascii="Arial" w:cs="Arial" w:hint="eastAsia"/>
          <w:szCs w:val="21"/>
        </w:rPr>
        <w:t>类：</w:t>
      </w:r>
      <w:r>
        <w:rPr>
          <w:rFonts w:ascii="Arial" w:cs="Arial"/>
          <w:szCs w:val="21"/>
        </w:rPr>
        <w:t>008000</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国联安德盛稳健证券投资基金</w:t>
      </w:r>
      <w:r>
        <w:rPr>
          <w:rFonts w:ascii="Arial" w:cs="Arial" w:hint="eastAsia"/>
          <w:szCs w:val="21"/>
        </w:rPr>
        <w:t>（基</w:t>
      </w:r>
      <w:r>
        <w:rPr>
          <w:rFonts w:ascii="Arial" w:cs="Arial" w:hint="eastAsia"/>
          <w:szCs w:val="21"/>
        </w:rPr>
        <w:t>金简称：国联安稳健混合；基金代码：</w:t>
      </w:r>
      <w:r>
        <w:rPr>
          <w:rFonts w:ascii="Arial" w:cs="Arial"/>
          <w:szCs w:val="21"/>
        </w:rPr>
        <w:t>255010</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国联安德盛小盘精选证券投资基金</w:t>
      </w:r>
      <w:r>
        <w:rPr>
          <w:rFonts w:ascii="Arial" w:cs="Arial" w:hint="eastAsia"/>
          <w:szCs w:val="21"/>
        </w:rPr>
        <w:t>（基金简称：国联安小盘精选混合；基金代码：</w:t>
      </w:r>
      <w:r>
        <w:rPr>
          <w:rFonts w:ascii="Arial" w:cs="Arial"/>
          <w:szCs w:val="21"/>
        </w:rPr>
        <w:t>257010</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国联安德盛安心成长混合型证券投资基金</w:t>
      </w:r>
      <w:r>
        <w:rPr>
          <w:rFonts w:ascii="Arial" w:cs="Arial" w:hint="eastAsia"/>
          <w:szCs w:val="21"/>
        </w:rPr>
        <w:t>（基金简称：国联安安心成长混合；基金代码：</w:t>
      </w:r>
      <w:r>
        <w:rPr>
          <w:rFonts w:ascii="Arial" w:cs="Arial"/>
          <w:szCs w:val="21"/>
        </w:rPr>
        <w:t>253010</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国联安德盛精选</w:t>
      </w:r>
      <w:r>
        <w:rPr>
          <w:rFonts w:ascii="Arial" w:cs="Arial" w:hint="eastAsia"/>
          <w:szCs w:val="21"/>
        </w:rPr>
        <w:t>混合型</w:t>
      </w:r>
      <w:r>
        <w:rPr>
          <w:rFonts w:ascii="Arial" w:cs="Arial"/>
          <w:szCs w:val="21"/>
        </w:rPr>
        <w:t>证券投资基金</w:t>
      </w:r>
      <w:r>
        <w:rPr>
          <w:rFonts w:ascii="Arial" w:cs="Arial" w:hint="eastAsia"/>
          <w:szCs w:val="21"/>
        </w:rPr>
        <w:t>（基金简称：国联安精选混合；基金代码：</w:t>
      </w:r>
      <w:r>
        <w:rPr>
          <w:rFonts w:ascii="Arial" w:cs="Arial" w:hint="eastAsia"/>
          <w:szCs w:val="21"/>
        </w:rPr>
        <w:t>257020</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国联安德盛优势</w:t>
      </w:r>
      <w:r>
        <w:rPr>
          <w:rFonts w:ascii="Arial" w:cs="Arial" w:hint="eastAsia"/>
          <w:szCs w:val="21"/>
        </w:rPr>
        <w:t>混合型</w:t>
      </w:r>
      <w:r>
        <w:rPr>
          <w:rFonts w:ascii="Arial" w:cs="Arial"/>
          <w:szCs w:val="21"/>
        </w:rPr>
        <w:t>证券投资基金</w:t>
      </w:r>
      <w:r>
        <w:rPr>
          <w:rFonts w:ascii="Arial" w:cs="Arial" w:hint="eastAsia"/>
          <w:szCs w:val="21"/>
        </w:rPr>
        <w:t>（基金简称：国联安优势混合；基金代码：</w:t>
      </w:r>
      <w:r>
        <w:rPr>
          <w:rFonts w:ascii="Arial" w:cs="Arial" w:hint="eastAsia"/>
          <w:szCs w:val="21"/>
        </w:rPr>
        <w:t>257030</w:t>
      </w:r>
      <w:r>
        <w:rPr>
          <w:rFonts w:ascii="Arial" w:cs="Arial" w:hint="eastAsia"/>
          <w:szCs w:val="21"/>
        </w:rPr>
        <w:t>）</w:t>
      </w:r>
    </w:p>
    <w:p w:rsidR="00000000" w:rsidRDefault="007F7C32">
      <w:pPr>
        <w:spacing w:line="360" w:lineRule="auto"/>
        <w:ind w:leftChars="200" w:left="420"/>
        <w:rPr>
          <w:rFonts w:ascii="Arial" w:cs="Arial"/>
          <w:szCs w:val="21"/>
        </w:rPr>
      </w:pPr>
      <w:r>
        <w:rPr>
          <w:rFonts w:ascii="Arial" w:cs="Arial"/>
          <w:szCs w:val="21"/>
        </w:rPr>
        <w:t>国联安德盛红利</w:t>
      </w:r>
      <w:r>
        <w:rPr>
          <w:rFonts w:ascii="Arial" w:cs="Arial" w:hint="eastAsia"/>
          <w:szCs w:val="21"/>
        </w:rPr>
        <w:t>混合型</w:t>
      </w:r>
      <w:r>
        <w:rPr>
          <w:rFonts w:ascii="Arial" w:cs="Arial"/>
          <w:szCs w:val="21"/>
        </w:rPr>
        <w:t>证券投资基金</w:t>
      </w:r>
      <w:r>
        <w:rPr>
          <w:rFonts w:ascii="Arial" w:cs="Arial" w:hint="eastAsia"/>
          <w:szCs w:val="21"/>
        </w:rPr>
        <w:t>（基金简称：国联安红利混合；基金代码：</w:t>
      </w:r>
      <w:r>
        <w:rPr>
          <w:rFonts w:ascii="Arial" w:cs="Arial" w:hint="eastAsia"/>
          <w:szCs w:val="21"/>
        </w:rPr>
        <w:t>257040</w:t>
      </w:r>
      <w:r>
        <w:rPr>
          <w:rFonts w:ascii="Arial" w:cs="Arial" w:hint="eastAsia"/>
          <w:szCs w:val="21"/>
        </w:rPr>
        <w:t>）</w:t>
      </w:r>
      <w:r>
        <w:rPr>
          <w:rFonts w:ascii="Arial" w:cs="Arial"/>
          <w:szCs w:val="21"/>
        </w:rPr>
        <w:br/>
      </w:r>
      <w:r>
        <w:rPr>
          <w:rFonts w:ascii="Arial" w:cs="Arial"/>
          <w:szCs w:val="21"/>
        </w:rPr>
        <w:t>国联安德盛增利债券证券</w:t>
      </w:r>
      <w:r>
        <w:rPr>
          <w:rFonts w:ascii="Arial" w:cs="Arial"/>
          <w:szCs w:val="21"/>
        </w:rPr>
        <w:t>投资基金</w:t>
      </w:r>
      <w:r>
        <w:rPr>
          <w:rFonts w:ascii="Arial" w:cs="Arial" w:hint="eastAsia"/>
          <w:szCs w:val="21"/>
        </w:rPr>
        <w:t>（基金简称：国联安增利债券；基金代码：</w:t>
      </w:r>
      <w:r>
        <w:rPr>
          <w:rFonts w:ascii="Arial" w:cs="Arial" w:hint="eastAsia"/>
          <w:szCs w:val="21"/>
        </w:rPr>
        <w:t>A</w:t>
      </w:r>
      <w:r>
        <w:rPr>
          <w:rFonts w:ascii="Arial" w:cs="Arial" w:hint="eastAsia"/>
          <w:szCs w:val="21"/>
        </w:rPr>
        <w:t>类</w:t>
      </w:r>
      <w:r>
        <w:rPr>
          <w:rFonts w:ascii="Arial" w:cs="Arial" w:hint="eastAsia"/>
          <w:szCs w:val="21"/>
        </w:rPr>
        <w:t>253020</w:t>
      </w:r>
      <w:r>
        <w:rPr>
          <w:rFonts w:ascii="Arial" w:cs="Arial" w:hint="eastAsia"/>
          <w:szCs w:val="21"/>
        </w:rPr>
        <w:t>、</w:t>
      </w:r>
      <w:r>
        <w:rPr>
          <w:rFonts w:ascii="Arial" w:cs="Arial" w:hint="eastAsia"/>
          <w:szCs w:val="21"/>
        </w:rPr>
        <w:t>B</w:t>
      </w:r>
      <w:r>
        <w:rPr>
          <w:rFonts w:ascii="Arial" w:cs="Arial" w:hint="eastAsia"/>
          <w:szCs w:val="21"/>
        </w:rPr>
        <w:t>类</w:t>
      </w:r>
      <w:r>
        <w:rPr>
          <w:rFonts w:ascii="Arial" w:cs="Arial" w:hint="eastAsia"/>
          <w:szCs w:val="21"/>
        </w:rPr>
        <w:t>253021</w:t>
      </w:r>
      <w:r>
        <w:rPr>
          <w:rFonts w:ascii="Arial" w:cs="Arial" w:hint="eastAsia"/>
          <w:szCs w:val="21"/>
        </w:rPr>
        <w:t>）</w:t>
      </w:r>
    </w:p>
    <w:p w:rsidR="00000000" w:rsidRDefault="007F7C32">
      <w:pPr>
        <w:spacing w:line="360" w:lineRule="auto"/>
        <w:ind w:leftChars="200" w:left="420"/>
        <w:rPr>
          <w:rFonts w:ascii="Arial" w:cs="Arial" w:hint="eastAsia"/>
          <w:szCs w:val="21"/>
        </w:rPr>
      </w:pPr>
      <w:r>
        <w:rPr>
          <w:rFonts w:ascii="Arial" w:cs="Arial"/>
          <w:szCs w:val="21"/>
        </w:rPr>
        <w:t>国联安主题驱动</w:t>
      </w:r>
      <w:r>
        <w:rPr>
          <w:rFonts w:ascii="Arial" w:cs="Arial" w:hint="eastAsia"/>
          <w:szCs w:val="21"/>
        </w:rPr>
        <w:t>混合</w:t>
      </w:r>
      <w:r>
        <w:rPr>
          <w:rFonts w:ascii="Arial" w:cs="Arial"/>
          <w:szCs w:val="21"/>
        </w:rPr>
        <w:t>型证券投资基金</w:t>
      </w:r>
      <w:r>
        <w:rPr>
          <w:rFonts w:ascii="Arial" w:cs="Arial" w:hint="eastAsia"/>
          <w:szCs w:val="21"/>
        </w:rPr>
        <w:t>（基金简称：国联安主题驱动混合；基金代码：</w:t>
      </w:r>
      <w:r>
        <w:rPr>
          <w:rFonts w:ascii="Arial" w:cs="Arial"/>
          <w:szCs w:val="21"/>
        </w:rPr>
        <w:lastRenderedPageBreak/>
        <w:t>257050</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szCs w:val="21"/>
        </w:rPr>
        <w:t>国联安信心增益债券型证券投资基</w:t>
      </w:r>
      <w:r>
        <w:rPr>
          <w:rFonts w:ascii="Arial" w:cs="Arial" w:hint="eastAsia"/>
          <w:szCs w:val="21"/>
        </w:rPr>
        <w:t>（基金简称：国联安信心增益债券；基金代码：</w:t>
      </w:r>
      <w:r>
        <w:rPr>
          <w:rFonts w:ascii="Arial" w:cs="Arial"/>
          <w:szCs w:val="21"/>
        </w:rPr>
        <w:t>253030</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szCs w:val="21"/>
        </w:rPr>
        <w:t>国联安信心增长债券型证券投资基金</w:t>
      </w:r>
      <w:r>
        <w:rPr>
          <w:rFonts w:ascii="Arial" w:cs="Arial" w:hint="eastAsia"/>
          <w:szCs w:val="21"/>
        </w:rPr>
        <w:t>（基金简称：国联安信心增长债券；基金代码：</w:t>
      </w:r>
      <w:r>
        <w:rPr>
          <w:rFonts w:ascii="Arial" w:cs="Arial" w:hint="eastAsia"/>
          <w:szCs w:val="21"/>
        </w:rPr>
        <w:t>A</w:t>
      </w:r>
      <w:r>
        <w:rPr>
          <w:rFonts w:ascii="Arial" w:cs="Arial" w:hint="eastAsia"/>
          <w:szCs w:val="21"/>
        </w:rPr>
        <w:t>类</w:t>
      </w:r>
      <w:r>
        <w:rPr>
          <w:rFonts w:ascii="Arial" w:cs="Arial" w:hint="eastAsia"/>
          <w:szCs w:val="21"/>
        </w:rPr>
        <w:t xml:space="preserve"> 253060</w:t>
      </w:r>
      <w:r>
        <w:rPr>
          <w:rFonts w:ascii="Arial" w:cs="Arial" w:hint="eastAsia"/>
          <w:szCs w:val="21"/>
        </w:rPr>
        <w:t>、</w:t>
      </w:r>
      <w:r>
        <w:rPr>
          <w:rFonts w:ascii="Arial" w:cs="Arial" w:hint="eastAsia"/>
          <w:szCs w:val="21"/>
        </w:rPr>
        <w:t>B</w:t>
      </w:r>
      <w:r>
        <w:rPr>
          <w:rFonts w:ascii="Arial" w:cs="Arial" w:hint="eastAsia"/>
          <w:szCs w:val="21"/>
        </w:rPr>
        <w:t>类</w:t>
      </w:r>
      <w:r>
        <w:rPr>
          <w:rFonts w:ascii="Arial" w:cs="Arial" w:hint="eastAsia"/>
          <w:szCs w:val="21"/>
        </w:rPr>
        <w:t xml:space="preserve"> 253061</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国联安中证医药</w:t>
      </w:r>
      <w:r>
        <w:rPr>
          <w:rFonts w:ascii="Arial" w:cs="Arial" w:hint="eastAsia"/>
          <w:szCs w:val="21"/>
        </w:rPr>
        <w:t>100</w:t>
      </w:r>
      <w:r>
        <w:rPr>
          <w:rFonts w:ascii="Arial" w:cs="Arial" w:hint="eastAsia"/>
          <w:szCs w:val="21"/>
        </w:rPr>
        <w:t>指数证券投资基金</w:t>
      </w:r>
      <w:r>
        <w:rPr>
          <w:rFonts w:ascii="Arial" w:cs="Arial" w:hint="eastAsia"/>
          <w:szCs w:val="21"/>
        </w:rPr>
        <w:t xml:space="preserve"> </w:t>
      </w:r>
      <w:r>
        <w:rPr>
          <w:rFonts w:ascii="Arial" w:cs="Arial" w:hint="eastAsia"/>
          <w:szCs w:val="21"/>
        </w:rPr>
        <w:t>（基金简称：国联安医药</w:t>
      </w:r>
      <w:r>
        <w:rPr>
          <w:rFonts w:ascii="Arial" w:cs="Arial" w:hint="eastAsia"/>
          <w:szCs w:val="21"/>
        </w:rPr>
        <w:t>100</w:t>
      </w:r>
      <w:r>
        <w:rPr>
          <w:rFonts w:ascii="Arial" w:cs="Arial" w:hint="eastAsia"/>
          <w:szCs w:val="21"/>
        </w:rPr>
        <w:t>指数；基金代码：</w:t>
      </w:r>
      <w:r>
        <w:rPr>
          <w:rFonts w:ascii="Arial" w:cs="Arial" w:hint="eastAsia"/>
          <w:szCs w:val="21"/>
        </w:rPr>
        <w:t>A</w:t>
      </w:r>
      <w:r>
        <w:rPr>
          <w:rFonts w:ascii="Arial" w:cs="Arial" w:hint="eastAsia"/>
          <w:szCs w:val="21"/>
        </w:rPr>
        <w:t>类</w:t>
      </w:r>
      <w:r>
        <w:rPr>
          <w:rFonts w:ascii="Arial" w:cs="Arial" w:hint="eastAsia"/>
          <w:szCs w:val="21"/>
        </w:rPr>
        <w:t xml:space="preserve"> 000059</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 xml:space="preserve"> 006569</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国联安新精</w:t>
      </w:r>
      <w:r>
        <w:rPr>
          <w:rFonts w:ascii="Arial" w:cs="Arial" w:hint="eastAsia"/>
          <w:szCs w:val="21"/>
        </w:rPr>
        <w:t>选灵活配置混合型证券投资基金（基金简称：国联安新精选混合；基金代码：</w:t>
      </w:r>
      <w:r>
        <w:rPr>
          <w:rFonts w:ascii="Arial" w:cs="Arial"/>
          <w:szCs w:val="21"/>
        </w:rPr>
        <w:t>000417</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国联安通盈灵活配置混合型证券投资基金（基金简称：国联安通盈混合；基金代码：</w:t>
      </w:r>
      <w:r>
        <w:rPr>
          <w:rFonts w:ascii="Arial" w:cs="Arial" w:hint="eastAsia"/>
          <w:szCs w:val="21"/>
        </w:rPr>
        <w:t>A</w:t>
      </w:r>
      <w:r>
        <w:rPr>
          <w:rFonts w:ascii="Arial" w:cs="Arial" w:hint="eastAsia"/>
          <w:szCs w:val="21"/>
        </w:rPr>
        <w:t>类</w:t>
      </w:r>
      <w:r>
        <w:rPr>
          <w:rFonts w:ascii="Arial" w:cs="Arial" w:hint="eastAsia"/>
          <w:szCs w:val="21"/>
        </w:rPr>
        <w:t xml:space="preserve"> 000664</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 xml:space="preserve"> 002485</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国联安鑫安灵活配置混合型证券投资基金（基金简称：国联安鑫安灵活配置混合；基金代码：</w:t>
      </w:r>
      <w:r>
        <w:rPr>
          <w:rFonts w:ascii="Arial" w:cs="Arial"/>
          <w:szCs w:val="21"/>
        </w:rPr>
        <w:t>001007</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国联安睿祺灵活配置混合型证券投资基金（基金简称：国联安睿祺灵活配置混合；基金代码：</w:t>
      </w:r>
      <w:r>
        <w:rPr>
          <w:rFonts w:ascii="Arial" w:cs="Arial"/>
          <w:szCs w:val="21"/>
        </w:rPr>
        <w:t>001157</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国联安鑫享灵活配置混合型证券投资基金（基金简称：国联安鑫享灵活配置混合；基金代码：</w:t>
      </w:r>
      <w:r>
        <w:rPr>
          <w:rFonts w:ascii="Arial" w:cs="Arial" w:hint="eastAsia"/>
          <w:szCs w:val="21"/>
        </w:rPr>
        <w:t>A</w:t>
      </w:r>
      <w:r>
        <w:rPr>
          <w:rFonts w:ascii="Arial" w:cs="Arial" w:hint="eastAsia"/>
          <w:szCs w:val="21"/>
        </w:rPr>
        <w:t>类</w:t>
      </w:r>
      <w:r>
        <w:rPr>
          <w:rFonts w:ascii="Arial" w:cs="Arial" w:hint="eastAsia"/>
          <w:szCs w:val="21"/>
        </w:rPr>
        <w:t xml:space="preserve"> 001228</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 xml:space="preserve"> 0021</w:t>
      </w:r>
      <w:r>
        <w:rPr>
          <w:rFonts w:ascii="Arial" w:cs="Arial" w:hint="eastAsia"/>
          <w:szCs w:val="21"/>
        </w:rPr>
        <w:t>86</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国联安添鑫灵活配置混合型证券投资基金（基金简称：国联安添鑫灵活配置混合；基金代码：</w:t>
      </w:r>
      <w:r>
        <w:rPr>
          <w:rFonts w:ascii="Arial" w:cs="Arial" w:hint="eastAsia"/>
          <w:szCs w:val="21"/>
        </w:rPr>
        <w:t>A</w:t>
      </w:r>
      <w:r>
        <w:rPr>
          <w:rFonts w:ascii="Arial" w:cs="Arial" w:hint="eastAsia"/>
          <w:szCs w:val="21"/>
        </w:rPr>
        <w:t>类</w:t>
      </w:r>
      <w:r>
        <w:rPr>
          <w:rFonts w:ascii="Arial" w:cs="Arial" w:hint="eastAsia"/>
          <w:szCs w:val="21"/>
        </w:rPr>
        <w:t xml:space="preserve"> 001359</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 xml:space="preserve"> 001654</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国联安安稳灵活配置混合型证券投资基金（基金简称：国联安安稳灵活配置混合；基金代码：</w:t>
      </w:r>
      <w:r>
        <w:rPr>
          <w:rFonts w:ascii="Arial" w:cs="Arial"/>
          <w:szCs w:val="21"/>
        </w:rPr>
        <w:t>002367</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hint="eastAsia"/>
          <w:szCs w:val="21"/>
        </w:rPr>
        <w:t>国联安添利增长债券型证券投资基金（基金简称：国联安添利增长债券；基金代码：</w:t>
      </w:r>
      <w:r>
        <w:rPr>
          <w:rFonts w:ascii="Arial" w:cs="Arial" w:hint="eastAsia"/>
          <w:szCs w:val="21"/>
        </w:rPr>
        <w:t>A</w:t>
      </w:r>
      <w:r>
        <w:rPr>
          <w:rFonts w:ascii="Arial" w:cs="Arial" w:hint="eastAsia"/>
          <w:szCs w:val="21"/>
        </w:rPr>
        <w:t>类</w:t>
      </w:r>
      <w:r>
        <w:rPr>
          <w:rFonts w:ascii="Arial" w:cs="Arial" w:hint="eastAsia"/>
          <w:szCs w:val="21"/>
        </w:rPr>
        <w:t xml:space="preserve"> 003275</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 xml:space="preserve"> 003276</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国联安安泰灵活配置混合型证券投资基金</w:t>
      </w:r>
      <w:r>
        <w:rPr>
          <w:rFonts w:ascii="Arial" w:cs="Arial" w:hint="eastAsia"/>
          <w:szCs w:val="21"/>
        </w:rPr>
        <w:t>（基金简称：国联安安泰灵活配置混合；基金代码：</w:t>
      </w:r>
      <w:r>
        <w:rPr>
          <w:rFonts w:ascii="Arial" w:cs="Arial"/>
          <w:szCs w:val="21"/>
        </w:rPr>
        <w:t>000058</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国联安锐意成长混合型证券投资基金</w:t>
      </w:r>
      <w:r>
        <w:rPr>
          <w:rFonts w:ascii="Arial" w:cs="Arial" w:hint="eastAsia"/>
          <w:szCs w:val="21"/>
        </w:rPr>
        <w:t>（基金简称：国联安锐意成长混合；基金</w:t>
      </w:r>
      <w:r>
        <w:rPr>
          <w:rFonts w:ascii="Arial" w:cs="Arial" w:hint="eastAsia"/>
          <w:szCs w:val="21"/>
        </w:rPr>
        <w:t>代码：</w:t>
      </w:r>
      <w:r>
        <w:rPr>
          <w:rFonts w:ascii="Arial" w:cs="Arial"/>
          <w:szCs w:val="21"/>
        </w:rPr>
        <w:t>004076</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国联安鑫乾混合型证券投资基金</w:t>
      </w:r>
      <w:r>
        <w:rPr>
          <w:rFonts w:ascii="Arial" w:cs="Arial" w:hint="eastAsia"/>
          <w:szCs w:val="21"/>
        </w:rPr>
        <w:t>（基金简称：国联安鑫乾混合；基金代码：</w:t>
      </w:r>
      <w:r>
        <w:rPr>
          <w:rFonts w:ascii="Arial" w:cs="Arial" w:hint="eastAsia"/>
          <w:szCs w:val="21"/>
        </w:rPr>
        <w:t>A</w:t>
      </w:r>
      <w:r>
        <w:rPr>
          <w:rFonts w:ascii="Arial" w:cs="Arial" w:hint="eastAsia"/>
          <w:szCs w:val="21"/>
        </w:rPr>
        <w:t>类</w:t>
      </w:r>
      <w:r>
        <w:rPr>
          <w:rFonts w:ascii="Arial" w:cs="Arial" w:hint="eastAsia"/>
          <w:szCs w:val="21"/>
        </w:rPr>
        <w:t xml:space="preserve"> 004081</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 xml:space="preserve"> 004082</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szCs w:val="21"/>
        </w:rPr>
        <w:t>国联安鑫隆混合型证券投资基金</w:t>
      </w:r>
      <w:r>
        <w:rPr>
          <w:rFonts w:ascii="Arial" w:cs="Arial" w:hint="eastAsia"/>
          <w:szCs w:val="21"/>
        </w:rPr>
        <w:t>（基金简称：国联安鑫隆混合；基金代码：</w:t>
      </w:r>
      <w:r>
        <w:rPr>
          <w:rFonts w:ascii="Arial" w:cs="Arial" w:hint="eastAsia"/>
          <w:szCs w:val="21"/>
        </w:rPr>
        <w:t>A</w:t>
      </w:r>
      <w:r>
        <w:rPr>
          <w:rFonts w:ascii="Arial" w:cs="Arial" w:hint="eastAsia"/>
          <w:szCs w:val="21"/>
        </w:rPr>
        <w:t>类</w:t>
      </w:r>
      <w:r>
        <w:rPr>
          <w:rFonts w:ascii="Arial" w:cs="Arial" w:hint="eastAsia"/>
          <w:szCs w:val="21"/>
        </w:rPr>
        <w:t xml:space="preserve"> 004083</w:t>
      </w:r>
      <w:r>
        <w:rPr>
          <w:rFonts w:ascii="Arial" w:cs="Arial" w:hint="eastAsia"/>
          <w:szCs w:val="21"/>
        </w:rPr>
        <w:t>、</w:t>
      </w:r>
      <w:r>
        <w:rPr>
          <w:rFonts w:ascii="Arial" w:cs="Arial" w:hint="eastAsia"/>
          <w:szCs w:val="21"/>
        </w:rPr>
        <w:lastRenderedPageBreak/>
        <w:t>C</w:t>
      </w:r>
      <w:r>
        <w:rPr>
          <w:rFonts w:ascii="Arial" w:cs="Arial" w:hint="eastAsia"/>
          <w:szCs w:val="21"/>
        </w:rPr>
        <w:t>类</w:t>
      </w:r>
      <w:r>
        <w:rPr>
          <w:rFonts w:ascii="Arial" w:cs="Arial" w:hint="eastAsia"/>
          <w:szCs w:val="21"/>
        </w:rPr>
        <w:t xml:space="preserve"> 004084</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国联安鑫发混合型证券投资基金</w:t>
      </w:r>
      <w:r>
        <w:rPr>
          <w:rFonts w:ascii="Arial" w:cs="Arial" w:hint="eastAsia"/>
          <w:szCs w:val="21"/>
        </w:rPr>
        <w:t>（基金简称：国联安鑫发混合；基金代码：</w:t>
      </w:r>
      <w:r>
        <w:rPr>
          <w:rFonts w:ascii="Arial" w:cs="Arial" w:hint="eastAsia"/>
          <w:szCs w:val="21"/>
        </w:rPr>
        <w:t>A</w:t>
      </w:r>
      <w:r>
        <w:rPr>
          <w:rFonts w:ascii="Arial" w:cs="Arial" w:hint="eastAsia"/>
          <w:szCs w:val="21"/>
        </w:rPr>
        <w:t>类</w:t>
      </w:r>
      <w:r>
        <w:rPr>
          <w:rFonts w:ascii="Arial" w:cs="Arial" w:hint="eastAsia"/>
          <w:szCs w:val="21"/>
        </w:rPr>
        <w:t xml:space="preserve"> 004131</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 xml:space="preserve"> 004132</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国联安远见成长混合型证券投资基金</w:t>
      </w:r>
      <w:r>
        <w:rPr>
          <w:rFonts w:ascii="Arial" w:cs="Arial" w:hint="eastAsia"/>
          <w:szCs w:val="21"/>
        </w:rPr>
        <w:t>（基金简称：国联安远见成长混合；基金代码：</w:t>
      </w:r>
      <w:r>
        <w:rPr>
          <w:rFonts w:ascii="Arial" w:cs="Arial"/>
          <w:szCs w:val="21"/>
        </w:rPr>
        <w:t>005708</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国联安价值优选股票型证券投资基金</w:t>
      </w:r>
      <w:r>
        <w:rPr>
          <w:rFonts w:ascii="Arial" w:cs="Arial" w:hint="eastAsia"/>
          <w:szCs w:val="21"/>
        </w:rPr>
        <w:t>（基金简称：国联安价值优选股票；基金代码：</w:t>
      </w:r>
      <w:r>
        <w:rPr>
          <w:rFonts w:ascii="Arial" w:cs="Arial"/>
          <w:szCs w:val="21"/>
        </w:rPr>
        <w:t>0</w:t>
      </w:r>
      <w:r>
        <w:rPr>
          <w:rFonts w:ascii="Arial" w:cs="Arial"/>
          <w:szCs w:val="21"/>
        </w:rPr>
        <w:t>06138</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国联安增鑫纯债债券型证券投资基金</w:t>
      </w:r>
      <w:r>
        <w:rPr>
          <w:rFonts w:ascii="Arial" w:cs="Arial" w:hint="eastAsia"/>
          <w:szCs w:val="21"/>
        </w:rPr>
        <w:t>（基金简称：国联安增鑫纯债债券；基金代码：</w:t>
      </w:r>
      <w:r>
        <w:rPr>
          <w:rFonts w:ascii="Arial" w:cs="Arial" w:hint="eastAsia"/>
          <w:szCs w:val="21"/>
        </w:rPr>
        <w:t>A</w:t>
      </w:r>
      <w:r>
        <w:rPr>
          <w:rFonts w:ascii="Arial" w:cs="Arial" w:hint="eastAsia"/>
          <w:szCs w:val="21"/>
        </w:rPr>
        <w:t>类</w:t>
      </w:r>
      <w:r>
        <w:rPr>
          <w:rFonts w:ascii="Arial" w:cs="Arial" w:hint="eastAsia"/>
          <w:szCs w:val="21"/>
        </w:rPr>
        <w:t xml:space="preserve"> 006152</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 xml:space="preserve"> 006153</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国联安增盈纯债债券型证券投资基金</w:t>
      </w:r>
      <w:r>
        <w:rPr>
          <w:rFonts w:ascii="Arial" w:cs="Arial" w:hint="eastAsia"/>
          <w:szCs w:val="21"/>
        </w:rPr>
        <w:t>（基金简称：国联安增盈债券；基金代码：</w:t>
      </w:r>
      <w:r>
        <w:rPr>
          <w:rFonts w:ascii="Arial" w:cs="Arial" w:hint="eastAsia"/>
          <w:szCs w:val="21"/>
        </w:rPr>
        <w:t>A</w:t>
      </w:r>
      <w:r>
        <w:rPr>
          <w:rFonts w:ascii="Arial" w:cs="Arial" w:hint="eastAsia"/>
          <w:szCs w:val="21"/>
        </w:rPr>
        <w:t>类</w:t>
      </w:r>
      <w:r>
        <w:rPr>
          <w:rFonts w:ascii="Arial" w:cs="Arial" w:hint="eastAsia"/>
          <w:szCs w:val="21"/>
        </w:rPr>
        <w:t>006509</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006510</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国联安行业领先混合型证券投资基金</w:t>
      </w:r>
      <w:r>
        <w:rPr>
          <w:rFonts w:ascii="Arial" w:cs="Arial" w:hint="eastAsia"/>
          <w:szCs w:val="21"/>
        </w:rPr>
        <w:t>（基金简称：国联安行业领先混合；基金代码：</w:t>
      </w:r>
      <w:r>
        <w:rPr>
          <w:rFonts w:ascii="Arial" w:cs="Arial"/>
          <w:szCs w:val="21"/>
        </w:rPr>
        <w:t>006568</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国联安智能制造混合型证券投资基金</w:t>
      </w:r>
      <w:r>
        <w:rPr>
          <w:rFonts w:ascii="Arial" w:cs="Arial" w:hint="eastAsia"/>
          <w:szCs w:val="21"/>
        </w:rPr>
        <w:t>（基金简称：国联安智能制造混合；基金代码：</w:t>
      </w:r>
      <w:r>
        <w:rPr>
          <w:rFonts w:ascii="Arial" w:cs="Arial"/>
          <w:szCs w:val="21"/>
        </w:rPr>
        <w:t>006863</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国联安新科技混合型证券投资基金</w:t>
      </w:r>
      <w:r>
        <w:rPr>
          <w:rFonts w:ascii="Arial" w:cs="Arial" w:hint="eastAsia"/>
          <w:szCs w:val="21"/>
        </w:rPr>
        <w:t>（基金简称：国联安新科技混合；基金代码：</w:t>
      </w:r>
      <w:r>
        <w:rPr>
          <w:rFonts w:ascii="Arial" w:cs="Arial"/>
          <w:szCs w:val="21"/>
        </w:rPr>
        <w:t>007305</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szCs w:val="21"/>
        </w:rPr>
        <w:t>国联安增</w:t>
      </w:r>
      <w:r>
        <w:rPr>
          <w:rFonts w:ascii="Arial" w:cs="Arial"/>
          <w:szCs w:val="21"/>
        </w:rPr>
        <w:t>瑞政策性金融债纯债债券型证券投资基金</w:t>
      </w:r>
      <w:r>
        <w:rPr>
          <w:rFonts w:ascii="Arial" w:cs="Arial" w:hint="eastAsia"/>
          <w:szCs w:val="21"/>
        </w:rPr>
        <w:t>（基金简称：国联安增瑞政金债债券；基金代码：</w:t>
      </w:r>
      <w:r>
        <w:rPr>
          <w:rFonts w:ascii="Arial" w:cs="Arial" w:hint="eastAsia"/>
          <w:szCs w:val="21"/>
        </w:rPr>
        <w:t>A</w:t>
      </w:r>
      <w:r>
        <w:rPr>
          <w:rFonts w:ascii="Arial" w:cs="Arial" w:hint="eastAsia"/>
          <w:szCs w:val="21"/>
        </w:rPr>
        <w:t>类</w:t>
      </w:r>
      <w:r>
        <w:rPr>
          <w:rFonts w:ascii="Arial" w:cs="Arial" w:hint="eastAsia"/>
          <w:szCs w:val="21"/>
        </w:rPr>
        <w:t xml:space="preserve"> 007371</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 xml:space="preserve"> 007372</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国联安短债债券型证券投资基金</w:t>
      </w:r>
      <w:r>
        <w:rPr>
          <w:rFonts w:ascii="Arial" w:cs="Arial" w:hint="eastAsia"/>
          <w:szCs w:val="21"/>
        </w:rPr>
        <w:t>（基金简称：国联安短债债券；基金代码：</w:t>
      </w:r>
      <w:r>
        <w:rPr>
          <w:rFonts w:ascii="Arial" w:cs="Arial" w:hint="eastAsia"/>
          <w:szCs w:val="21"/>
        </w:rPr>
        <w:t>A</w:t>
      </w:r>
      <w:r>
        <w:rPr>
          <w:rFonts w:ascii="Arial" w:cs="Arial" w:hint="eastAsia"/>
          <w:szCs w:val="21"/>
        </w:rPr>
        <w:t>类</w:t>
      </w:r>
      <w:r>
        <w:rPr>
          <w:rFonts w:ascii="Arial" w:cs="Arial" w:hint="eastAsia"/>
          <w:szCs w:val="21"/>
        </w:rPr>
        <w:t xml:space="preserve"> 008108</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 xml:space="preserve"> 008109</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szCs w:val="21"/>
        </w:rPr>
        <w:t>国联安沪深</w:t>
      </w:r>
      <w:r>
        <w:rPr>
          <w:rFonts w:ascii="Arial" w:cs="Arial"/>
          <w:szCs w:val="21"/>
        </w:rPr>
        <w:t>300</w:t>
      </w:r>
      <w:r>
        <w:rPr>
          <w:rFonts w:ascii="Arial" w:cs="Arial"/>
          <w:szCs w:val="21"/>
        </w:rPr>
        <w:t>交易型开放式指数证券投资基金联接基金</w:t>
      </w:r>
      <w:r>
        <w:rPr>
          <w:rFonts w:ascii="Arial" w:cs="Arial" w:hint="eastAsia"/>
          <w:szCs w:val="21"/>
        </w:rPr>
        <w:t>（基金简称：国联安沪深</w:t>
      </w:r>
      <w:r>
        <w:rPr>
          <w:rFonts w:ascii="Arial" w:cs="Arial" w:hint="eastAsia"/>
          <w:szCs w:val="21"/>
        </w:rPr>
        <w:t>300ETF</w:t>
      </w:r>
      <w:r>
        <w:rPr>
          <w:rFonts w:ascii="Arial" w:cs="Arial" w:hint="eastAsia"/>
          <w:szCs w:val="21"/>
        </w:rPr>
        <w:t>联接；基金代码：</w:t>
      </w:r>
      <w:r>
        <w:rPr>
          <w:rFonts w:ascii="Arial" w:cs="Arial" w:hint="eastAsia"/>
          <w:szCs w:val="21"/>
        </w:rPr>
        <w:t>A</w:t>
      </w:r>
      <w:r>
        <w:rPr>
          <w:rFonts w:ascii="Arial" w:cs="Arial" w:hint="eastAsia"/>
          <w:szCs w:val="21"/>
        </w:rPr>
        <w:t>类</w:t>
      </w:r>
      <w:r>
        <w:rPr>
          <w:rFonts w:ascii="Arial" w:cs="Arial" w:hint="eastAsia"/>
          <w:szCs w:val="21"/>
        </w:rPr>
        <w:t xml:space="preserve"> 008390</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 xml:space="preserve"> 008391</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szCs w:val="21"/>
        </w:rPr>
        <w:t>国联安鑫汇混合型证券投资基金</w:t>
      </w:r>
      <w:r>
        <w:rPr>
          <w:rFonts w:ascii="Arial" w:cs="Arial" w:hint="eastAsia"/>
          <w:szCs w:val="21"/>
        </w:rPr>
        <w:t>（基金简称：国联安鑫汇混合；基金代码：</w:t>
      </w:r>
      <w:r>
        <w:rPr>
          <w:rFonts w:ascii="Arial" w:cs="Arial" w:hint="eastAsia"/>
          <w:szCs w:val="21"/>
        </w:rPr>
        <w:t>A</w:t>
      </w:r>
      <w:r>
        <w:rPr>
          <w:rFonts w:ascii="Arial" w:cs="Arial" w:hint="eastAsia"/>
          <w:szCs w:val="21"/>
        </w:rPr>
        <w:t>类</w:t>
      </w:r>
      <w:r>
        <w:rPr>
          <w:rFonts w:ascii="Arial" w:cs="Arial" w:hint="eastAsia"/>
          <w:szCs w:val="21"/>
        </w:rPr>
        <w:t xml:space="preserve"> 004129</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 xml:space="preserve"> 004130</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国联安货币市场证券投资基金（基</w:t>
      </w:r>
      <w:r>
        <w:rPr>
          <w:rFonts w:ascii="Arial" w:cs="Arial" w:hint="eastAsia"/>
          <w:szCs w:val="21"/>
        </w:rPr>
        <w:t>金简称：国联安货币；基金代码：</w:t>
      </w:r>
      <w:r>
        <w:rPr>
          <w:rFonts w:ascii="Arial" w:cs="Arial" w:hint="eastAsia"/>
          <w:szCs w:val="21"/>
        </w:rPr>
        <w:t>A</w:t>
      </w:r>
      <w:r>
        <w:rPr>
          <w:rFonts w:ascii="Arial" w:cs="Arial" w:hint="eastAsia"/>
          <w:szCs w:val="21"/>
        </w:rPr>
        <w:t>类</w:t>
      </w:r>
      <w:r>
        <w:rPr>
          <w:rFonts w:ascii="Arial" w:cs="Arial" w:hint="eastAsia"/>
          <w:szCs w:val="21"/>
        </w:rPr>
        <w:t xml:space="preserve"> 253050</w:t>
      </w:r>
      <w:r>
        <w:rPr>
          <w:rFonts w:ascii="Arial" w:cs="Arial" w:hint="eastAsia"/>
          <w:szCs w:val="21"/>
        </w:rPr>
        <w:t>、</w:t>
      </w:r>
      <w:r>
        <w:rPr>
          <w:rFonts w:hint="eastAsia"/>
        </w:rPr>
        <w:t xml:space="preserve"> </w:t>
      </w:r>
      <w:r>
        <w:rPr>
          <w:rFonts w:ascii="Arial" w:cs="Arial" w:hint="eastAsia"/>
          <w:szCs w:val="21"/>
        </w:rPr>
        <w:t>B</w:t>
      </w:r>
      <w:r>
        <w:rPr>
          <w:rFonts w:ascii="Arial" w:cs="Arial" w:hint="eastAsia"/>
          <w:szCs w:val="21"/>
        </w:rPr>
        <w:t>类</w:t>
      </w:r>
      <w:r>
        <w:rPr>
          <w:rFonts w:ascii="Arial" w:cs="Arial" w:hint="eastAsia"/>
          <w:szCs w:val="21"/>
        </w:rPr>
        <w:t xml:space="preserve"> 253051</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hint="eastAsia"/>
          <w:szCs w:val="21"/>
        </w:rPr>
        <w:t>国联安上证大宗商品股票交易型开放式指数证券投资基金联接基金（基金简称：国联安上证商品</w:t>
      </w:r>
      <w:r>
        <w:rPr>
          <w:rFonts w:ascii="Arial" w:cs="Arial" w:hint="eastAsia"/>
          <w:szCs w:val="21"/>
        </w:rPr>
        <w:t>ETF</w:t>
      </w:r>
      <w:r>
        <w:rPr>
          <w:rFonts w:ascii="Arial" w:cs="Arial" w:hint="eastAsia"/>
          <w:szCs w:val="21"/>
        </w:rPr>
        <w:t>联接；基金代码：</w:t>
      </w:r>
      <w:r>
        <w:rPr>
          <w:rFonts w:ascii="Arial" w:cs="Arial"/>
          <w:szCs w:val="21"/>
        </w:rPr>
        <w:t>257060</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国联安中证全指半导体产品与设备交易型开放式指数证券投资基金联接基金（基金简称：国联安中证全指半导体产品与设备</w:t>
      </w:r>
      <w:r>
        <w:rPr>
          <w:rFonts w:ascii="Arial" w:cs="Arial" w:hint="eastAsia"/>
          <w:szCs w:val="21"/>
        </w:rPr>
        <w:t>ETF</w:t>
      </w:r>
      <w:r>
        <w:rPr>
          <w:rFonts w:ascii="Arial" w:cs="Arial" w:hint="eastAsia"/>
          <w:szCs w:val="21"/>
        </w:rPr>
        <w:t>联接；基金代码：</w:t>
      </w:r>
      <w:r>
        <w:rPr>
          <w:rFonts w:ascii="Arial" w:cs="Arial" w:hint="eastAsia"/>
          <w:szCs w:val="21"/>
        </w:rPr>
        <w:t>A</w:t>
      </w:r>
      <w:r>
        <w:rPr>
          <w:rFonts w:ascii="Arial" w:cs="Arial" w:hint="eastAsia"/>
          <w:szCs w:val="21"/>
        </w:rPr>
        <w:t>类</w:t>
      </w:r>
      <w:r>
        <w:rPr>
          <w:rFonts w:ascii="Arial" w:cs="Arial" w:hint="eastAsia"/>
          <w:szCs w:val="21"/>
        </w:rPr>
        <w:t>007300</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007301</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国联安科技动力股票型证券投资基金（基金简称：国联安科技动力股票；基金代码：</w:t>
      </w:r>
      <w:r>
        <w:rPr>
          <w:rFonts w:ascii="Arial" w:cs="Arial" w:hint="eastAsia"/>
          <w:szCs w:val="21"/>
        </w:rPr>
        <w:t>001956</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国联安优选行业混合型证券投资基金（基金简称：国联安优选行业</w:t>
      </w:r>
      <w:r>
        <w:rPr>
          <w:rFonts w:ascii="Arial" w:cs="Arial" w:hint="eastAsia"/>
          <w:szCs w:val="21"/>
        </w:rPr>
        <w:t>混合；基金代码：</w:t>
      </w:r>
      <w:r>
        <w:rPr>
          <w:rFonts w:ascii="Arial" w:cs="Arial" w:hint="eastAsia"/>
          <w:szCs w:val="21"/>
        </w:rPr>
        <w:t>257070</w:t>
      </w:r>
      <w:r>
        <w:rPr>
          <w:rFonts w:ascii="Arial" w:cs="Arial" w:hint="eastAsia"/>
          <w:szCs w:val="21"/>
        </w:rPr>
        <w:t>）</w:t>
      </w:r>
    </w:p>
    <w:p w:rsidR="00000000" w:rsidRDefault="007F7C32">
      <w:pPr>
        <w:spacing w:line="360" w:lineRule="auto"/>
        <w:ind w:firstLineChars="200" w:firstLine="420"/>
        <w:rPr>
          <w:rFonts w:ascii="Arial" w:cs="Arial"/>
          <w:szCs w:val="21"/>
        </w:rPr>
      </w:pPr>
      <w:r>
        <w:rPr>
          <w:rFonts w:ascii="Arial" w:cs="Arial" w:hint="eastAsia"/>
          <w:szCs w:val="21"/>
        </w:rPr>
        <w:t>国联安中债</w:t>
      </w:r>
      <w:r>
        <w:rPr>
          <w:rFonts w:ascii="Arial" w:cs="Arial" w:hint="eastAsia"/>
          <w:szCs w:val="21"/>
        </w:rPr>
        <w:t>1-3</w:t>
      </w:r>
      <w:r>
        <w:rPr>
          <w:rFonts w:ascii="Arial" w:cs="Arial" w:hint="eastAsia"/>
          <w:szCs w:val="21"/>
        </w:rPr>
        <w:t>年政策性金融债指数证券投资基金（基金简称：国联安中债</w:t>
      </w:r>
      <w:r>
        <w:rPr>
          <w:rFonts w:ascii="Arial" w:cs="Arial" w:hint="eastAsia"/>
          <w:szCs w:val="21"/>
        </w:rPr>
        <w:t>1-3</w:t>
      </w:r>
      <w:r>
        <w:rPr>
          <w:rFonts w:ascii="Arial" w:cs="Arial" w:hint="eastAsia"/>
          <w:szCs w:val="21"/>
        </w:rPr>
        <w:t>年政金债指数；基金代码：</w:t>
      </w:r>
      <w:r>
        <w:rPr>
          <w:rFonts w:ascii="Arial" w:cs="Arial" w:hint="eastAsia"/>
          <w:szCs w:val="21"/>
        </w:rPr>
        <w:t>008879</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国联安增顺纯债债券型证券投资基金（基金简称：国联安增顺债券；基金代码：</w:t>
      </w:r>
      <w:r>
        <w:rPr>
          <w:rFonts w:ascii="Arial" w:cs="Arial" w:hint="eastAsia"/>
          <w:szCs w:val="21"/>
        </w:rPr>
        <w:t>A</w:t>
      </w:r>
      <w:r>
        <w:rPr>
          <w:rFonts w:ascii="Arial" w:cs="Arial" w:hint="eastAsia"/>
          <w:szCs w:val="21"/>
        </w:rPr>
        <w:t>类</w:t>
      </w:r>
      <w:r>
        <w:rPr>
          <w:rFonts w:ascii="Arial" w:cs="Arial" w:hint="eastAsia"/>
          <w:szCs w:val="21"/>
        </w:rPr>
        <w:t>008880</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008881</w:t>
      </w:r>
      <w:r>
        <w:rPr>
          <w:rFonts w:ascii="Arial" w:cs="Arial" w:hint="eastAsia"/>
          <w:szCs w:val="21"/>
        </w:rPr>
        <w:t>）</w:t>
      </w:r>
    </w:p>
    <w:p w:rsidR="00000000" w:rsidRDefault="007F7C32">
      <w:pPr>
        <w:spacing w:line="360" w:lineRule="auto"/>
        <w:ind w:firstLineChars="200" w:firstLine="420"/>
        <w:rPr>
          <w:rFonts w:ascii="Arial" w:cs="Arial" w:hint="eastAsia"/>
          <w:szCs w:val="21"/>
        </w:rPr>
      </w:pPr>
      <w:r>
        <w:rPr>
          <w:rFonts w:ascii="Arial" w:cs="Arial" w:hint="eastAsia"/>
          <w:szCs w:val="21"/>
        </w:rPr>
        <w:t>国联安增祺纯债债券型证券投资基金（基金简称：国联安增祺债券；基金代码：</w:t>
      </w:r>
      <w:r>
        <w:rPr>
          <w:rFonts w:ascii="Arial" w:cs="Arial" w:hint="eastAsia"/>
          <w:szCs w:val="21"/>
        </w:rPr>
        <w:t>A</w:t>
      </w:r>
      <w:r>
        <w:rPr>
          <w:rFonts w:ascii="Arial" w:cs="Arial" w:hint="eastAsia"/>
          <w:szCs w:val="21"/>
        </w:rPr>
        <w:t>类</w:t>
      </w:r>
      <w:r>
        <w:rPr>
          <w:rFonts w:ascii="Arial" w:cs="Arial" w:hint="eastAsia"/>
          <w:szCs w:val="21"/>
        </w:rPr>
        <w:t>008882</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008883</w:t>
      </w:r>
      <w:r>
        <w:rPr>
          <w:rFonts w:ascii="Arial" w:cs="Arial" w:hint="eastAsia"/>
          <w:szCs w:val="21"/>
        </w:rPr>
        <w:t>）</w:t>
      </w:r>
    </w:p>
    <w:p w:rsidR="00000000" w:rsidRDefault="007F7C32">
      <w:pPr>
        <w:spacing w:line="360" w:lineRule="auto"/>
        <w:rPr>
          <w:rFonts w:ascii="Arial" w:hAnsi="Arial" w:cs="Arial" w:hint="eastAsia"/>
          <w:szCs w:val="21"/>
        </w:rPr>
      </w:pPr>
    </w:p>
    <w:p w:rsidR="00000000" w:rsidRDefault="007F7C32">
      <w:pPr>
        <w:spacing w:line="360" w:lineRule="auto"/>
        <w:ind w:firstLineChars="200" w:firstLine="420"/>
        <w:rPr>
          <w:rFonts w:ascii="Arial" w:hAnsi="Arial" w:cs="Arial"/>
          <w:szCs w:val="21"/>
        </w:rPr>
      </w:pPr>
      <w:r>
        <w:rPr>
          <w:rFonts w:ascii="Arial" w:hAnsi="Arial" w:cs="Arial" w:hint="eastAsia"/>
          <w:szCs w:val="21"/>
        </w:rPr>
        <w:t>二、优惠活动方案</w:t>
      </w:r>
    </w:p>
    <w:p w:rsidR="00000000" w:rsidRDefault="007F7C32">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、费率优惠内容</w:t>
      </w:r>
    </w:p>
    <w:p w:rsidR="00000000" w:rsidRDefault="007F7C32">
      <w:pPr>
        <w:spacing w:line="360" w:lineRule="auto"/>
        <w:ind w:firstLineChars="200" w:firstLine="420"/>
        <w:rPr>
          <w:rFonts w:ascii="宋体" w:hAnsi="宋体" w:hint="eastAsia"/>
        </w:rPr>
      </w:pPr>
      <w:r>
        <w:rPr>
          <w:rFonts w:ascii="宋体" w:hAnsi="宋体" w:hint="eastAsia"/>
        </w:rPr>
        <w:t>投资者通过中国人寿办理所有上线代销基金申购及定期定额投资业务的，可享受</w:t>
      </w:r>
      <w:r>
        <w:rPr>
          <w:rFonts w:ascii="宋体" w:hAnsi="宋体" w:hint="eastAsia"/>
        </w:rPr>
        <w:t>0.1</w:t>
      </w:r>
      <w:r>
        <w:rPr>
          <w:rFonts w:ascii="宋体" w:hAnsi="宋体" w:hint="eastAsia"/>
        </w:rPr>
        <w:t>折费率优惠，涉及的参与申购费率优惠的</w:t>
      </w:r>
      <w:r>
        <w:rPr>
          <w:rFonts w:ascii="宋体" w:hAnsi="宋体" w:hint="eastAsia"/>
        </w:rPr>
        <w:t>基金优惠标准以销售机构公示信息为准，本公司将不对费率设置折扣限制，申购费率为固定费用的，不享受折扣费率。</w:t>
      </w:r>
    </w:p>
    <w:p w:rsidR="00000000" w:rsidRDefault="007F7C32">
      <w:pPr>
        <w:spacing w:line="360" w:lineRule="auto"/>
        <w:ind w:firstLineChars="200" w:firstLine="420"/>
        <w:rPr>
          <w:rFonts w:ascii="Arial" w:hAnsi="Arial" w:cs="Arial" w:hint="eastAsia"/>
          <w:szCs w:val="21"/>
        </w:rPr>
      </w:pPr>
      <w:r>
        <w:rPr>
          <w:rFonts w:ascii="宋体" w:hAnsi="宋体" w:hint="eastAsia"/>
        </w:rPr>
        <w:t>此次费率优惠不会对基金份额持有人利益造成不利影响。基金原费率请详见相关基金对应的基金合同、招募说明书、产品资料概要等法律文件以及本公司发布的最新业务公告。</w:t>
      </w:r>
    </w:p>
    <w:p w:rsidR="00000000" w:rsidRDefault="007F7C32">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、费率优惠期限</w:t>
      </w:r>
    </w:p>
    <w:p w:rsidR="00000000" w:rsidRDefault="007F7C32">
      <w:pPr>
        <w:spacing w:line="360" w:lineRule="auto"/>
        <w:ind w:firstLineChars="200" w:firstLine="420"/>
        <w:rPr>
          <w:rFonts w:ascii="Arial" w:hAnsi="Arial" w:cs="Arial"/>
          <w:szCs w:val="21"/>
        </w:rPr>
      </w:pPr>
      <w:r>
        <w:rPr>
          <w:rFonts w:ascii="Arial" w:hAnsi="Arial" w:cs="Arial" w:hint="eastAsia"/>
          <w:szCs w:val="21"/>
        </w:rPr>
        <w:t>上述费率优惠活动自</w:t>
      </w:r>
      <w:r>
        <w:rPr>
          <w:rFonts w:ascii="Arial" w:hAnsi="Arial" w:cs="Arial" w:hint="eastAsia"/>
          <w:szCs w:val="21"/>
        </w:rPr>
        <w:t>2021</w:t>
      </w:r>
      <w:r>
        <w:rPr>
          <w:rFonts w:ascii="Arial" w:hAnsi="Arial" w:cs="Arial" w:hint="eastAsia"/>
          <w:szCs w:val="21"/>
        </w:rPr>
        <w:t>年</w:t>
      </w:r>
      <w:r>
        <w:rPr>
          <w:rFonts w:ascii="Arial" w:hAnsi="Arial" w:cs="Arial" w:hint="eastAsia"/>
          <w:szCs w:val="21"/>
        </w:rPr>
        <w:t>7</w:t>
      </w:r>
      <w:r>
        <w:rPr>
          <w:rFonts w:ascii="Arial" w:hAnsi="Arial" w:cs="Arial" w:hint="eastAsia"/>
          <w:szCs w:val="21"/>
        </w:rPr>
        <w:t>月</w:t>
      </w:r>
      <w:r>
        <w:rPr>
          <w:rFonts w:ascii="Arial" w:hAnsi="Arial" w:cs="Arial" w:hint="eastAsia"/>
          <w:szCs w:val="21"/>
        </w:rPr>
        <w:t>5</w:t>
      </w:r>
      <w:r>
        <w:rPr>
          <w:rFonts w:ascii="Arial" w:hAnsi="Arial" w:cs="Arial" w:hint="eastAsia"/>
          <w:szCs w:val="21"/>
        </w:rPr>
        <w:t>日起实施，活动结束日期以中国人寿的相关公告为准。</w:t>
      </w:r>
    </w:p>
    <w:p w:rsidR="00000000" w:rsidRDefault="007F7C32">
      <w:pPr>
        <w:spacing w:line="360" w:lineRule="auto"/>
        <w:rPr>
          <w:rFonts w:ascii="Arial" w:hAnsi="Arial" w:cs="Arial" w:hint="eastAsia"/>
          <w:szCs w:val="21"/>
        </w:rPr>
      </w:pPr>
    </w:p>
    <w:p w:rsidR="00000000" w:rsidRDefault="007F7C32">
      <w:pPr>
        <w:spacing w:line="360" w:lineRule="auto"/>
        <w:ind w:firstLineChars="200" w:firstLine="420"/>
        <w:rPr>
          <w:rFonts w:ascii="Arial" w:hAnsi="Arial" w:cs="Arial"/>
          <w:szCs w:val="21"/>
        </w:rPr>
      </w:pPr>
      <w:r>
        <w:rPr>
          <w:rFonts w:ascii="Arial" w:hAnsi="Arial" w:cs="Arial" w:hint="eastAsia"/>
          <w:szCs w:val="21"/>
        </w:rPr>
        <w:t>三</w:t>
      </w:r>
      <w:r>
        <w:rPr>
          <w:rFonts w:ascii="Arial" w:hAnsi="Arial" w:cs="Arial"/>
          <w:szCs w:val="21"/>
        </w:rPr>
        <w:t>、投资者可以通过以下途径了解或咨询相关详情</w:t>
      </w:r>
    </w:p>
    <w:p w:rsidR="00000000" w:rsidRDefault="007F7C32">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、国联安基金管理有限公司：</w:t>
      </w:r>
    </w:p>
    <w:p w:rsidR="00000000" w:rsidRDefault="007F7C32">
      <w:pPr>
        <w:spacing w:line="360" w:lineRule="auto"/>
        <w:ind w:firstLineChars="200" w:firstLine="420"/>
        <w:rPr>
          <w:rFonts w:ascii="Arial" w:hAnsi="Arial" w:cs="Arial"/>
          <w:szCs w:val="21"/>
        </w:rPr>
      </w:pPr>
      <w:r>
        <w:rPr>
          <w:rFonts w:ascii="Arial" w:hAnsi="Arial" w:cs="Arial"/>
          <w:szCs w:val="21"/>
        </w:rPr>
        <w:t>客户服务热线：</w:t>
      </w:r>
      <w:r>
        <w:rPr>
          <w:rFonts w:ascii="Arial" w:hAnsi="Arial" w:cs="Arial"/>
          <w:szCs w:val="21"/>
        </w:rPr>
        <w:t>021-38784766</w:t>
      </w:r>
      <w:r>
        <w:rPr>
          <w:rFonts w:ascii="Arial" w:hAnsi="Arial" w:cs="Arial"/>
          <w:szCs w:val="21"/>
        </w:rPr>
        <w:t>，</w:t>
      </w:r>
      <w:r>
        <w:rPr>
          <w:rFonts w:ascii="Arial" w:hAnsi="Arial" w:cs="Arial"/>
          <w:szCs w:val="21"/>
        </w:rPr>
        <w:t>400-700-0365</w:t>
      </w:r>
      <w:r>
        <w:rPr>
          <w:rFonts w:ascii="Arial" w:hAnsi="Arial" w:cs="Arial"/>
          <w:szCs w:val="21"/>
        </w:rPr>
        <w:t>（免长</w:t>
      </w:r>
      <w:r>
        <w:rPr>
          <w:rFonts w:ascii="Arial" w:hAnsi="Arial" w:cs="Arial"/>
          <w:szCs w:val="21"/>
        </w:rPr>
        <w:t>途话费）</w:t>
      </w:r>
    </w:p>
    <w:p w:rsidR="00000000" w:rsidRDefault="007F7C32">
      <w:pPr>
        <w:spacing w:line="360" w:lineRule="auto"/>
        <w:ind w:firstLineChars="200" w:firstLine="420"/>
        <w:rPr>
          <w:rFonts w:ascii="Arial" w:hAnsi="Arial" w:cs="Arial"/>
          <w:szCs w:val="21"/>
        </w:rPr>
      </w:pPr>
      <w:r>
        <w:rPr>
          <w:rFonts w:ascii="Arial" w:hAnsi="Arial" w:cs="Arial"/>
          <w:szCs w:val="21"/>
        </w:rPr>
        <w:t>网站：</w:t>
      </w:r>
      <w:r>
        <w:rPr>
          <w:rFonts w:ascii="Arial" w:hAnsi="Arial" w:cs="Arial"/>
          <w:szCs w:val="21"/>
        </w:rPr>
        <w:t>www.cpicfunds.com</w:t>
      </w:r>
    </w:p>
    <w:p w:rsidR="00000000" w:rsidRDefault="007F7C32">
      <w:pPr>
        <w:spacing w:line="360" w:lineRule="auto"/>
        <w:ind w:firstLineChars="200" w:firstLine="420"/>
        <w:rPr>
          <w:rFonts w:ascii="Arial" w:hAnsi="Arial" w:cs="Arial" w:hint="eastAsia"/>
          <w:szCs w:val="21"/>
        </w:rPr>
      </w:pPr>
      <w:r>
        <w:rPr>
          <w:rFonts w:ascii="Arial" w:hAnsi="Arial" w:cs="Arial"/>
          <w:szCs w:val="21"/>
        </w:rPr>
        <w:t>2</w:t>
      </w:r>
      <w:r>
        <w:rPr>
          <w:rFonts w:ascii="Arial" w:hAnsi="Arial" w:cs="Arial"/>
          <w:szCs w:val="21"/>
        </w:rPr>
        <w:t>、</w:t>
      </w:r>
      <w:r>
        <w:rPr>
          <w:rFonts w:ascii="Arial" w:hAnsi="Arial" w:cs="Arial" w:hint="eastAsia"/>
          <w:szCs w:val="21"/>
        </w:rPr>
        <w:t>中国人寿股份有限公司：</w:t>
      </w:r>
    </w:p>
    <w:p w:rsidR="00000000" w:rsidRDefault="007F7C32">
      <w:pPr>
        <w:spacing w:line="360" w:lineRule="auto"/>
        <w:ind w:firstLineChars="200" w:firstLine="420"/>
        <w:rPr>
          <w:rFonts w:ascii="Arial" w:hAnsi="Arial" w:cs="Arial" w:hint="eastAsia"/>
          <w:szCs w:val="21"/>
        </w:rPr>
      </w:pPr>
      <w:r>
        <w:rPr>
          <w:rFonts w:ascii="Arial" w:hAnsi="Arial" w:cs="Arial" w:hint="eastAsia"/>
          <w:szCs w:val="21"/>
        </w:rPr>
        <w:t>客户服务热线：</w:t>
      </w:r>
      <w:r>
        <w:rPr>
          <w:rFonts w:ascii="Arial" w:hAnsi="Arial" w:cs="Arial" w:hint="eastAsia"/>
          <w:szCs w:val="21"/>
        </w:rPr>
        <w:t>95519</w:t>
      </w:r>
    </w:p>
    <w:p w:rsidR="00000000" w:rsidRDefault="007F7C32">
      <w:pPr>
        <w:spacing w:line="360" w:lineRule="auto"/>
        <w:ind w:firstLineChars="200" w:firstLine="420"/>
        <w:rPr>
          <w:rFonts w:ascii="Arial" w:hAnsi="Arial" w:cs="Arial" w:hint="eastAsia"/>
          <w:szCs w:val="21"/>
        </w:rPr>
      </w:pPr>
      <w:r>
        <w:rPr>
          <w:rFonts w:ascii="Arial" w:hAnsi="Arial" w:cs="Arial" w:hint="eastAsia"/>
          <w:szCs w:val="21"/>
        </w:rPr>
        <w:t>网站：</w:t>
      </w:r>
      <w:r>
        <w:rPr>
          <w:rFonts w:ascii="Arial" w:hAnsi="Arial" w:cs="Arial"/>
          <w:szCs w:val="21"/>
        </w:rPr>
        <w:t>www.e-chinalife.com</w:t>
      </w:r>
    </w:p>
    <w:p w:rsidR="00000000" w:rsidRDefault="007F7C32">
      <w:pPr>
        <w:spacing w:line="360" w:lineRule="auto"/>
        <w:rPr>
          <w:rFonts w:ascii="Arial" w:hAnsi="Arial" w:cs="Arial" w:hint="eastAsia"/>
          <w:szCs w:val="21"/>
        </w:rPr>
      </w:pPr>
    </w:p>
    <w:p w:rsidR="00000000" w:rsidRDefault="007F7C32">
      <w:pPr>
        <w:spacing w:line="360" w:lineRule="auto"/>
        <w:ind w:firstLineChars="200" w:firstLine="420"/>
        <w:rPr>
          <w:rFonts w:ascii="Arial" w:hAnsi="Arial" w:cs="Arial"/>
          <w:szCs w:val="21"/>
        </w:rPr>
      </w:pPr>
      <w:r>
        <w:rPr>
          <w:rFonts w:ascii="Arial" w:hAnsi="Arial" w:cs="Arial" w:hint="eastAsia"/>
          <w:szCs w:val="21"/>
        </w:rPr>
        <w:t>四</w:t>
      </w:r>
      <w:r>
        <w:rPr>
          <w:rFonts w:ascii="Arial" w:hAnsi="Arial" w:cs="Arial"/>
          <w:szCs w:val="21"/>
        </w:rPr>
        <w:t>、重要提示</w:t>
      </w:r>
    </w:p>
    <w:p w:rsidR="00000000" w:rsidRDefault="007F7C32">
      <w:pPr>
        <w:spacing w:line="360" w:lineRule="auto"/>
        <w:ind w:firstLineChars="200" w:firstLine="420"/>
        <w:rPr>
          <w:rFonts w:ascii="Arial" w:hAnsi="Arial" w:cs="Arial"/>
          <w:szCs w:val="21"/>
        </w:rPr>
      </w:pPr>
      <w:r>
        <w:rPr>
          <w:rFonts w:ascii="Arial" w:hAnsi="Arial" w:cs="Arial" w:hint="eastAsia"/>
          <w:szCs w:val="21"/>
        </w:rPr>
        <w:t>1</w:t>
      </w:r>
      <w:r>
        <w:rPr>
          <w:rFonts w:ascii="Arial" w:hAnsi="Arial" w:cs="Arial"/>
          <w:szCs w:val="21"/>
        </w:rPr>
        <w:t>、投资者办理基金交易等相关业务前，应仔细阅读相关基金的基金合同、招募说明书及其更新、</w:t>
      </w:r>
      <w:r>
        <w:rPr>
          <w:rFonts w:ascii="Arial" w:hAnsi="Arial" w:cs="Arial" w:hint="eastAsia"/>
          <w:szCs w:val="21"/>
        </w:rPr>
        <w:t>产品资料概要及其更新、</w:t>
      </w:r>
      <w:r>
        <w:rPr>
          <w:rFonts w:ascii="Arial" w:hAnsi="Arial" w:cs="Arial"/>
          <w:szCs w:val="21"/>
        </w:rPr>
        <w:t>风险提示及相关业务规则和操作指南等文件。</w:t>
      </w:r>
    </w:p>
    <w:p w:rsidR="00000000" w:rsidRDefault="007F7C32">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、本公告涉及相关费率优惠活动的最终解释权归中国人寿所有；凡涉及旗下相关基金销售业务的其他未明事项，敬请遵循中国人寿的具体规定。</w:t>
      </w:r>
    </w:p>
    <w:p w:rsidR="00000000" w:rsidRDefault="007F7C32">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szCs w:val="21"/>
        </w:rPr>
        <w:t>、本公告的最终解释权归本公司所有</w:t>
      </w:r>
      <w:r>
        <w:rPr>
          <w:rFonts w:ascii="Arial" w:hAnsi="Arial" w:cs="Arial" w:hint="eastAsia"/>
          <w:szCs w:val="21"/>
        </w:rPr>
        <w:t>，今后若增加中国人寿为本公司旗</w:t>
      </w:r>
      <w:r>
        <w:rPr>
          <w:rFonts w:ascii="Arial" w:hAnsi="Arial" w:cs="Arial" w:hint="eastAsia"/>
          <w:szCs w:val="21"/>
        </w:rPr>
        <w:t>下其他开放式基金的销售机构，上述基金同样适用于此费率优惠活动，届时不再另行公告。</w:t>
      </w:r>
    </w:p>
    <w:p w:rsidR="00000000" w:rsidRDefault="007F7C32">
      <w:pPr>
        <w:spacing w:line="360" w:lineRule="auto"/>
        <w:ind w:firstLineChars="200" w:firstLine="420"/>
        <w:rPr>
          <w:rFonts w:ascii="Arial" w:hAnsi="Arial" w:cs="Arial" w:hint="eastAsia"/>
          <w:szCs w:val="21"/>
        </w:rPr>
      </w:pPr>
    </w:p>
    <w:p w:rsidR="00000000" w:rsidRDefault="007F7C32">
      <w:pPr>
        <w:spacing w:line="360" w:lineRule="auto"/>
        <w:ind w:firstLineChars="200" w:firstLine="420"/>
        <w:rPr>
          <w:rFonts w:ascii="Arial" w:hAnsi="Arial" w:cs="Arial" w:hint="eastAsia"/>
          <w:szCs w:val="21"/>
        </w:rPr>
      </w:pPr>
      <w:r>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基金业绩表现的保证。</w:t>
      </w:r>
    </w:p>
    <w:p w:rsidR="00000000" w:rsidRDefault="007F7C32">
      <w:pPr>
        <w:spacing w:line="360" w:lineRule="auto"/>
        <w:ind w:firstLineChars="200" w:firstLine="420"/>
        <w:rPr>
          <w:rFonts w:ascii="Arial" w:hAnsi="Arial" w:cs="Arial" w:hint="eastAsia"/>
          <w:szCs w:val="21"/>
        </w:rPr>
      </w:pPr>
      <w:r>
        <w:rPr>
          <w:rFonts w:ascii="Arial" w:hAnsi="Arial" w:cs="Arial" w:hint="eastAsia"/>
          <w:szCs w:val="21"/>
        </w:rPr>
        <w:t>销售机构根据法规要求对投资者类别、风险承受能力和基金的风险等级进行划分，并提出适当性匹配意见。投资者在投资基金前应认真阅读《基金合同》、《招募说明书》、《产品资料概要》等基金法律文件，全面认识基金产品的风险收益特征，在了解产品情</w:t>
      </w:r>
      <w:r>
        <w:rPr>
          <w:rFonts w:ascii="Arial" w:hAnsi="Arial" w:cs="Arial" w:hint="eastAsia"/>
          <w:szCs w:val="21"/>
        </w:rPr>
        <w:t>况及听取销售机构适当性意见的基础上，根据自身的风险承受能力、投资期限和投资目标，对基金投资作出独立决策，选择合适的基金产品。</w:t>
      </w:r>
    </w:p>
    <w:p w:rsidR="00000000" w:rsidRDefault="007F7C32">
      <w:pPr>
        <w:spacing w:line="360" w:lineRule="auto"/>
        <w:ind w:firstLineChars="200" w:firstLine="420"/>
        <w:rPr>
          <w:rFonts w:ascii="Arial" w:hAnsi="Arial" w:cs="Arial" w:hint="eastAsia"/>
          <w:szCs w:val="21"/>
        </w:rPr>
      </w:pPr>
      <w:r>
        <w:rPr>
          <w:rFonts w:ascii="Arial" w:hAnsi="Arial" w:cs="Arial"/>
          <w:szCs w:val="21"/>
        </w:rPr>
        <w:t>特此公告。</w:t>
      </w:r>
      <w:r>
        <w:rPr>
          <w:rFonts w:ascii="Arial" w:hAnsi="Arial" w:cs="Arial"/>
          <w:szCs w:val="21"/>
        </w:rPr>
        <w:t xml:space="preserve"> </w:t>
      </w:r>
    </w:p>
    <w:p w:rsidR="00000000" w:rsidRDefault="007F7C32">
      <w:pPr>
        <w:spacing w:line="360" w:lineRule="auto"/>
        <w:ind w:firstLineChars="200" w:firstLine="420"/>
        <w:jc w:val="right"/>
        <w:rPr>
          <w:rFonts w:ascii="Arial" w:hAnsi="Arial" w:cs="Arial"/>
          <w:szCs w:val="21"/>
        </w:rPr>
      </w:pPr>
      <w:r>
        <w:rPr>
          <w:rFonts w:ascii="Arial" w:hAnsi="Arial" w:cs="Arial"/>
          <w:szCs w:val="21"/>
        </w:rPr>
        <w:t>国联安基金管理有限公司</w:t>
      </w:r>
    </w:p>
    <w:p w:rsidR="00000000" w:rsidRDefault="007F7C32">
      <w:pPr>
        <w:wordWrap w:val="0"/>
        <w:spacing w:line="360" w:lineRule="auto"/>
        <w:ind w:firstLineChars="200" w:firstLine="420"/>
        <w:jc w:val="right"/>
        <w:rPr>
          <w:rFonts w:ascii="Arial" w:hAnsi="Arial" w:cs="Arial"/>
          <w:szCs w:val="21"/>
        </w:rPr>
      </w:pPr>
      <w:r>
        <w:rPr>
          <w:rFonts w:ascii="Arial" w:hAnsi="Arial" w:cs="Arial"/>
          <w:szCs w:val="21"/>
        </w:rPr>
        <w:t>二〇</w:t>
      </w:r>
      <w:r>
        <w:rPr>
          <w:rFonts w:ascii="Arial" w:hAnsi="Arial" w:cs="Arial" w:hint="eastAsia"/>
          <w:szCs w:val="21"/>
        </w:rPr>
        <w:t>二一</w:t>
      </w:r>
      <w:r>
        <w:rPr>
          <w:rFonts w:ascii="Arial" w:hAnsi="Arial" w:cs="Arial"/>
          <w:szCs w:val="21"/>
        </w:rPr>
        <w:t>年</w:t>
      </w:r>
      <w:r>
        <w:rPr>
          <w:rFonts w:ascii="Arial" w:hAnsi="Arial" w:cs="Arial" w:hint="eastAsia"/>
          <w:szCs w:val="21"/>
        </w:rPr>
        <w:t>七</w:t>
      </w:r>
      <w:r>
        <w:rPr>
          <w:rFonts w:ascii="Arial" w:hAnsi="Arial" w:cs="Arial"/>
          <w:szCs w:val="21"/>
        </w:rPr>
        <w:t>月</w:t>
      </w:r>
      <w:r>
        <w:rPr>
          <w:rFonts w:ascii="Arial" w:hAnsi="Arial" w:cs="Arial" w:hint="eastAsia"/>
          <w:szCs w:val="21"/>
        </w:rPr>
        <w:t>六</w:t>
      </w:r>
      <w:r>
        <w:rPr>
          <w:rFonts w:ascii="Arial" w:hAnsi="Arial" w:cs="Arial"/>
          <w:szCs w:val="21"/>
        </w:rPr>
        <w:t>日</w:t>
      </w: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C32" w:rsidRDefault="007F7C32" w:rsidP="007F7C32">
      <w:r>
        <w:separator/>
      </w:r>
    </w:p>
  </w:endnote>
  <w:endnote w:type="continuationSeparator" w:id="0">
    <w:p w:rsidR="007F7C32" w:rsidRDefault="007F7C32" w:rsidP="007F7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C32" w:rsidRDefault="007F7C32" w:rsidP="007F7C32">
      <w:r>
        <w:separator/>
      </w:r>
    </w:p>
  </w:footnote>
  <w:footnote w:type="continuationSeparator" w:id="0">
    <w:p w:rsidR="007F7C32" w:rsidRDefault="007F7C32" w:rsidP="007F7C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75A"/>
    <w:rsid w:val="000112F1"/>
    <w:rsid w:val="00015DB8"/>
    <w:rsid w:val="00022D2B"/>
    <w:rsid w:val="00024C8D"/>
    <w:rsid w:val="000279A8"/>
    <w:rsid w:val="00040927"/>
    <w:rsid w:val="00050D30"/>
    <w:rsid w:val="0005456C"/>
    <w:rsid w:val="0006028F"/>
    <w:rsid w:val="00060BC1"/>
    <w:rsid w:val="0006603D"/>
    <w:rsid w:val="000870F2"/>
    <w:rsid w:val="000B5F24"/>
    <w:rsid w:val="000B7F00"/>
    <w:rsid w:val="000C5664"/>
    <w:rsid w:val="000D0FEB"/>
    <w:rsid w:val="000D7356"/>
    <w:rsid w:val="000E36FD"/>
    <w:rsid w:val="000F413C"/>
    <w:rsid w:val="000F5853"/>
    <w:rsid w:val="00106BC9"/>
    <w:rsid w:val="0013792F"/>
    <w:rsid w:val="00156672"/>
    <w:rsid w:val="001720D8"/>
    <w:rsid w:val="001737A2"/>
    <w:rsid w:val="001768E1"/>
    <w:rsid w:val="00191E08"/>
    <w:rsid w:val="001C1F45"/>
    <w:rsid w:val="001D343B"/>
    <w:rsid w:val="002304F4"/>
    <w:rsid w:val="002465F6"/>
    <w:rsid w:val="00266310"/>
    <w:rsid w:val="002779AA"/>
    <w:rsid w:val="002A3549"/>
    <w:rsid w:val="002B1A64"/>
    <w:rsid w:val="002C4287"/>
    <w:rsid w:val="002D0AA2"/>
    <w:rsid w:val="002D61BD"/>
    <w:rsid w:val="002F2B54"/>
    <w:rsid w:val="002F31F8"/>
    <w:rsid w:val="002F4098"/>
    <w:rsid w:val="00300968"/>
    <w:rsid w:val="00307327"/>
    <w:rsid w:val="0032413B"/>
    <w:rsid w:val="00333118"/>
    <w:rsid w:val="0035756E"/>
    <w:rsid w:val="003704AA"/>
    <w:rsid w:val="00371D8C"/>
    <w:rsid w:val="00380E7E"/>
    <w:rsid w:val="00384127"/>
    <w:rsid w:val="00386602"/>
    <w:rsid w:val="00386691"/>
    <w:rsid w:val="0039283C"/>
    <w:rsid w:val="003A6491"/>
    <w:rsid w:val="003B3DB7"/>
    <w:rsid w:val="003B5A50"/>
    <w:rsid w:val="003C286C"/>
    <w:rsid w:val="003E6081"/>
    <w:rsid w:val="003E73D3"/>
    <w:rsid w:val="00410CD5"/>
    <w:rsid w:val="0041769F"/>
    <w:rsid w:val="00417EC1"/>
    <w:rsid w:val="00425E99"/>
    <w:rsid w:val="00432328"/>
    <w:rsid w:val="0043286C"/>
    <w:rsid w:val="004345D1"/>
    <w:rsid w:val="004606D0"/>
    <w:rsid w:val="00467868"/>
    <w:rsid w:val="00485A66"/>
    <w:rsid w:val="0048775A"/>
    <w:rsid w:val="004A55E2"/>
    <w:rsid w:val="004B6857"/>
    <w:rsid w:val="004B7323"/>
    <w:rsid w:val="004C12BC"/>
    <w:rsid w:val="004C7FBA"/>
    <w:rsid w:val="004D4A5C"/>
    <w:rsid w:val="004D5758"/>
    <w:rsid w:val="004E7F39"/>
    <w:rsid w:val="00525DFB"/>
    <w:rsid w:val="00532B62"/>
    <w:rsid w:val="00535F16"/>
    <w:rsid w:val="005410A3"/>
    <w:rsid w:val="00550DF0"/>
    <w:rsid w:val="005540FD"/>
    <w:rsid w:val="00555DFD"/>
    <w:rsid w:val="005571E4"/>
    <w:rsid w:val="00591A8C"/>
    <w:rsid w:val="005E2669"/>
    <w:rsid w:val="005F4716"/>
    <w:rsid w:val="005F790A"/>
    <w:rsid w:val="00605006"/>
    <w:rsid w:val="00616251"/>
    <w:rsid w:val="00617434"/>
    <w:rsid w:val="0062774B"/>
    <w:rsid w:val="00640265"/>
    <w:rsid w:val="0064260F"/>
    <w:rsid w:val="00645976"/>
    <w:rsid w:val="006467A4"/>
    <w:rsid w:val="00656F1C"/>
    <w:rsid w:val="00670E10"/>
    <w:rsid w:val="006717D9"/>
    <w:rsid w:val="00672179"/>
    <w:rsid w:val="00676B6A"/>
    <w:rsid w:val="00683673"/>
    <w:rsid w:val="00692EBE"/>
    <w:rsid w:val="006A2583"/>
    <w:rsid w:val="006B385F"/>
    <w:rsid w:val="006B4D14"/>
    <w:rsid w:val="006B749A"/>
    <w:rsid w:val="006B7A43"/>
    <w:rsid w:val="006C30E9"/>
    <w:rsid w:val="006C53D6"/>
    <w:rsid w:val="006C5EAD"/>
    <w:rsid w:val="006D252C"/>
    <w:rsid w:val="006D469E"/>
    <w:rsid w:val="006E5BBF"/>
    <w:rsid w:val="006F4100"/>
    <w:rsid w:val="00700C56"/>
    <w:rsid w:val="00701D77"/>
    <w:rsid w:val="00706649"/>
    <w:rsid w:val="00717BC0"/>
    <w:rsid w:val="00775009"/>
    <w:rsid w:val="00780E2D"/>
    <w:rsid w:val="007B6063"/>
    <w:rsid w:val="007C3A19"/>
    <w:rsid w:val="007D593C"/>
    <w:rsid w:val="007E679E"/>
    <w:rsid w:val="007F516E"/>
    <w:rsid w:val="007F7C32"/>
    <w:rsid w:val="008009D7"/>
    <w:rsid w:val="00836030"/>
    <w:rsid w:val="008400B5"/>
    <w:rsid w:val="00840C9B"/>
    <w:rsid w:val="00846AE1"/>
    <w:rsid w:val="008536FA"/>
    <w:rsid w:val="00854920"/>
    <w:rsid w:val="008730A0"/>
    <w:rsid w:val="00875925"/>
    <w:rsid w:val="00880CE1"/>
    <w:rsid w:val="008873A8"/>
    <w:rsid w:val="00890851"/>
    <w:rsid w:val="008954CE"/>
    <w:rsid w:val="008B6E96"/>
    <w:rsid w:val="008C108A"/>
    <w:rsid w:val="008C154F"/>
    <w:rsid w:val="008C55AA"/>
    <w:rsid w:val="008D3664"/>
    <w:rsid w:val="008E1106"/>
    <w:rsid w:val="008F4E9C"/>
    <w:rsid w:val="009035C1"/>
    <w:rsid w:val="00911456"/>
    <w:rsid w:val="009144FD"/>
    <w:rsid w:val="00942B47"/>
    <w:rsid w:val="00947D38"/>
    <w:rsid w:val="009575E9"/>
    <w:rsid w:val="00961E86"/>
    <w:rsid w:val="00962A1C"/>
    <w:rsid w:val="00972CF5"/>
    <w:rsid w:val="00984E67"/>
    <w:rsid w:val="009939F8"/>
    <w:rsid w:val="009A0D87"/>
    <w:rsid w:val="009B0C0B"/>
    <w:rsid w:val="009D1790"/>
    <w:rsid w:val="009E14D2"/>
    <w:rsid w:val="00A04718"/>
    <w:rsid w:val="00A07A8B"/>
    <w:rsid w:val="00A2008D"/>
    <w:rsid w:val="00A30B57"/>
    <w:rsid w:val="00A32DFE"/>
    <w:rsid w:val="00A32ED5"/>
    <w:rsid w:val="00A52BB6"/>
    <w:rsid w:val="00A63F59"/>
    <w:rsid w:val="00A63FE1"/>
    <w:rsid w:val="00A74C31"/>
    <w:rsid w:val="00A90280"/>
    <w:rsid w:val="00AB566B"/>
    <w:rsid w:val="00AC14E8"/>
    <w:rsid w:val="00AC15E0"/>
    <w:rsid w:val="00AC29E8"/>
    <w:rsid w:val="00AC3AFD"/>
    <w:rsid w:val="00AC7E76"/>
    <w:rsid w:val="00B1727F"/>
    <w:rsid w:val="00B22F1E"/>
    <w:rsid w:val="00B333CA"/>
    <w:rsid w:val="00B57C24"/>
    <w:rsid w:val="00B6576A"/>
    <w:rsid w:val="00B7161C"/>
    <w:rsid w:val="00B818F1"/>
    <w:rsid w:val="00B9310F"/>
    <w:rsid w:val="00BA3522"/>
    <w:rsid w:val="00BB0F6E"/>
    <w:rsid w:val="00BB17B4"/>
    <w:rsid w:val="00BB3059"/>
    <w:rsid w:val="00BD0CA4"/>
    <w:rsid w:val="00BD1475"/>
    <w:rsid w:val="00BD5661"/>
    <w:rsid w:val="00BD63B3"/>
    <w:rsid w:val="00C0599F"/>
    <w:rsid w:val="00C10754"/>
    <w:rsid w:val="00C24D0A"/>
    <w:rsid w:val="00C272EF"/>
    <w:rsid w:val="00C302F8"/>
    <w:rsid w:val="00C577DB"/>
    <w:rsid w:val="00C66DE8"/>
    <w:rsid w:val="00CD0019"/>
    <w:rsid w:val="00CD56B2"/>
    <w:rsid w:val="00CE2F4F"/>
    <w:rsid w:val="00CE479D"/>
    <w:rsid w:val="00D13D2A"/>
    <w:rsid w:val="00D14403"/>
    <w:rsid w:val="00D36201"/>
    <w:rsid w:val="00D41E86"/>
    <w:rsid w:val="00D50891"/>
    <w:rsid w:val="00D54863"/>
    <w:rsid w:val="00D61755"/>
    <w:rsid w:val="00D67907"/>
    <w:rsid w:val="00D71CDD"/>
    <w:rsid w:val="00D723F7"/>
    <w:rsid w:val="00DB3892"/>
    <w:rsid w:val="00DB3EDB"/>
    <w:rsid w:val="00DB621B"/>
    <w:rsid w:val="00DC19A7"/>
    <w:rsid w:val="00DC4493"/>
    <w:rsid w:val="00DF1D70"/>
    <w:rsid w:val="00DF694F"/>
    <w:rsid w:val="00E168BE"/>
    <w:rsid w:val="00E1751E"/>
    <w:rsid w:val="00E46B32"/>
    <w:rsid w:val="00E65B4C"/>
    <w:rsid w:val="00E67ADF"/>
    <w:rsid w:val="00EA2828"/>
    <w:rsid w:val="00EB1A5F"/>
    <w:rsid w:val="00EC40BB"/>
    <w:rsid w:val="00ED204B"/>
    <w:rsid w:val="00ED4E47"/>
    <w:rsid w:val="00ED76D0"/>
    <w:rsid w:val="00EF430F"/>
    <w:rsid w:val="00F058C1"/>
    <w:rsid w:val="00F14633"/>
    <w:rsid w:val="00F507B8"/>
    <w:rsid w:val="00F609F2"/>
    <w:rsid w:val="00F66B63"/>
    <w:rsid w:val="00F74B30"/>
    <w:rsid w:val="00F771AD"/>
    <w:rsid w:val="00F85163"/>
    <w:rsid w:val="00F86429"/>
    <w:rsid w:val="00F9438E"/>
    <w:rsid w:val="00FA2317"/>
    <w:rsid w:val="00FB24F1"/>
    <w:rsid w:val="00FC4537"/>
    <w:rsid w:val="00FD3BB7"/>
    <w:rsid w:val="00FE2650"/>
    <w:rsid w:val="00FE2E78"/>
    <w:rsid w:val="00FF7CD6"/>
    <w:rsid w:val="080C431A"/>
    <w:rsid w:val="183969D0"/>
    <w:rsid w:val="3F1422FF"/>
    <w:rsid w:val="40235FAC"/>
    <w:rsid w:val="43590BCE"/>
    <w:rsid w:val="7D9E50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character" w:customStyle="1" w:styleId="Char">
    <w:name w:val="批注文字 Char"/>
    <w:link w:val="a3"/>
    <w:rPr>
      <w:kern w:val="2"/>
      <w:sz w:val="21"/>
      <w:szCs w:val="24"/>
    </w:rPr>
  </w:style>
  <w:style w:type="paragraph" w:styleId="a4">
    <w:name w:val="Balloon Text"/>
    <w:basedOn w:val="a"/>
    <w:semiHidden/>
    <w:rPr>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link w:val="a5"/>
    <w:rPr>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Pr>
      <w:kern w:val="2"/>
      <w:sz w:val="18"/>
      <w:szCs w:val="18"/>
    </w:rPr>
  </w:style>
  <w:style w:type="paragraph" w:styleId="a7">
    <w:name w:val="annotation subject"/>
    <w:basedOn w:val="a3"/>
    <w:next w:val="a3"/>
    <w:link w:val="Char2"/>
    <w:rPr>
      <w:b/>
      <w:bCs/>
    </w:rPr>
  </w:style>
  <w:style w:type="character" w:customStyle="1" w:styleId="Char2">
    <w:name w:val="批注主题 Char"/>
    <w:link w:val="a7"/>
    <w:rPr>
      <w:b/>
      <w:bCs/>
      <w:kern w:val="2"/>
      <w:sz w:val="21"/>
      <w:szCs w:val="24"/>
    </w:rPr>
  </w:style>
  <w:style w:type="character" w:styleId="a8">
    <w:name w:val="Hyperlink"/>
    <w:rPr>
      <w:color w:val="0000FF"/>
      <w:u w:val="single"/>
    </w:rPr>
  </w:style>
  <w:style w:type="character" w:styleId="a9">
    <w:name w:val="annotation reference"/>
    <w:rPr>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3128</Characters>
  <Application>Microsoft Office Word</Application>
  <DocSecurity>4</DocSecurity>
  <Lines>26</Lines>
  <Paragraphs>7</Paragraphs>
  <ScaleCrop>false</ScaleCrop>
  <Company>国联安基金</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国联安基金管理有限公司关于旗下部分基金增加中信证券（浙江）有限责任公司为代销机构的公告</dc:title>
  <dc:subject/>
  <dc:creator>irene.zhuang</dc:creator>
  <cp:keywords/>
  <cp:lastModifiedBy>ZHONGM</cp:lastModifiedBy>
  <cp:revision>2</cp:revision>
  <cp:lastPrinted>2019-07-22T08:29:00Z</cp:lastPrinted>
  <dcterms:created xsi:type="dcterms:W3CDTF">2021-07-05T16:20:00Z</dcterms:created>
  <dcterms:modified xsi:type="dcterms:W3CDTF">2021-07-05T16:20:00Z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1193E361ECD04F9891C7709762964840</vt:lpwstr>
  </property>
</Properties>
</file>