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BE" w:rsidRPr="003D135B" w:rsidRDefault="002B49BE" w:rsidP="003C176C">
      <w:pPr>
        <w:pStyle w:val="a3"/>
        <w:shd w:val="clear" w:color="auto" w:fill="FFFFFF"/>
        <w:spacing w:before="0" w:beforeAutospacing="0" w:after="0" w:afterAutospacing="0" w:line="360" w:lineRule="auto"/>
        <w:ind w:firstLineChars="200" w:firstLine="562"/>
        <w:jc w:val="center"/>
        <w:rPr>
          <w:b/>
          <w:bCs/>
          <w:color w:val="333333"/>
          <w:sz w:val="28"/>
          <w:szCs w:val="28"/>
        </w:rPr>
      </w:pPr>
      <w:r w:rsidRPr="003D135B">
        <w:rPr>
          <w:rFonts w:hint="eastAsia"/>
          <w:b/>
          <w:bCs/>
          <w:color w:val="333333"/>
          <w:sz w:val="28"/>
          <w:szCs w:val="28"/>
        </w:rPr>
        <w:t>华安基金管理有限公司关于旗下部分公募基金</w:t>
      </w:r>
      <w:r w:rsidR="002B08D0" w:rsidRPr="003D135B">
        <w:rPr>
          <w:rFonts w:hint="eastAsia"/>
          <w:b/>
          <w:bCs/>
          <w:color w:val="333333"/>
          <w:sz w:val="28"/>
          <w:szCs w:val="28"/>
        </w:rPr>
        <w:t>增加侧袋机制并修改基金合同和托管协议</w:t>
      </w:r>
      <w:r w:rsidRPr="003D135B">
        <w:rPr>
          <w:rFonts w:hint="eastAsia"/>
          <w:b/>
          <w:bCs/>
          <w:color w:val="333333"/>
          <w:sz w:val="28"/>
          <w:szCs w:val="28"/>
        </w:rPr>
        <w:t>的公告</w:t>
      </w:r>
    </w:p>
    <w:p w:rsidR="00E35C07" w:rsidRPr="0032432F" w:rsidRDefault="00E35C07" w:rsidP="0032432F">
      <w:pPr>
        <w:pStyle w:val="a3"/>
        <w:shd w:val="clear" w:color="auto" w:fill="FFFFFF"/>
        <w:spacing w:before="0" w:beforeAutospacing="0" w:after="0" w:afterAutospacing="0" w:line="360" w:lineRule="auto"/>
        <w:ind w:firstLineChars="200" w:firstLine="422"/>
        <w:jc w:val="center"/>
        <w:rPr>
          <w:b/>
          <w:bCs/>
          <w:color w:val="333333"/>
          <w:sz w:val="21"/>
          <w:szCs w:val="21"/>
        </w:rPr>
      </w:pPr>
    </w:p>
    <w:p w:rsidR="00B43A8C" w:rsidRPr="003D135B" w:rsidRDefault="002B49BE" w:rsidP="003D135B">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根据《中华人民共和国证券法》</w:t>
      </w:r>
      <w:r w:rsidR="0056776B">
        <w:rPr>
          <w:rFonts w:hint="eastAsia"/>
          <w:color w:val="333333"/>
          <w:sz w:val="21"/>
          <w:szCs w:val="21"/>
        </w:rPr>
        <w:t>《</w:t>
      </w:r>
      <w:r w:rsidRPr="0032432F">
        <w:rPr>
          <w:rFonts w:hint="eastAsia"/>
          <w:color w:val="333333"/>
          <w:sz w:val="21"/>
          <w:szCs w:val="21"/>
        </w:rPr>
        <w:t>公开募集证券投资基金信息披露管理办法》</w:t>
      </w:r>
      <w:r w:rsidR="00B43A8C" w:rsidRPr="003D135B">
        <w:rPr>
          <w:rFonts w:hint="eastAsia"/>
          <w:color w:val="333333"/>
          <w:sz w:val="21"/>
          <w:szCs w:val="21"/>
        </w:rPr>
        <w:t>《公开募集证券投资基金侧袋机制指引（试行）》</w:t>
      </w:r>
      <w:r w:rsidRPr="0032432F">
        <w:rPr>
          <w:rFonts w:hint="eastAsia"/>
          <w:color w:val="333333"/>
          <w:sz w:val="21"/>
          <w:szCs w:val="21"/>
        </w:rPr>
        <w:t>等法律法规及各基金基金合同</w:t>
      </w:r>
      <w:r w:rsidR="007F709F">
        <w:rPr>
          <w:rFonts w:hint="eastAsia"/>
          <w:color w:val="333333"/>
          <w:sz w:val="21"/>
          <w:szCs w:val="21"/>
        </w:rPr>
        <w:t>的</w:t>
      </w:r>
      <w:r w:rsidRPr="0032432F">
        <w:rPr>
          <w:rFonts w:hint="eastAsia"/>
          <w:color w:val="333333"/>
          <w:sz w:val="21"/>
          <w:szCs w:val="21"/>
        </w:rPr>
        <w:t>规定，经与各基金托管人协商一致，并向中</w:t>
      </w:r>
      <w:r w:rsidR="003D135B">
        <w:rPr>
          <w:rFonts w:hint="eastAsia"/>
          <w:color w:val="333333"/>
          <w:sz w:val="21"/>
          <w:szCs w:val="21"/>
        </w:rPr>
        <w:t>国证监会备案，华安基金管理有限公司（以下简称“本基金管理人”）</w:t>
      </w:r>
      <w:r w:rsidRPr="0032432F">
        <w:rPr>
          <w:rFonts w:hint="eastAsia"/>
          <w:color w:val="333333"/>
          <w:sz w:val="21"/>
          <w:szCs w:val="21"/>
        </w:rPr>
        <w:t>旗下</w:t>
      </w:r>
      <w:r w:rsidR="00CA538B">
        <w:rPr>
          <w:rFonts w:hint="eastAsia"/>
          <w:color w:val="333333"/>
          <w:sz w:val="21"/>
          <w:szCs w:val="21"/>
        </w:rPr>
        <w:t>34</w:t>
      </w:r>
      <w:r w:rsidRPr="0032432F">
        <w:rPr>
          <w:rFonts w:hint="eastAsia"/>
          <w:color w:val="333333"/>
          <w:sz w:val="21"/>
          <w:szCs w:val="21"/>
        </w:rPr>
        <w:t>只公募基金</w:t>
      </w:r>
      <w:r w:rsidR="00B43A8C">
        <w:rPr>
          <w:rFonts w:hint="eastAsia"/>
          <w:color w:val="333333"/>
          <w:sz w:val="21"/>
          <w:szCs w:val="21"/>
        </w:rPr>
        <w:t>增加侧袋机制并修改</w:t>
      </w:r>
      <w:r w:rsidRPr="0032432F">
        <w:rPr>
          <w:rFonts w:hint="eastAsia"/>
          <w:color w:val="333333"/>
          <w:sz w:val="21"/>
          <w:szCs w:val="21"/>
        </w:rPr>
        <w:t>基金合同</w:t>
      </w:r>
      <w:r w:rsidR="00EE2D53">
        <w:rPr>
          <w:rFonts w:hint="eastAsia"/>
          <w:color w:val="333333"/>
          <w:sz w:val="21"/>
          <w:szCs w:val="21"/>
        </w:rPr>
        <w:t>、托管协议</w:t>
      </w:r>
      <w:r w:rsidRPr="0032432F">
        <w:rPr>
          <w:rFonts w:hint="eastAsia"/>
          <w:color w:val="333333"/>
          <w:sz w:val="21"/>
          <w:szCs w:val="21"/>
        </w:rPr>
        <w:t>等法律文件。本次修订对基金份额持有人利益无实质性不利影响，修订将</w:t>
      </w:r>
      <w:r w:rsidRPr="00130A65">
        <w:rPr>
          <w:rFonts w:hint="eastAsia"/>
          <w:color w:val="333333"/>
          <w:sz w:val="21"/>
          <w:szCs w:val="21"/>
        </w:rPr>
        <w:t>自</w:t>
      </w:r>
      <w:r w:rsidRPr="005F425C">
        <w:rPr>
          <w:color w:val="333333"/>
          <w:sz w:val="21"/>
          <w:szCs w:val="21"/>
        </w:rPr>
        <w:t>202</w:t>
      </w:r>
      <w:r w:rsidR="00B43A8C" w:rsidRPr="005F425C">
        <w:rPr>
          <w:color w:val="333333"/>
          <w:sz w:val="21"/>
          <w:szCs w:val="21"/>
        </w:rPr>
        <w:t>1</w:t>
      </w:r>
      <w:r w:rsidRPr="005F425C">
        <w:rPr>
          <w:rFonts w:hint="eastAsia"/>
          <w:color w:val="333333"/>
          <w:sz w:val="21"/>
          <w:szCs w:val="21"/>
        </w:rPr>
        <w:t>年</w:t>
      </w:r>
      <w:r w:rsidR="00130A65" w:rsidRPr="005F425C">
        <w:rPr>
          <w:color w:val="333333"/>
          <w:sz w:val="21"/>
          <w:szCs w:val="21"/>
        </w:rPr>
        <w:t>7</w:t>
      </w:r>
      <w:r w:rsidRPr="005F425C">
        <w:rPr>
          <w:rFonts w:hint="eastAsia"/>
          <w:color w:val="333333"/>
          <w:sz w:val="21"/>
          <w:szCs w:val="21"/>
        </w:rPr>
        <w:t>月</w:t>
      </w:r>
      <w:r w:rsidR="00130A65" w:rsidRPr="005F425C">
        <w:rPr>
          <w:color w:val="333333"/>
          <w:sz w:val="21"/>
          <w:szCs w:val="21"/>
        </w:rPr>
        <w:t>6</w:t>
      </w:r>
      <w:r w:rsidRPr="005F425C">
        <w:rPr>
          <w:rFonts w:hint="eastAsia"/>
          <w:color w:val="333333"/>
          <w:sz w:val="21"/>
          <w:szCs w:val="21"/>
        </w:rPr>
        <w:t>日</w:t>
      </w:r>
      <w:r w:rsidRPr="00130A65">
        <w:rPr>
          <w:rFonts w:hint="eastAsia"/>
          <w:color w:val="333333"/>
          <w:sz w:val="21"/>
          <w:szCs w:val="21"/>
        </w:rPr>
        <w:t>起</w:t>
      </w:r>
      <w:r w:rsidRPr="0032432F">
        <w:rPr>
          <w:rFonts w:hint="eastAsia"/>
          <w:color w:val="333333"/>
          <w:sz w:val="21"/>
          <w:szCs w:val="21"/>
        </w:rPr>
        <w:t>正式生效。现将</w:t>
      </w:r>
      <w:r w:rsidR="008F32AF">
        <w:rPr>
          <w:rFonts w:hint="eastAsia"/>
          <w:color w:val="333333"/>
          <w:sz w:val="21"/>
          <w:szCs w:val="21"/>
        </w:rPr>
        <w:t>各</w:t>
      </w:r>
      <w:r w:rsidR="004F340C">
        <w:rPr>
          <w:rFonts w:hint="eastAsia"/>
          <w:color w:val="333333"/>
          <w:sz w:val="21"/>
          <w:szCs w:val="21"/>
        </w:rPr>
        <w:t>基金</w:t>
      </w:r>
      <w:r w:rsidRPr="0032432F">
        <w:rPr>
          <w:rFonts w:hint="eastAsia"/>
          <w:color w:val="333333"/>
          <w:sz w:val="21"/>
          <w:szCs w:val="21"/>
        </w:rPr>
        <w:t>基金合同、</w:t>
      </w:r>
      <w:r w:rsidR="00B43A8C">
        <w:rPr>
          <w:rFonts w:hint="eastAsia"/>
          <w:color w:val="333333"/>
          <w:sz w:val="21"/>
          <w:szCs w:val="21"/>
        </w:rPr>
        <w:t>托管协议</w:t>
      </w:r>
      <w:r w:rsidRPr="0032432F">
        <w:rPr>
          <w:rFonts w:hint="eastAsia"/>
          <w:color w:val="333333"/>
          <w:sz w:val="21"/>
          <w:szCs w:val="21"/>
        </w:rPr>
        <w:t>修订情况公告如下：</w:t>
      </w:r>
    </w:p>
    <w:p w:rsidR="00524502" w:rsidRPr="0032432F" w:rsidRDefault="00524502" w:rsidP="0032432F">
      <w:pPr>
        <w:pStyle w:val="a3"/>
        <w:shd w:val="clear" w:color="auto" w:fill="FFFFFF"/>
        <w:spacing w:before="0" w:beforeAutospacing="0" w:after="0" w:afterAutospacing="0" w:line="360" w:lineRule="auto"/>
        <w:ind w:firstLineChars="200" w:firstLine="420"/>
        <w:rPr>
          <w:color w:val="333333"/>
          <w:sz w:val="21"/>
          <w:szCs w:val="21"/>
        </w:rPr>
      </w:pPr>
    </w:p>
    <w:p w:rsidR="002B49BE" w:rsidRPr="0032432F" w:rsidRDefault="002B49BE" w:rsidP="0032432F">
      <w:pPr>
        <w:pStyle w:val="a3"/>
        <w:shd w:val="clear" w:color="auto" w:fill="FFFFFF"/>
        <w:spacing w:before="0" w:beforeAutospacing="0" w:after="0" w:afterAutospacing="0" w:line="360" w:lineRule="auto"/>
        <w:ind w:firstLineChars="200" w:firstLine="422"/>
        <w:rPr>
          <w:b/>
          <w:color w:val="333333"/>
          <w:sz w:val="21"/>
          <w:szCs w:val="21"/>
        </w:rPr>
      </w:pPr>
      <w:r w:rsidRPr="002B49BE">
        <w:rPr>
          <w:rFonts w:hint="eastAsia"/>
          <w:b/>
          <w:color w:val="333333"/>
          <w:sz w:val="21"/>
          <w:szCs w:val="21"/>
        </w:rPr>
        <w:t>一、修订基金范围</w:t>
      </w:r>
    </w:p>
    <w:p w:rsidR="00E2281B" w:rsidRDefault="00DB58AF" w:rsidP="0032432F">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本次修订涉及基金管理人旗下</w:t>
      </w:r>
      <w:r w:rsidR="00CA538B">
        <w:rPr>
          <w:rFonts w:hint="eastAsia"/>
          <w:color w:val="333333"/>
          <w:sz w:val="21"/>
          <w:szCs w:val="21"/>
        </w:rPr>
        <w:t>34</w:t>
      </w:r>
      <w:r w:rsidRPr="0032432F">
        <w:rPr>
          <w:color w:val="333333"/>
          <w:sz w:val="21"/>
          <w:szCs w:val="21"/>
        </w:rPr>
        <w:t>只公募基金，详细名单见</w:t>
      </w:r>
      <w:r w:rsidR="00CA538B">
        <w:rPr>
          <w:rFonts w:hint="eastAsia"/>
          <w:color w:val="333333"/>
          <w:sz w:val="21"/>
          <w:szCs w:val="21"/>
        </w:rPr>
        <w:t>下</w:t>
      </w:r>
      <w:r w:rsidRPr="0032432F">
        <w:rPr>
          <w:color w:val="333333"/>
          <w:sz w:val="21"/>
          <w:szCs w:val="21"/>
        </w:rPr>
        <w:t>表。</w:t>
      </w:r>
    </w:p>
    <w:tbl>
      <w:tblPr>
        <w:tblW w:w="5000" w:type="pct"/>
        <w:tblLook w:val="04A0"/>
      </w:tblPr>
      <w:tblGrid>
        <w:gridCol w:w="932"/>
        <w:gridCol w:w="6319"/>
        <w:gridCol w:w="1271"/>
      </w:tblGrid>
      <w:tr w:rsidR="008C25C4" w:rsidRPr="00AF3194" w:rsidTr="00AF3194">
        <w:trPr>
          <w:trHeight w:val="285"/>
        </w:trPr>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b/>
                <w:bCs/>
                <w:color w:val="000000"/>
                <w:kern w:val="0"/>
                <w:szCs w:val="21"/>
              </w:rPr>
            </w:pPr>
            <w:r w:rsidRPr="00AF3194">
              <w:rPr>
                <w:rFonts w:ascii="宋体" w:eastAsia="宋体" w:hAnsi="宋体" w:cs="宋体" w:hint="eastAsia"/>
                <w:b/>
                <w:bCs/>
                <w:color w:val="000000"/>
                <w:kern w:val="0"/>
                <w:szCs w:val="21"/>
              </w:rPr>
              <w:t>序号</w:t>
            </w:r>
          </w:p>
        </w:tc>
        <w:tc>
          <w:tcPr>
            <w:tcW w:w="3708" w:type="pct"/>
            <w:tcBorders>
              <w:top w:val="single" w:sz="4" w:space="0" w:color="auto"/>
              <w:left w:val="nil"/>
              <w:bottom w:val="single" w:sz="4" w:space="0" w:color="auto"/>
              <w:right w:val="single" w:sz="4" w:space="0" w:color="auto"/>
            </w:tcBorders>
            <w:shd w:val="clear" w:color="auto" w:fill="auto"/>
            <w:vAlign w:val="center"/>
            <w:hideMark/>
          </w:tcPr>
          <w:p w:rsidR="00CA538B" w:rsidRPr="00AF3194" w:rsidRDefault="00CA538B" w:rsidP="008C25C4">
            <w:pPr>
              <w:widowControl/>
              <w:jc w:val="left"/>
              <w:rPr>
                <w:rFonts w:ascii="宋体" w:eastAsia="宋体" w:hAnsi="宋体" w:cs="宋体"/>
                <w:b/>
                <w:bCs/>
                <w:color w:val="000000"/>
                <w:kern w:val="0"/>
                <w:szCs w:val="21"/>
              </w:rPr>
            </w:pPr>
            <w:r w:rsidRPr="00AF3194">
              <w:rPr>
                <w:rFonts w:ascii="宋体" w:eastAsia="宋体" w:hAnsi="宋体" w:cs="宋体" w:hint="eastAsia"/>
                <w:b/>
                <w:bCs/>
                <w:color w:val="000000"/>
                <w:kern w:val="0"/>
                <w:szCs w:val="21"/>
              </w:rPr>
              <w:t>基金名称</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rsidR="00CA538B" w:rsidRPr="00AF3194" w:rsidRDefault="008C25C4" w:rsidP="00CA538B">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基金托管人</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华安鼎信3个月定期开放债券型发起式证券投资基金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中信银行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华安鑫福42个月定期开放债券型证券投资基金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中信银行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3</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华安年年盈定期开放债券型证券投资基金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中国银行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4</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华安添鑫中短债债券型证券投资基金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中国银行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5</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华安全球美元收益债券型证券投资基金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中国银行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6</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华安鼎瑞定期开放债券型发起式证券投资基金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浙商银行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7</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华安安悦债券型证券投资基金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浙商银行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8</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华安安逸半年定期开放债券型发起式证券投资基金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浙商银行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9</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华安安盛3个月定期开放债券型发起式证券投资基金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浙商银行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10</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华安中债7-10年国开行债券指数证券投资基金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浙商银行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11</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华安可转换债券债券型证券投资基金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招商银行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12</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华安安腾一年定期开放债券型发起式证券投资基金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招商银行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13</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华安安心收益债券型证券投资基金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邮储银行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14</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华安鼎益债券型证券投资基金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邮储银行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15</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华安年年丰一年定期开放债券型证券投资基金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邮储银行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16</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华安安业债券型证券投资基金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兴业银行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17</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华安全球精选债券型证券投资基金(QDII)</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兴业银行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18</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华安安浦债券型证券投资基金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浦发银行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19</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华安鑫浦87个月定期开放债券型证券投资基金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浦发银行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20</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华安中债1-5年国开行债券指数证券投资基金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浦发银行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21</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华安安平6个月定期开放债券型发起式证券投资基金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平安银行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22</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华安纯债债券型发起式证券投资基金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农业银行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23</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华安双债添利债券型证券投资基金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交通银行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lastRenderedPageBreak/>
              <w:t>24</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华安鼎丰债券型发起式证券投资基金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交通银行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25</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华安安敦债券型证券投资基金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交通银行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26</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华安安嘉6个月定期开放债券型发起式证券投资基金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江苏银行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27</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华安稳定收益债券型证券投资基金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建设银行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28</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华安全球美元票息债券型证券投资基金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建设银行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29</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华安安和债券型证券投资基金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徽商银行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30</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华安中债1-3年政策性金融债指数证券投资基金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徽商银行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31</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华安强化收益债券型证券投资基金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工商银行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32</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华安年年红定期开放债券型证券投资基金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工商银行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33</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华安稳固收益债券型证券投资基金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工商银行</w:t>
            </w:r>
          </w:p>
        </w:tc>
      </w:tr>
      <w:tr w:rsidR="008C25C4" w:rsidRPr="00AF3194" w:rsidTr="00AF3194">
        <w:trPr>
          <w:trHeight w:val="315"/>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Times New Roman"/>
                <w:color w:val="000000"/>
                <w:kern w:val="0"/>
                <w:szCs w:val="21"/>
              </w:rPr>
            </w:pPr>
            <w:r w:rsidRPr="00AF3194">
              <w:rPr>
                <w:rFonts w:ascii="宋体" w:eastAsia="宋体" w:hAnsi="宋体" w:cs="Times New Roman"/>
                <w:color w:val="000000"/>
                <w:kern w:val="0"/>
                <w:szCs w:val="21"/>
              </w:rPr>
              <w:t>34</w:t>
            </w:r>
          </w:p>
        </w:tc>
        <w:tc>
          <w:tcPr>
            <w:tcW w:w="3708"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left"/>
              <w:rPr>
                <w:rFonts w:ascii="宋体" w:eastAsia="宋体" w:hAnsi="宋体" w:cs="宋体"/>
                <w:color w:val="000000"/>
                <w:kern w:val="0"/>
                <w:szCs w:val="21"/>
              </w:rPr>
            </w:pPr>
            <w:r w:rsidRPr="00AF3194">
              <w:rPr>
                <w:rFonts w:ascii="宋体" w:eastAsia="宋体" w:hAnsi="宋体" w:cs="宋体" w:hint="eastAsia"/>
                <w:color w:val="000000"/>
                <w:kern w:val="0"/>
                <w:szCs w:val="21"/>
              </w:rPr>
              <w:t>华安信用四季红债券型证券投资基金</w:t>
            </w:r>
          </w:p>
        </w:tc>
        <w:tc>
          <w:tcPr>
            <w:tcW w:w="744" w:type="pct"/>
            <w:tcBorders>
              <w:top w:val="nil"/>
              <w:left w:val="nil"/>
              <w:bottom w:val="single" w:sz="4" w:space="0" w:color="auto"/>
              <w:right w:val="single" w:sz="4" w:space="0" w:color="auto"/>
            </w:tcBorders>
            <w:shd w:val="clear" w:color="auto" w:fill="auto"/>
            <w:noWrap/>
            <w:vAlign w:val="center"/>
            <w:hideMark/>
          </w:tcPr>
          <w:p w:rsidR="00CA538B" w:rsidRPr="00AF3194" w:rsidRDefault="00CA538B" w:rsidP="00CA538B">
            <w:pPr>
              <w:widowControl/>
              <w:jc w:val="center"/>
              <w:rPr>
                <w:rFonts w:ascii="宋体" w:eastAsia="宋体" w:hAnsi="宋体" w:cs="宋体"/>
                <w:color w:val="000000"/>
                <w:kern w:val="0"/>
                <w:szCs w:val="21"/>
              </w:rPr>
            </w:pPr>
            <w:r w:rsidRPr="00AF3194">
              <w:rPr>
                <w:rFonts w:ascii="宋体" w:eastAsia="宋体" w:hAnsi="宋体" w:cs="宋体" w:hint="eastAsia"/>
                <w:color w:val="000000"/>
                <w:kern w:val="0"/>
                <w:szCs w:val="21"/>
              </w:rPr>
              <w:t>工商银行</w:t>
            </w:r>
          </w:p>
        </w:tc>
      </w:tr>
    </w:tbl>
    <w:p w:rsidR="00524502" w:rsidRPr="0032432F" w:rsidRDefault="00524502" w:rsidP="008C25C4">
      <w:pPr>
        <w:pStyle w:val="a3"/>
        <w:shd w:val="clear" w:color="auto" w:fill="FFFFFF"/>
        <w:spacing w:before="0" w:beforeAutospacing="0" w:after="0" w:afterAutospacing="0" w:line="360" w:lineRule="auto"/>
        <w:rPr>
          <w:sz w:val="21"/>
          <w:szCs w:val="21"/>
        </w:rPr>
      </w:pPr>
    </w:p>
    <w:p w:rsidR="00B43A8C" w:rsidRPr="008C25C4" w:rsidRDefault="00DB58AF" w:rsidP="008C25C4">
      <w:pPr>
        <w:pStyle w:val="Default"/>
        <w:shd w:val="clear" w:color="auto" w:fill="FFFFFF"/>
        <w:spacing w:line="360" w:lineRule="auto"/>
        <w:ind w:firstLineChars="200" w:firstLine="422"/>
        <w:rPr>
          <w:rFonts w:ascii="宋体" w:eastAsia="宋体" w:hAnsi="宋体" w:cs="宋体"/>
          <w:b/>
          <w:color w:val="333333"/>
          <w:sz w:val="21"/>
          <w:szCs w:val="21"/>
        </w:rPr>
      </w:pPr>
      <w:r w:rsidRPr="008C25C4">
        <w:rPr>
          <w:rFonts w:ascii="宋体" w:eastAsia="宋体" w:hAnsi="宋体" w:cs="宋体" w:hint="eastAsia"/>
          <w:b/>
          <w:color w:val="333333"/>
          <w:sz w:val="21"/>
          <w:szCs w:val="21"/>
        </w:rPr>
        <w:t>二、</w:t>
      </w:r>
      <w:r w:rsidR="0032432F" w:rsidRPr="008C25C4">
        <w:rPr>
          <w:rFonts w:ascii="宋体" w:eastAsia="宋体" w:hAnsi="宋体" w:cs="宋体" w:hint="eastAsia"/>
          <w:b/>
          <w:color w:val="333333"/>
          <w:sz w:val="21"/>
          <w:szCs w:val="21"/>
        </w:rPr>
        <w:t>本次修订的主要内容</w:t>
      </w:r>
    </w:p>
    <w:p w:rsidR="00B43A8C" w:rsidRPr="00AF3194" w:rsidRDefault="00B43A8C" w:rsidP="00AF3194">
      <w:pPr>
        <w:pStyle w:val="a3"/>
        <w:shd w:val="clear" w:color="auto" w:fill="FFFFFF"/>
        <w:spacing w:before="0" w:beforeAutospacing="0" w:after="0" w:afterAutospacing="0" w:line="360" w:lineRule="auto"/>
        <w:ind w:firstLineChars="200" w:firstLine="420"/>
        <w:rPr>
          <w:color w:val="333333"/>
          <w:sz w:val="21"/>
          <w:szCs w:val="21"/>
        </w:rPr>
      </w:pPr>
      <w:r w:rsidRPr="00AF3194">
        <w:rPr>
          <w:rFonts w:hint="eastAsia"/>
          <w:color w:val="333333"/>
          <w:sz w:val="21"/>
          <w:szCs w:val="21"/>
        </w:rPr>
        <w:t>侧袋机制属于流动性风险管理工具，指将基金投资组合中的特定资产从原有账户分离至一个专门账户进行处置清算，目的在于有效隔离并化解风险，确保投资者得到公平对待。本次修订系根据《公开募集证券投资基金侧袋机制指引（试行）》的相关</w:t>
      </w:r>
      <w:r w:rsidR="00836F11">
        <w:rPr>
          <w:rFonts w:hint="eastAsia"/>
          <w:color w:val="333333"/>
          <w:sz w:val="21"/>
          <w:szCs w:val="21"/>
        </w:rPr>
        <w:t>规</w:t>
      </w:r>
      <w:r w:rsidRPr="00AF3194">
        <w:rPr>
          <w:rFonts w:hint="eastAsia"/>
          <w:color w:val="333333"/>
          <w:sz w:val="21"/>
          <w:szCs w:val="21"/>
        </w:rPr>
        <w:t>定增加侧袋机制，主要包括侧袋机制实施条件、实施程序和特定资产范围、侧袋账户运作安排、主袋账户的投资安排、</w:t>
      </w:r>
      <w:r w:rsidR="0087659B">
        <w:rPr>
          <w:rFonts w:hint="eastAsia"/>
          <w:color w:val="333333"/>
          <w:sz w:val="21"/>
          <w:szCs w:val="21"/>
        </w:rPr>
        <w:t>实施侧袋机制期间</w:t>
      </w:r>
      <w:r w:rsidRPr="00AF3194">
        <w:rPr>
          <w:rFonts w:hint="eastAsia"/>
          <w:color w:val="333333"/>
          <w:sz w:val="21"/>
          <w:szCs w:val="21"/>
        </w:rPr>
        <w:t>基金份额持有人大会表决权、</w:t>
      </w:r>
      <w:r w:rsidR="00AF3761" w:rsidRPr="00AF3761">
        <w:rPr>
          <w:rFonts w:hint="eastAsia"/>
          <w:color w:val="333333"/>
          <w:sz w:val="21"/>
          <w:szCs w:val="21"/>
        </w:rPr>
        <w:t>实施侧袋机制期间的基金资产估值</w:t>
      </w:r>
      <w:r w:rsidR="00AF3761">
        <w:rPr>
          <w:rFonts w:hint="eastAsia"/>
          <w:color w:val="333333"/>
          <w:sz w:val="21"/>
          <w:szCs w:val="21"/>
        </w:rPr>
        <w:t>、</w:t>
      </w:r>
      <w:r w:rsidR="00AF3761" w:rsidRPr="00AF3761">
        <w:rPr>
          <w:rFonts w:hint="eastAsia"/>
          <w:color w:val="333333"/>
          <w:sz w:val="21"/>
          <w:szCs w:val="21"/>
        </w:rPr>
        <w:t>实施侧袋机制期间的基金费用</w:t>
      </w:r>
      <w:r w:rsidR="00AF3761">
        <w:rPr>
          <w:rFonts w:hint="eastAsia"/>
          <w:color w:val="333333"/>
          <w:sz w:val="21"/>
          <w:szCs w:val="21"/>
        </w:rPr>
        <w:t>、</w:t>
      </w:r>
      <w:r w:rsidR="00AF3761" w:rsidRPr="00AF3761">
        <w:rPr>
          <w:rFonts w:hint="eastAsia"/>
          <w:color w:val="333333"/>
          <w:sz w:val="21"/>
          <w:szCs w:val="21"/>
        </w:rPr>
        <w:t>实施侧袋机制期间的收益分配</w:t>
      </w:r>
      <w:r w:rsidR="00AF3761">
        <w:rPr>
          <w:rFonts w:hint="eastAsia"/>
          <w:color w:val="333333"/>
          <w:sz w:val="21"/>
          <w:szCs w:val="21"/>
        </w:rPr>
        <w:t>、</w:t>
      </w:r>
      <w:r w:rsidRPr="00AF3194">
        <w:rPr>
          <w:rFonts w:hint="eastAsia"/>
          <w:color w:val="333333"/>
          <w:sz w:val="21"/>
          <w:szCs w:val="21"/>
        </w:rPr>
        <w:t>侧袋机制信息披露等安排。</w:t>
      </w:r>
    </w:p>
    <w:p w:rsidR="00B43A8C" w:rsidRPr="00AF3194" w:rsidRDefault="008D12AC" w:rsidP="00AF3194">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1、</w:t>
      </w:r>
      <w:r w:rsidR="00B43A8C" w:rsidRPr="00AF3194">
        <w:rPr>
          <w:rFonts w:hint="eastAsia"/>
          <w:color w:val="333333"/>
          <w:sz w:val="21"/>
          <w:szCs w:val="21"/>
        </w:rPr>
        <w:t>以</w:t>
      </w:r>
      <w:r w:rsidR="005F60B3" w:rsidRPr="005F60B3">
        <w:rPr>
          <w:rFonts w:hint="eastAsia"/>
          <w:color w:val="333333"/>
          <w:sz w:val="21"/>
          <w:szCs w:val="21"/>
        </w:rPr>
        <w:t>华安全球美元收益债券型证券投资基金</w:t>
      </w:r>
      <w:r w:rsidR="00B43A8C" w:rsidRPr="00AF3194">
        <w:rPr>
          <w:rFonts w:hint="eastAsia"/>
          <w:color w:val="333333"/>
          <w:sz w:val="21"/>
          <w:szCs w:val="21"/>
        </w:rPr>
        <w:t>为例，基金合同具体修订内容如下表所示：</w:t>
      </w:r>
    </w:p>
    <w:tbl>
      <w:tblPr>
        <w:tblW w:w="5433"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000"/>
      </w:tblPr>
      <w:tblGrid>
        <w:gridCol w:w="1208"/>
        <w:gridCol w:w="4024"/>
        <w:gridCol w:w="4028"/>
      </w:tblGrid>
      <w:tr w:rsidR="008D12AC" w:rsidRPr="008D12AC" w:rsidTr="003C176C">
        <w:tc>
          <w:tcPr>
            <w:tcW w:w="652" w:type="pct"/>
            <w:vMerge w:val="restart"/>
            <w:tcBorders>
              <w:top w:val="single" w:sz="4" w:space="0" w:color="000000"/>
              <w:left w:val="single" w:sz="4" w:space="0" w:color="000000"/>
              <w:bottom w:val="single" w:sz="4" w:space="0" w:color="auto"/>
              <w:right w:val="single" w:sz="4" w:space="0" w:color="auto"/>
            </w:tcBorders>
            <w:vAlign w:val="center"/>
          </w:tcPr>
          <w:p w:rsidR="005F60B3" w:rsidRPr="003C176C" w:rsidRDefault="005F60B3" w:rsidP="001C0E16">
            <w:pPr>
              <w:spacing w:before="100" w:beforeAutospacing="1" w:after="100" w:afterAutospacing="1"/>
              <w:jc w:val="center"/>
              <w:rPr>
                <w:rFonts w:ascii="宋体" w:eastAsia="宋体" w:hAnsi="宋体"/>
                <w:b/>
                <w:szCs w:val="21"/>
              </w:rPr>
            </w:pPr>
            <w:r w:rsidRPr="003C176C">
              <w:rPr>
                <w:rFonts w:ascii="宋体" w:eastAsia="宋体" w:hAnsi="宋体"/>
                <w:b/>
                <w:bCs/>
                <w:szCs w:val="21"/>
              </w:rPr>
              <w:t>章节</w:t>
            </w:r>
          </w:p>
        </w:tc>
        <w:tc>
          <w:tcPr>
            <w:tcW w:w="2173" w:type="pct"/>
            <w:tcBorders>
              <w:top w:val="single" w:sz="4" w:space="0" w:color="000000"/>
              <w:left w:val="single" w:sz="4" w:space="0" w:color="auto"/>
              <w:bottom w:val="single" w:sz="4" w:space="0" w:color="auto"/>
              <w:right w:val="single" w:sz="4" w:space="0" w:color="auto"/>
            </w:tcBorders>
            <w:vAlign w:val="center"/>
          </w:tcPr>
          <w:p w:rsidR="005F60B3" w:rsidRPr="003C176C" w:rsidRDefault="005F60B3" w:rsidP="001C0E16">
            <w:pPr>
              <w:pStyle w:val="a3"/>
              <w:jc w:val="center"/>
              <w:rPr>
                <w:b/>
                <w:sz w:val="21"/>
                <w:szCs w:val="21"/>
              </w:rPr>
            </w:pPr>
            <w:r w:rsidRPr="003C176C">
              <w:rPr>
                <w:rFonts w:hint="eastAsia"/>
                <w:b/>
                <w:bCs/>
                <w:sz w:val="21"/>
                <w:szCs w:val="21"/>
              </w:rPr>
              <w:t>原版本</w:t>
            </w:r>
          </w:p>
        </w:tc>
        <w:tc>
          <w:tcPr>
            <w:tcW w:w="2175" w:type="pct"/>
            <w:tcBorders>
              <w:top w:val="single" w:sz="4" w:space="0" w:color="000000"/>
              <w:left w:val="nil"/>
              <w:bottom w:val="single" w:sz="4" w:space="0" w:color="auto"/>
              <w:right w:val="single" w:sz="4" w:space="0" w:color="auto"/>
            </w:tcBorders>
            <w:vAlign w:val="center"/>
          </w:tcPr>
          <w:p w:rsidR="005F60B3" w:rsidRPr="003C176C" w:rsidRDefault="005F60B3" w:rsidP="001C0E16">
            <w:pPr>
              <w:spacing w:before="100" w:beforeAutospacing="1" w:after="100" w:afterAutospacing="1"/>
              <w:jc w:val="center"/>
              <w:rPr>
                <w:rFonts w:ascii="宋体" w:eastAsia="宋体" w:hAnsi="宋体"/>
                <w:b/>
                <w:szCs w:val="21"/>
              </w:rPr>
            </w:pPr>
            <w:r w:rsidRPr="003C176C">
              <w:rPr>
                <w:rFonts w:ascii="宋体" w:eastAsia="宋体" w:hAnsi="宋体" w:hint="eastAsia"/>
                <w:b/>
                <w:bCs/>
                <w:szCs w:val="21"/>
              </w:rPr>
              <w:t>修订后版本</w:t>
            </w:r>
          </w:p>
        </w:tc>
      </w:tr>
      <w:tr w:rsidR="008D12AC" w:rsidRPr="008D12AC" w:rsidTr="003C176C">
        <w:tc>
          <w:tcPr>
            <w:tcW w:w="652" w:type="pct"/>
            <w:vMerge/>
            <w:tcBorders>
              <w:top w:val="single" w:sz="4" w:space="0" w:color="000000"/>
              <w:left w:val="single" w:sz="4" w:space="0" w:color="000000"/>
              <w:bottom w:val="single" w:sz="4" w:space="0" w:color="auto"/>
              <w:right w:val="single" w:sz="4" w:space="0" w:color="auto"/>
            </w:tcBorders>
            <w:vAlign w:val="center"/>
          </w:tcPr>
          <w:p w:rsidR="005F60B3" w:rsidRPr="003C176C" w:rsidRDefault="005F60B3" w:rsidP="001C0E16">
            <w:pPr>
              <w:rPr>
                <w:rFonts w:ascii="宋体" w:eastAsia="宋体" w:hAnsi="宋体"/>
                <w:b/>
                <w:szCs w:val="21"/>
              </w:rPr>
            </w:pPr>
          </w:p>
        </w:tc>
        <w:tc>
          <w:tcPr>
            <w:tcW w:w="2173" w:type="pct"/>
            <w:tcBorders>
              <w:top w:val="single" w:sz="4" w:space="0" w:color="auto"/>
              <w:left w:val="single" w:sz="4" w:space="0" w:color="auto"/>
              <w:bottom w:val="single" w:sz="4" w:space="0" w:color="auto"/>
              <w:right w:val="single" w:sz="4" w:space="0" w:color="auto"/>
            </w:tcBorders>
            <w:vAlign w:val="center"/>
          </w:tcPr>
          <w:p w:rsidR="005F60B3" w:rsidRPr="003C176C" w:rsidRDefault="005F60B3" w:rsidP="001C0E16">
            <w:pPr>
              <w:spacing w:before="100" w:beforeAutospacing="1" w:after="100" w:afterAutospacing="1"/>
              <w:jc w:val="center"/>
              <w:rPr>
                <w:rFonts w:ascii="宋体" w:eastAsia="宋体" w:hAnsi="宋体"/>
                <w:b/>
                <w:szCs w:val="21"/>
              </w:rPr>
            </w:pPr>
            <w:r w:rsidRPr="003C176C">
              <w:rPr>
                <w:rFonts w:ascii="宋体" w:eastAsia="宋体" w:hAnsi="宋体"/>
                <w:b/>
                <w:bCs/>
                <w:szCs w:val="21"/>
              </w:rPr>
              <w:t>内容</w:t>
            </w:r>
          </w:p>
        </w:tc>
        <w:tc>
          <w:tcPr>
            <w:tcW w:w="2175" w:type="pct"/>
            <w:tcBorders>
              <w:top w:val="single" w:sz="4" w:space="0" w:color="auto"/>
              <w:left w:val="single" w:sz="4" w:space="0" w:color="auto"/>
              <w:bottom w:val="single" w:sz="4" w:space="0" w:color="auto"/>
              <w:right w:val="single" w:sz="4" w:space="0" w:color="auto"/>
            </w:tcBorders>
            <w:vAlign w:val="center"/>
          </w:tcPr>
          <w:p w:rsidR="005F60B3" w:rsidRPr="003C176C" w:rsidRDefault="005F60B3" w:rsidP="001C0E16">
            <w:pPr>
              <w:spacing w:before="100" w:beforeAutospacing="1" w:after="100" w:afterAutospacing="1"/>
              <w:jc w:val="center"/>
              <w:rPr>
                <w:rFonts w:ascii="宋体" w:eastAsia="宋体" w:hAnsi="宋体"/>
                <w:b/>
                <w:szCs w:val="21"/>
              </w:rPr>
            </w:pPr>
            <w:r w:rsidRPr="003C176C">
              <w:rPr>
                <w:rFonts w:ascii="宋体" w:eastAsia="宋体" w:hAnsi="宋体"/>
                <w:b/>
                <w:bCs/>
                <w:szCs w:val="21"/>
              </w:rPr>
              <w:t>内容</w:t>
            </w:r>
          </w:p>
        </w:tc>
      </w:tr>
      <w:tr w:rsidR="008D12AC" w:rsidRPr="008D12AC" w:rsidTr="003C176C">
        <w:tc>
          <w:tcPr>
            <w:tcW w:w="652" w:type="pct"/>
            <w:tcBorders>
              <w:top w:val="single" w:sz="4" w:space="0" w:color="auto"/>
              <w:left w:val="single" w:sz="4" w:space="0" w:color="000000"/>
              <w:bottom w:val="single" w:sz="4" w:space="0" w:color="auto"/>
              <w:right w:val="single" w:sz="4" w:space="0" w:color="auto"/>
            </w:tcBorders>
          </w:tcPr>
          <w:p w:rsidR="005F60B3" w:rsidRPr="008D12AC" w:rsidRDefault="005F60B3" w:rsidP="001C0E16">
            <w:pPr>
              <w:pStyle w:val="a3"/>
              <w:rPr>
                <w:sz w:val="21"/>
                <w:szCs w:val="21"/>
              </w:rPr>
            </w:pPr>
            <w:r w:rsidRPr="008D12AC">
              <w:rPr>
                <w:bCs/>
                <w:sz w:val="21"/>
                <w:szCs w:val="21"/>
              </w:rPr>
              <w:t>第一部分前言</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八、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8D12AC" w:rsidRPr="008D12AC" w:rsidTr="003C176C">
        <w:tc>
          <w:tcPr>
            <w:tcW w:w="652" w:type="pct"/>
            <w:tcBorders>
              <w:top w:val="single" w:sz="4" w:space="0" w:color="auto"/>
              <w:left w:val="single" w:sz="4" w:space="0" w:color="000000"/>
              <w:bottom w:val="single" w:sz="4" w:space="0" w:color="auto"/>
              <w:right w:val="single" w:sz="4" w:space="0" w:color="auto"/>
            </w:tcBorders>
          </w:tcPr>
          <w:p w:rsidR="005F60B3" w:rsidRPr="008D12AC" w:rsidRDefault="005F60B3" w:rsidP="001C0E16">
            <w:pPr>
              <w:pStyle w:val="a3"/>
              <w:rPr>
                <w:sz w:val="21"/>
                <w:szCs w:val="21"/>
              </w:rPr>
            </w:pPr>
            <w:r w:rsidRPr="008D12AC">
              <w:rPr>
                <w:bCs/>
                <w:sz w:val="21"/>
                <w:szCs w:val="21"/>
              </w:rPr>
              <w:t>第二部分释义</w:t>
            </w:r>
          </w:p>
        </w:tc>
        <w:tc>
          <w:tcPr>
            <w:tcW w:w="2173" w:type="pct"/>
            <w:tcBorders>
              <w:top w:val="single" w:sz="4" w:space="0" w:color="auto"/>
              <w:left w:val="single" w:sz="4" w:space="0" w:color="auto"/>
              <w:bottom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bottom w:val="single" w:sz="4" w:space="0" w:color="auto"/>
              <w:right w:val="single" w:sz="4" w:space="0" w:color="auto"/>
            </w:tcBorders>
          </w:tcPr>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66、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67、特定资产：包括：（1）无可参考的活跃市场价格且采用估值技术仍导致公允价</w:t>
            </w:r>
            <w:r w:rsidRPr="008D12AC">
              <w:rPr>
                <w:rFonts w:ascii="宋体" w:eastAsia="宋体" w:hAnsi="宋体" w:hint="eastAsia"/>
                <w:bCs/>
                <w:szCs w:val="21"/>
                <w:u w:val="single"/>
              </w:rPr>
              <w:lastRenderedPageBreak/>
              <w:t>值存在重大不确定性的资产；（2）按摊余成本计量且计提资产减值准备仍导致资产价值存在重大不确定性的资产；（3）其他资产价值存在重大不确定性的资产</w:t>
            </w:r>
          </w:p>
        </w:tc>
      </w:tr>
      <w:tr w:rsidR="008D12AC" w:rsidRPr="008D12AC" w:rsidTr="003C176C">
        <w:tc>
          <w:tcPr>
            <w:tcW w:w="652" w:type="pct"/>
            <w:tcBorders>
              <w:top w:val="single" w:sz="4" w:space="0" w:color="auto"/>
              <w:left w:val="single" w:sz="4" w:space="0" w:color="000000"/>
              <w:bottom w:val="single" w:sz="4" w:space="0" w:color="auto"/>
              <w:right w:val="single" w:sz="4" w:space="0" w:color="auto"/>
            </w:tcBorders>
          </w:tcPr>
          <w:p w:rsidR="005F60B3" w:rsidRPr="008D12AC" w:rsidRDefault="005F60B3" w:rsidP="001C0E16">
            <w:pPr>
              <w:pStyle w:val="a3"/>
              <w:rPr>
                <w:sz w:val="21"/>
                <w:szCs w:val="21"/>
              </w:rPr>
            </w:pPr>
            <w:r w:rsidRPr="008D12AC">
              <w:rPr>
                <w:bCs/>
                <w:sz w:val="21"/>
                <w:szCs w:val="21"/>
              </w:rPr>
              <w:lastRenderedPageBreak/>
              <w:t>第</w:t>
            </w:r>
            <w:r w:rsidRPr="008D12AC">
              <w:rPr>
                <w:rFonts w:hint="eastAsia"/>
                <w:bCs/>
                <w:sz w:val="21"/>
                <w:szCs w:val="21"/>
              </w:rPr>
              <w:t>六</w:t>
            </w:r>
            <w:r w:rsidRPr="008D12AC">
              <w:rPr>
                <w:bCs/>
                <w:sz w:val="21"/>
                <w:szCs w:val="21"/>
              </w:rPr>
              <w:t>部分</w:t>
            </w:r>
            <w:r w:rsidRPr="008D12AC">
              <w:rPr>
                <w:rFonts w:hint="eastAsia"/>
                <w:bCs/>
                <w:sz w:val="21"/>
                <w:szCs w:val="21"/>
              </w:rPr>
              <w:t>基金份额的申购与赎回</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十七、实施侧袋机制期间本基金的申购与赎回</w:t>
            </w:r>
          </w:p>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本基金实施侧袋机制的，本基金的申购和赎回安排详见招募说明书或相关公告。</w:t>
            </w:r>
          </w:p>
        </w:tc>
      </w:tr>
      <w:tr w:rsidR="008D12AC" w:rsidRPr="008D12AC" w:rsidTr="003C176C">
        <w:tc>
          <w:tcPr>
            <w:tcW w:w="652" w:type="pct"/>
            <w:tcBorders>
              <w:top w:val="single" w:sz="4" w:space="0" w:color="auto"/>
              <w:left w:val="single" w:sz="4" w:space="0" w:color="000000"/>
              <w:bottom w:val="single" w:sz="4" w:space="0" w:color="auto"/>
              <w:right w:val="single" w:sz="4" w:space="0" w:color="auto"/>
            </w:tcBorders>
          </w:tcPr>
          <w:p w:rsidR="005F60B3" w:rsidRPr="008D12AC" w:rsidRDefault="005F60B3" w:rsidP="001C0E16">
            <w:pPr>
              <w:pStyle w:val="a3"/>
              <w:rPr>
                <w:sz w:val="21"/>
                <w:szCs w:val="21"/>
              </w:rPr>
            </w:pPr>
            <w:r w:rsidRPr="008D12AC">
              <w:rPr>
                <w:bCs/>
                <w:sz w:val="21"/>
                <w:szCs w:val="21"/>
              </w:rPr>
              <w:t>第</w:t>
            </w:r>
            <w:r w:rsidRPr="008D12AC">
              <w:rPr>
                <w:rFonts w:hint="eastAsia"/>
                <w:bCs/>
                <w:sz w:val="21"/>
                <w:szCs w:val="21"/>
              </w:rPr>
              <w:t>七</w:t>
            </w:r>
            <w:r w:rsidRPr="008D12AC">
              <w:rPr>
                <w:bCs/>
                <w:sz w:val="21"/>
                <w:szCs w:val="21"/>
              </w:rPr>
              <w:t>部分</w:t>
            </w:r>
            <w:r w:rsidRPr="008D12AC">
              <w:rPr>
                <w:rFonts w:hint="eastAsia"/>
                <w:bCs/>
                <w:sz w:val="21"/>
                <w:szCs w:val="21"/>
              </w:rPr>
              <w:t>基金合同当事人及权利义务</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三、基金份额持有人</w:t>
            </w:r>
          </w:p>
          <w:p w:rsidR="005F60B3" w:rsidRPr="008D12AC" w:rsidRDefault="005F60B3" w:rsidP="001C0E16">
            <w:pPr>
              <w:rPr>
                <w:rFonts w:ascii="宋体" w:eastAsia="宋体" w:hAnsi="宋体"/>
                <w:szCs w:val="21"/>
              </w:rPr>
            </w:pPr>
            <w:r w:rsidRPr="008D12AC">
              <w:rPr>
                <w:rFonts w:ascii="宋体" w:eastAsia="宋体" w:hAnsi="宋体" w:hint="eastAsia"/>
                <w:szCs w:val="21"/>
              </w:rPr>
              <w:t>……</w:t>
            </w:r>
          </w:p>
          <w:p w:rsidR="005F60B3" w:rsidRPr="008D12AC" w:rsidRDefault="005F60B3" w:rsidP="001C0E16">
            <w:pPr>
              <w:rPr>
                <w:rFonts w:ascii="宋体" w:eastAsia="宋体" w:hAnsi="宋体"/>
                <w:szCs w:val="21"/>
              </w:rPr>
            </w:pPr>
            <w:r w:rsidRPr="008D12AC">
              <w:rPr>
                <w:rFonts w:ascii="宋体" w:eastAsia="宋体" w:hAnsi="宋体" w:hint="eastAsia"/>
                <w:szCs w:val="21"/>
              </w:rPr>
              <w:t>同一类别/币种内的每份基金份额具有同等的合法权益。</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三、基金份额持有人</w:t>
            </w:r>
          </w:p>
          <w:p w:rsidR="005F60B3" w:rsidRPr="008D12AC" w:rsidRDefault="005F60B3" w:rsidP="001C0E16">
            <w:pPr>
              <w:rPr>
                <w:rFonts w:ascii="宋体" w:eastAsia="宋体" w:hAnsi="宋体"/>
                <w:szCs w:val="21"/>
              </w:rPr>
            </w:pPr>
            <w:r w:rsidRPr="008D12AC">
              <w:rPr>
                <w:rFonts w:ascii="宋体" w:eastAsia="宋体" w:hAnsi="宋体" w:hint="eastAsia"/>
                <w:szCs w:val="21"/>
              </w:rPr>
              <w:t>……</w:t>
            </w:r>
          </w:p>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除法律法规另有规定或本基金合同另有约定外，</w:t>
            </w:r>
            <w:r w:rsidRPr="008D12AC">
              <w:rPr>
                <w:rFonts w:ascii="宋体" w:eastAsia="宋体" w:hAnsi="宋体" w:hint="eastAsia"/>
                <w:szCs w:val="21"/>
              </w:rPr>
              <w:t>同一类别/币种内的每份基金份额具有同等的合法权益。</w:t>
            </w:r>
          </w:p>
        </w:tc>
      </w:tr>
      <w:tr w:rsidR="008D12AC" w:rsidRPr="008D12AC" w:rsidTr="003C176C">
        <w:tc>
          <w:tcPr>
            <w:tcW w:w="652" w:type="pct"/>
            <w:vMerge w:val="restart"/>
            <w:tcBorders>
              <w:top w:val="single" w:sz="4" w:space="0" w:color="auto"/>
              <w:left w:val="single" w:sz="4" w:space="0" w:color="000000"/>
              <w:right w:val="single" w:sz="4" w:space="0" w:color="auto"/>
            </w:tcBorders>
          </w:tcPr>
          <w:p w:rsidR="005F60B3" w:rsidRPr="008D12AC" w:rsidRDefault="005F60B3" w:rsidP="001C0E16">
            <w:pPr>
              <w:pStyle w:val="a3"/>
              <w:rPr>
                <w:sz w:val="21"/>
                <w:szCs w:val="21"/>
              </w:rPr>
            </w:pPr>
            <w:r w:rsidRPr="008D12AC">
              <w:rPr>
                <w:bCs/>
                <w:sz w:val="21"/>
                <w:szCs w:val="21"/>
              </w:rPr>
              <w:t>第八部分基金份额持有人大会</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基金份额持有人大会由基金份额持有人组成，基金份额持有人的合法授权代表有权代表基金份额持有人出席会议并表决。基金份额持有人持有的每一基金份额拥有平等的投票权。</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基金份额持有人大会由基金份额持有人组成，基金份额持有人的合法授权代表有权代表基金份额持有人出席会议并表决。</w:t>
            </w:r>
            <w:r w:rsidRPr="008D12AC">
              <w:rPr>
                <w:rFonts w:ascii="宋体" w:eastAsia="宋体" w:hAnsi="宋体" w:hint="eastAsia"/>
                <w:bCs/>
                <w:szCs w:val="21"/>
                <w:u w:val="single"/>
              </w:rPr>
              <w:t>除法律法规另有规定或本基金合同另有约定外，</w:t>
            </w:r>
            <w:r w:rsidRPr="008D12AC">
              <w:rPr>
                <w:rFonts w:ascii="宋体" w:eastAsia="宋体" w:hAnsi="宋体" w:hint="eastAsia"/>
                <w:szCs w:val="21"/>
              </w:rPr>
              <w:t>基金份额持有人持有的每一基金份额拥有平等的投票权。</w:t>
            </w:r>
          </w:p>
        </w:tc>
      </w:tr>
      <w:tr w:rsidR="008D12AC" w:rsidRPr="008D12AC" w:rsidTr="003C176C">
        <w:tc>
          <w:tcPr>
            <w:tcW w:w="652" w:type="pct"/>
            <w:vMerge/>
            <w:tcBorders>
              <w:left w:val="single" w:sz="4" w:space="0" w:color="000000"/>
              <w:bottom w:val="single" w:sz="4" w:space="0" w:color="auto"/>
              <w:right w:val="single" w:sz="4" w:space="0" w:color="auto"/>
            </w:tcBorders>
          </w:tcPr>
          <w:p w:rsidR="005F60B3" w:rsidRPr="008D12AC" w:rsidRDefault="005F60B3" w:rsidP="001C0E16">
            <w:pPr>
              <w:pStyle w:val="a3"/>
              <w:rPr>
                <w:bCs/>
                <w:sz w:val="21"/>
                <w:szCs w:val="21"/>
              </w:rPr>
            </w:pP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九、实施侧袋机制期间基金份额持有人大会的特殊约定</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1、基金份额持有人行使提议权、召集权、提名权所需单独或合计代表相关基金份额10%以上（含10%）；</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2、现场开会的到会者在权益登记日代表的基金份额不少于本基金在权益登记日相关基金份额的二分之一（含二分之一）；</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3、通讯开会的直接出具表决意见或授权他人代表出具表决意见的基金份额持有人所持有的基金份额不小于在权益登记日相关基金份额的二分之一（含二分之一）；</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5、现场开会由出席大会的基金份额持有人和代理人所持表决权的50%以上（含50%）选举产生一名基金份额持有人作为该次基金份额持有人大会的主持人；</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6、一般决议须经参加大会的基金份额持有人或其代理人所持表决权的二分之一以上（含二分之一）通过；</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7、特别决议应当经参加大会的基金份额持有人或其代理人所持表决权的三分之二以上（含三分之二）通过。</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侧袋机制实施期间，基金份额持有人大会审议事项涉及主袋账户和侧袋账户的，应分别由主袋账户、侧袋账户的基金份额持有人进行表决，同一主侧袋账户内的同一类别每份基金份额具有平等的表决权。表决事项未涉及侧袋账户的，侧袋账户份额无表决权。</w:t>
            </w:r>
          </w:p>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侧袋机制实施期间，关于基金份额持有人大会的相关规定以本节特殊约定内容为准，本节没有规定的适用本部分的相关规定。</w:t>
            </w:r>
          </w:p>
        </w:tc>
      </w:tr>
      <w:tr w:rsidR="008D12AC" w:rsidRPr="008D12AC" w:rsidTr="003C176C">
        <w:tc>
          <w:tcPr>
            <w:tcW w:w="652" w:type="pct"/>
            <w:tcBorders>
              <w:left w:val="single" w:sz="4" w:space="0" w:color="000000"/>
              <w:bottom w:val="single" w:sz="4" w:space="0" w:color="auto"/>
              <w:right w:val="single" w:sz="4" w:space="0" w:color="auto"/>
            </w:tcBorders>
          </w:tcPr>
          <w:p w:rsidR="005F60B3" w:rsidRPr="008D12AC" w:rsidRDefault="005F60B3" w:rsidP="001C0E16">
            <w:pPr>
              <w:pStyle w:val="a3"/>
              <w:rPr>
                <w:bCs/>
                <w:sz w:val="21"/>
                <w:szCs w:val="21"/>
              </w:rPr>
            </w:pPr>
            <w:r w:rsidRPr="008D12AC">
              <w:rPr>
                <w:rFonts w:hint="eastAsia"/>
                <w:bCs/>
                <w:sz w:val="21"/>
                <w:szCs w:val="21"/>
              </w:rPr>
              <w:t>第十二部分基金的投资</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八、侧袋机制的实施和投资运作安排</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侧袋机制实施期间，本部分约定的投资组合比例、投资策略、组合限制、业绩比较基准、风险收益特征等约定仅适用于主袋账户。</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侧袋账户的实施条件、实施程序、运作安排、投资安排、特定资产的处置变现和支付等对投资者权益有重大影响的事项详见招募说明书的规定。</w:t>
            </w:r>
          </w:p>
        </w:tc>
      </w:tr>
      <w:tr w:rsidR="008D12AC" w:rsidRPr="008D12AC" w:rsidTr="003C176C">
        <w:tc>
          <w:tcPr>
            <w:tcW w:w="652" w:type="pct"/>
            <w:vMerge w:val="restart"/>
            <w:tcBorders>
              <w:top w:val="single" w:sz="4" w:space="0" w:color="auto"/>
              <w:left w:val="single" w:sz="4" w:space="0" w:color="000000"/>
              <w:bottom w:val="single" w:sz="4" w:space="0" w:color="auto"/>
              <w:right w:val="single" w:sz="4" w:space="0" w:color="auto"/>
            </w:tcBorders>
          </w:tcPr>
          <w:p w:rsidR="005F60B3" w:rsidRPr="008D12AC" w:rsidRDefault="005F60B3" w:rsidP="001C0E16">
            <w:pPr>
              <w:pStyle w:val="a3"/>
              <w:rPr>
                <w:sz w:val="21"/>
                <w:szCs w:val="21"/>
              </w:rPr>
            </w:pPr>
            <w:r w:rsidRPr="008D12AC">
              <w:rPr>
                <w:bCs/>
                <w:sz w:val="21"/>
                <w:szCs w:val="21"/>
              </w:rPr>
              <w:t>第十四部分基金资产估值</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六、暂停估值的情形</w:t>
            </w:r>
          </w:p>
          <w:p w:rsidR="005F60B3" w:rsidRPr="008D12AC" w:rsidRDefault="005F60B3" w:rsidP="001C0E16">
            <w:pPr>
              <w:rPr>
                <w:rFonts w:ascii="宋体" w:eastAsia="宋体" w:hAnsi="宋体"/>
                <w:szCs w:val="21"/>
              </w:rPr>
            </w:pPr>
            <w:r w:rsidRPr="008D12AC">
              <w:rPr>
                <w:rFonts w:ascii="宋体" w:eastAsia="宋体" w:hAnsi="宋体" w:hint="eastAsia"/>
                <w:szCs w:val="21"/>
              </w:rPr>
              <w:t>5、当前一估值日基金资产净值50%以上的</w:t>
            </w:r>
            <w:r w:rsidRPr="008D12AC">
              <w:rPr>
                <w:rFonts w:ascii="宋体" w:eastAsia="宋体" w:hAnsi="宋体" w:hint="eastAsia"/>
                <w:bCs/>
                <w:strike/>
                <w:szCs w:val="21"/>
              </w:rPr>
              <w:t>资产出现无可参考的活跃市场价格且采用估值技术仍导致公允价值存在重大不确定性时</w:t>
            </w:r>
            <w:r w:rsidRPr="008D12AC">
              <w:rPr>
                <w:rFonts w:ascii="宋体" w:eastAsia="宋体" w:hAnsi="宋体" w:hint="eastAsia"/>
                <w:szCs w:val="21"/>
              </w:rPr>
              <w:t>，经与基金托管人协商确认后，基金管理人应当暂停估值；</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六、暂停估值的情形</w:t>
            </w:r>
          </w:p>
          <w:p w:rsidR="005F60B3" w:rsidRPr="008D12AC" w:rsidRDefault="005F60B3" w:rsidP="001C0E16">
            <w:pPr>
              <w:rPr>
                <w:rFonts w:ascii="宋体" w:eastAsia="宋体" w:hAnsi="宋体"/>
                <w:szCs w:val="21"/>
              </w:rPr>
            </w:pPr>
            <w:r w:rsidRPr="008D12AC">
              <w:rPr>
                <w:rFonts w:ascii="宋体" w:eastAsia="宋体" w:hAnsi="宋体" w:hint="eastAsia"/>
                <w:szCs w:val="21"/>
              </w:rPr>
              <w:t>5、当</w:t>
            </w:r>
            <w:r w:rsidRPr="008D12AC">
              <w:rPr>
                <w:rFonts w:ascii="宋体" w:eastAsia="宋体" w:hAnsi="宋体" w:hint="eastAsia"/>
                <w:bCs/>
                <w:szCs w:val="21"/>
                <w:u w:val="single"/>
              </w:rPr>
              <w:t>特定资产占</w:t>
            </w:r>
            <w:r w:rsidRPr="008D12AC">
              <w:rPr>
                <w:rFonts w:ascii="宋体" w:eastAsia="宋体" w:hAnsi="宋体" w:hint="eastAsia"/>
                <w:szCs w:val="21"/>
              </w:rPr>
              <w:t>前一估值日基金资产净值50%以上的，经与基金托管人协商确认后，基金管理人应当暂停估值；</w:t>
            </w:r>
          </w:p>
        </w:tc>
      </w:tr>
      <w:tr w:rsidR="008D12AC" w:rsidRPr="008D12AC" w:rsidTr="003C176C">
        <w:tc>
          <w:tcPr>
            <w:tcW w:w="652" w:type="pct"/>
            <w:vMerge/>
            <w:tcBorders>
              <w:top w:val="single" w:sz="4" w:space="0" w:color="auto"/>
              <w:left w:val="single" w:sz="4" w:space="0" w:color="000000"/>
              <w:bottom w:val="single" w:sz="4" w:space="0" w:color="auto"/>
              <w:right w:val="single" w:sz="4" w:space="0" w:color="auto"/>
            </w:tcBorders>
            <w:vAlign w:val="center"/>
          </w:tcPr>
          <w:p w:rsidR="005F60B3" w:rsidRPr="008D12AC" w:rsidRDefault="005F60B3" w:rsidP="001C0E16">
            <w:pPr>
              <w:rPr>
                <w:rFonts w:ascii="宋体" w:eastAsia="宋体" w:hAnsi="宋体"/>
                <w:szCs w:val="21"/>
              </w:rPr>
            </w:pP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九、实施侧袋机制期间的基金资产估值</w:t>
            </w:r>
          </w:p>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本基金实施侧袋机制的，应根据本部分的约定对主袋账户资产进行估值并披露主袋账户的基金净值信息，暂停披露侧袋账户基金份额净值。</w:t>
            </w:r>
          </w:p>
        </w:tc>
      </w:tr>
      <w:tr w:rsidR="008D12AC" w:rsidRPr="008D12AC" w:rsidTr="003C176C">
        <w:tc>
          <w:tcPr>
            <w:tcW w:w="652" w:type="pct"/>
            <w:tcBorders>
              <w:top w:val="single" w:sz="4" w:space="0" w:color="auto"/>
              <w:left w:val="single" w:sz="4" w:space="0" w:color="000000"/>
              <w:bottom w:val="single" w:sz="4" w:space="0" w:color="auto"/>
              <w:right w:val="single" w:sz="4" w:space="0" w:color="auto"/>
            </w:tcBorders>
          </w:tcPr>
          <w:p w:rsidR="005F60B3" w:rsidRPr="008D12AC" w:rsidRDefault="005F60B3" w:rsidP="001C0E16">
            <w:pPr>
              <w:pStyle w:val="a3"/>
              <w:rPr>
                <w:sz w:val="21"/>
                <w:szCs w:val="21"/>
              </w:rPr>
            </w:pPr>
            <w:r w:rsidRPr="008D12AC">
              <w:rPr>
                <w:bCs/>
                <w:sz w:val="21"/>
                <w:szCs w:val="21"/>
              </w:rPr>
              <w:t>第十五部分基金费用与税收</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五、实施侧袋机制期间的基金费用</w:t>
            </w:r>
          </w:p>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本基金实施侧袋机制的，与侧袋账户有关的费用可以从侧袋账户中列支，但应待侧袋账户资产变现后方可列支，有关费用可酌情收取或减免，但不得收取管理费，详见招募说明书的规定。</w:t>
            </w:r>
          </w:p>
        </w:tc>
      </w:tr>
      <w:tr w:rsidR="008D12AC" w:rsidRPr="008D12AC" w:rsidTr="003C176C">
        <w:tc>
          <w:tcPr>
            <w:tcW w:w="652" w:type="pct"/>
            <w:tcBorders>
              <w:top w:val="single" w:sz="4" w:space="0" w:color="auto"/>
              <w:left w:val="single" w:sz="4" w:space="0" w:color="000000"/>
              <w:bottom w:val="single" w:sz="4" w:space="0" w:color="auto"/>
              <w:right w:val="single" w:sz="4" w:space="0" w:color="auto"/>
            </w:tcBorders>
          </w:tcPr>
          <w:p w:rsidR="005F60B3" w:rsidRPr="008D12AC" w:rsidRDefault="005F60B3" w:rsidP="001C0E16">
            <w:pPr>
              <w:pStyle w:val="a3"/>
              <w:rPr>
                <w:sz w:val="21"/>
                <w:szCs w:val="21"/>
              </w:rPr>
            </w:pPr>
            <w:r w:rsidRPr="008D12AC">
              <w:rPr>
                <w:bCs/>
                <w:sz w:val="21"/>
                <w:szCs w:val="21"/>
              </w:rPr>
              <w:t>第十六部分基金的收益与分配</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七、实施侧袋机制期间的收益分配</w:t>
            </w:r>
          </w:p>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本基金实施侧袋机制的，侧袋账户不进行收益分配，详见招募说明书的规定。</w:t>
            </w:r>
          </w:p>
        </w:tc>
      </w:tr>
      <w:tr w:rsidR="008D12AC" w:rsidRPr="008D12AC" w:rsidTr="003C176C">
        <w:tc>
          <w:tcPr>
            <w:tcW w:w="652" w:type="pct"/>
            <w:tcBorders>
              <w:top w:val="single" w:sz="4" w:space="0" w:color="auto"/>
              <w:left w:val="single" w:sz="4" w:space="0" w:color="000000"/>
              <w:bottom w:val="single" w:sz="4" w:space="0" w:color="auto"/>
              <w:right w:val="single" w:sz="4" w:space="0" w:color="auto"/>
            </w:tcBorders>
          </w:tcPr>
          <w:p w:rsidR="005F60B3" w:rsidRPr="008D12AC" w:rsidRDefault="005F60B3" w:rsidP="001C0E16">
            <w:pPr>
              <w:pStyle w:val="a3"/>
              <w:rPr>
                <w:sz w:val="21"/>
                <w:szCs w:val="21"/>
              </w:rPr>
            </w:pPr>
            <w:r w:rsidRPr="008D12AC">
              <w:rPr>
                <w:bCs/>
                <w:sz w:val="21"/>
                <w:szCs w:val="21"/>
              </w:rPr>
              <w:t>第十八部分基金的信息披露</w:t>
            </w:r>
          </w:p>
        </w:tc>
        <w:tc>
          <w:tcPr>
            <w:tcW w:w="2173"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五、公开披露的基金信息</w:t>
            </w:r>
          </w:p>
          <w:p w:rsidR="005F60B3" w:rsidRPr="008D12AC" w:rsidRDefault="005F60B3" w:rsidP="001C0E16">
            <w:pPr>
              <w:rPr>
                <w:rFonts w:ascii="宋体" w:eastAsia="宋体" w:hAnsi="宋体"/>
                <w:szCs w:val="21"/>
              </w:rPr>
            </w:pPr>
            <w:r w:rsidRPr="008D12AC">
              <w:rPr>
                <w:rFonts w:ascii="宋体" w:eastAsia="宋体" w:hAnsi="宋体" w:hint="eastAsia"/>
                <w:szCs w:val="21"/>
              </w:rPr>
              <w:t>无</w:t>
            </w:r>
          </w:p>
        </w:tc>
        <w:tc>
          <w:tcPr>
            <w:tcW w:w="2175" w:type="pct"/>
            <w:tcBorders>
              <w:top w:val="single" w:sz="4" w:space="0" w:color="auto"/>
              <w:left w:val="single" w:sz="4" w:space="0" w:color="auto"/>
              <w:right w:val="single" w:sz="4" w:space="0" w:color="auto"/>
            </w:tcBorders>
          </w:tcPr>
          <w:p w:rsidR="005F60B3" w:rsidRPr="008D12AC" w:rsidRDefault="005F60B3" w:rsidP="001C0E16">
            <w:pPr>
              <w:rPr>
                <w:rFonts w:ascii="宋体" w:eastAsia="宋体" w:hAnsi="宋体"/>
                <w:szCs w:val="21"/>
              </w:rPr>
            </w:pPr>
            <w:r w:rsidRPr="008D12AC">
              <w:rPr>
                <w:rFonts w:ascii="宋体" w:eastAsia="宋体" w:hAnsi="宋体" w:hint="eastAsia"/>
                <w:szCs w:val="21"/>
              </w:rPr>
              <w:t>五、公开披露的基金信息</w:t>
            </w:r>
          </w:p>
          <w:p w:rsidR="005F60B3" w:rsidRPr="008D12AC" w:rsidRDefault="005F60B3" w:rsidP="001C0E16">
            <w:pPr>
              <w:rPr>
                <w:rFonts w:ascii="宋体" w:eastAsia="宋体" w:hAnsi="宋体"/>
                <w:bCs/>
                <w:szCs w:val="21"/>
                <w:u w:val="single"/>
              </w:rPr>
            </w:pPr>
            <w:r w:rsidRPr="008D12AC">
              <w:rPr>
                <w:rFonts w:ascii="宋体" w:eastAsia="宋体" w:hAnsi="宋体" w:hint="eastAsia"/>
                <w:bCs/>
                <w:szCs w:val="21"/>
                <w:u w:val="single"/>
              </w:rPr>
              <w:t>（十二）实施侧袋机制期间的信息披露</w:t>
            </w:r>
          </w:p>
          <w:p w:rsidR="005F60B3" w:rsidRPr="008D12AC" w:rsidRDefault="005F60B3" w:rsidP="001C0E16">
            <w:pPr>
              <w:rPr>
                <w:rFonts w:ascii="宋体" w:eastAsia="宋体" w:hAnsi="宋体"/>
                <w:szCs w:val="21"/>
              </w:rPr>
            </w:pPr>
            <w:r w:rsidRPr="008D12AC">
              <w:rPr>
                <w:rFonts w:ascii="宋体" w:eastAsia="宋体" w:hAnsi="宋体" w:hint="eastAsia"/>
                <w:bCs/>
                <w:szCs w:val="21"/>
                <w:u w:val="single"/>
              </w:rPr>
              <w:t>本基金实施侧袋机制的，相关信息披露义务人应当根据法律法规、基金合同和招募说明书的规定进行信息披露，详见招募说明书的规定。</w:t>
            </w:r>
          </w:p>
        </w:tc>
      </w:tr>
    </w:tbl>
    <w:p w:rsidR="00B43A8C" w:rsidRDefault="00B43A8C" w:rsidP="00AF3194">
      <w:pPr>
        <w:pStyle w:val="a3"/>
        <w:shd w:val="clear" w:color="auto" w:fill="FFFFFF"/>
        <w:spacing w:before="0" w:beforeAutospacing="0" w:after="0" w:afterAutospacing="0" w:line="360" w:lineRule="auto"/>
        <w:ind w:firstLineChars="200" w:firstLine="420"/>
        <w:rPr>
          <w:color w:val="333333"/>
          <w:sz w:val="21"/>
          <w:szCs w:val="21"/>
        </w:rPr>
      </w:pPr>
      <w:r w:rsidRPr="00AF3194">
        <w:rPr>
          <w:rFonts w:hint="eastAsia"/>
          <w:color w:val="333333"/>
          <w:sz w:val="21"/>
          <w:szCs w:val="21"/>
        </w:rPr>
        <w:t>因上述修订相应调整后续序号</w:t>
      </w:r>
      <w:r w:rsidR="00397923">
        <w:rPr>
          <w:rFonts w:hint="eastAsia"/>
          <w:color w:val="333333"/>
          <w:sz w:val="21"/>
          <w:szCs w:val="21"/>
        </w:rPr>
        <w:t>和</w:t>
      </w:r>
      <w:r w:rsidR="003E7DB4">
        <w:rPr>
          <w:rFonts w:hint="eastAsia"/>
          <w:color w:val="333333"/>
          <w:sz w:val="21"/>
          <w:szCs w:val="21"/>
        </w:rPr>
        <w:t>“</w:t>
      </w:r>
      <w:r w:rsidR="00397923">
        <w:rPr>
          <w:rFonts w:hint="eastAsia"/>
          <w:color w:val="333333"/>
          <w:sz w:val="21"/>
          <w:szCs w:val="21"/>
        </w:rPr>
        <w:t>基金合同内容摘要</w:t>
      </w:r>
      <w:r w:rsidR="003E7DB4">
        <w:rPr>
          <w:rFonts w:hint="eastAsia"/>
          <w:color w:val="333333"/>
          <w:sz w:val="21"/>
          <w:szCs w:val="21"/>
        </w:rPr>
        <w:t>”</w:t>
      </w:r>
      <w:r w:rsidR="00397923">
        <w:rPr>
          <w:rFonts w:hint="eastAsia"/>
          <w:color w:val="333333"/>
          <w:sz w:val="21"/>
          <w:szCs w:val="21"/>
        </w:rPr>
        <w:t>部分</w:t>
      </w:r>
      <w:r w:rsidRPr="00AF3194">
        <w:rPr>
          <w:rFonts w:hint="eastAsia"/>
          <w:color w:val="333333"/>
          <w:sz w:val="21"/>
          <w:szCs w:val="21"/>
        </w:rPr>
        <w:t>。</w:t>
      </w:r>
    </w:p>
    <w:p w:rsidR="008D12AC" w:rsidRDefault="008D12AC" w:rsidP="008D12AC">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2、</w:t>
      </w:r>
      <w:r w:rsidRPr="00AF3194">
        <w:rPr>
          <w:rFonts w:hint="eastAsia"/>
          <w:color w:val="333333"/>
          <w:sz w:val="21"/>
          <w:szCs w:val="21"/>
        </w:rPr>
        <w:t>以</w:t>
      </w:r>
      <w:r w:rsidRPr="005F60B3">
        <w:rPr>
          <w:rFonts w:hint="eastAsia"/>
          <w:color w:val="333333"/>
          <w:sz w:val="21"/>
          <w:szCs w:val="21"/>
        </w:rPr>
        <w:t>华安全球美元收益债券型证券投资基金</w:t>
      </w:r>
      <w:r w:rsidRPr="00AF3194">
        <w:rPr>
          <w:rFonts w:hint="eastAsia"/>
          <w:color w:val="333333"/>
          <w:sz w:val="21"/>
          <w:szCs w:val="21"/>
        </w:rPr>
        <w:t>为例，</w:t>
      </w:r>
      <w:r>
        <w:rPr>
          <w:rFonts w:hint="eastAsia"/>
          <w:color w:val="333333"/>
          <w:sz w:val="21"/>
          <w:szCs w:val="21"/>
        </w:rPr>
        <w:t>托管协议</w:t>
      </w:r>
      <w:r w:rsidRPr="00AF3194">
        <w:rPr>
          <w:rFonts w:hint="eastAsia"/>
          <w:color w:val="333333"/>
          <w:sz w:val="21"/>
          <w:szCs w:val="21"/>
        </w:rPr>
        <w:t>具体修订内容如下表所示：</w:t>
      </w:r>
    </w:p>
    <w:tbl>
      <w:tblPr>
        <w:tblW w:w="543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000"/>
      </w:tblPr>
      <w:tblGrid>
        <w:gridCol w:w="1161"/>
        <w:gridCol w:w="4159"/>
        <w:gridCol w:w="3935"/>
      </w:tblGrid>
      <w:tr w:rsidR="003C176C" w:rsidRPr="003C176C" w:rsidTr="003C176C">
        <w:tc>
          <w:tcPr>
            <w:tcW w:w="627" w:type="pct"/>
            <w:vMerge w:val="restart"/>
            <w:tcBorders>
              <w:top w:val="single" w:sz="4" w:space="0" w:color="000000"/>
              <w:left w:val="single" w:sz="4" w:space="0" w:color="000000"/>
              <w:bottom w:val="single" w:sz="4" w:space="0" w:color="auto"/>
              <w:right w:val="single" w:sz="4" w:space="0" w:color="auto"/>
            </w:tcBorders>
            <w:vAlign w:val="center"/>
          </w:tcPr>
          <w:p w:rsidR="003C176C" w:rsidRPr="003C176C" w:rsidRDefault="003C176C" w:rsidP="001C0E16">
            <w:pPr>
              <w:spacing w:before="100" w:beforeAutospacing="1" w:after="100" w:afterAutospacing="1"/>
              <w:jc w:val="center"/>
              <w:rPr>
                <w:rFonts w:ascii="宋体" w:eastAsia="宋体" w:hAnsi="宋体"/>
                <w:b/>
                <w:szCs w:val="21"/>
              </w:rPr>
            </w:pPr>
            <w:r w:rsidRPr="003C176C">
              <w:rPr>
                <w:rFonts w:ascii="宋体" w:eastAsia="宋体" w:hAnsi="宋体"/>
                <w:b/>
                <w:bCs/>
                <w:szCs w:val="21"/>
              </w:rPr>
              <w:t>章节</w:t>
            </w:r>
          </w:p>
        </w:tc>
        <w:tc>
          <w:tcPr>
            <w:tcW w:w="2247" w:type="pct"/>
            <w:tcBorders>
              <w:top w:val="single" w:sz="4" w:space="0" w:color="000000"/>
              <w:left w:val="single" w:sz="4" w:space="0" w:color="auto"/>
              <w:bottom w:val="single" w:sz="4" w:space="0" w:color="auto"/>
              <w:right w:val="single" w:sz="4" w:space="0" w:color="auto"/>
            </w:tcBorders>
            <w:vAlign w:val="center"/>
          </w:tcPr>
          <w:p w:rsidR="003C176C" w:rsidRPr="003C176C" w:rsidRDefault="003C176C" w:rsidP="001C0E16">
            <w:pPr>
              <w:pStyle w:val="a3"/>
              <w:jc w:val="center"/>
              <w:rPr>
                <w:b/>
                <w:sz w:val="21"/>
                <w:szCs w:val="21"/>
              </w:rPr>
            </w:pPr>
            <w:r w:rsidRPr="003C176C">
              <w:rPr>
                <w:rFonts w:hint="eastAsia"/>
                <w:b/>
                <w:bCs/>
                <w:sz w:val="21"/>
                <w:szCs w:val="21"/>
              </w:rPr>
              <w:t>原版本</w:t>
            </w:r>
          </w:p>
        </w:tc>
        <w:tc>
          <w:tcPr>
            <w:tcW w:w="2126" w:type="pct"/>
            <w:tcBorders>
              <w:top w:val="single" w:sz="4" w:space="0" w:color="000000"/>
              <w:left w:val="nil"/>
              <w:bottom w:val="single" w:sz="4" w:space="0" w:color="auto"/>
              <w:right w:val="single" w:sz="4" w:space="0" w:color="auto"/>
            </w:tcBorders>
            <w:vAlign w:val="center"/>
          </w:tcPr>
          <w:p w:rsidR="003C176C" w:rsidRPr="003C176C" w:rsidRDefault="003C176C" w:rsidP="001C0E16">
            <w:pPr>
              <w:spacing w:before="100" w:beforeAutospacing="1" w:after="100" w:afterAutospacing="1"/>
              <w:jc w:val="center"/>
              <w:rPr>
                <w:rFonts w:ascii="宋体" w:eastAsia="宋体" w:hAnsi="宋体"/>
                <w:b/>
                <w:szCs w:val="21"/>
              </w:rPr>
            </w:pPr>
            <w:r w:rsidRPr="003C176C">
              <w:rPr>
                <w:rFonts w:ascii="宋体" w:eastAsia="宋体" w:hAnsi="宋体" w:hint="eastAsia"/>
                <w:b/>
                <w:bCs/>
                <w:szCs w:val="21"/>
              </w:rPr>
              <w:t>修订后版本</w:t>
            </w:r>
          </w:p>
        </w:tc>
      </w:tr>
      <w:tr w:rsidR="003C176C" w:rsidRPr="003C176C" w:rsidTr="003C176C">
        <w:tc>
          <w:tcPr>
            <w:tcW w:w="627" w:type="pct"/>
            <w:vMerge/>
            <w:tcBorders>
              <w:top w:val="single" w:sz="4" w:space="0" w:color="000000"/>
              <w:left w:val="single" w:sz="4" w:space="0" w:color="000000"/>
              <w:bottom w:val="single" w:sz="4" w:space="0" w:color="auto"/>
              <w:right w:val="single" w:sz="4" w:space="0" w:color="auto"/>
            </w:tcBorders>
            <w:vAlign w:val="center"/>
          </w:tcPr>
          <w:p w:rsidR="003C176C" w:rsidRPr="003C176C" w:rsidRDefault="003C176C" w:rsidP="001C0E16">
            <w:pPr>
              <w:rPr>
                <w:rFonts w:ascii="宋体" w:eastAsia="宋体" w:hAnsi="宋体"/>
                <w:b/>
                <w:szCs w:val="21"/>
              </w:rPr>
            </w:pPr>
          </w:p>
        </w:tc>
        <w:tc>
          <w:tcPr>
            <w:tcW w:w="2247" w:type="pct"/>
            <w:tcBorders>
              <w:top w:val="single" w:sz="4" w:space="0" w:color="auto"/>
              <w:left w:val="single" w:sz="4" w:space="0" w:color="auto"/>
              <w:bottom w:val="single" w:sz="4" w:space="0" w:color="auto"/>
              <w:right w:val="single" w:sz="4" w:space="0" w:color="auto"/>
            </w:tcBorders>
            <w:vAlign w:val="center"/>
          </w:tcPr>
          <w:p w:rsidR="003C176C" w:rsidRPr="003C176C" w:rsidRDefault="003C176C" w:rsidP="001C0E16">
            <w:pPr>
              <w:spacing w:before="100" w:beforeAutospacing="1" w:after="100" w:afterAutospacing="1"/>
              <w:jc w:val="center"/>
              <w:rPr>
                <w:rFonts w:ascii="宋体" w:eastAsia="宋体" w:hAnsi="宋体"/>
                <w:b/>
                <w:szCs w:val="21"/>
              </w:rPr>
            </w:pPr>
            <w:r w:rsidRPr="003C176C">
              <w:rPr>
                <w:rFonts w:ascii="宋体" w:eastAsia="宋体" w:hAnsi="宋体"/>
                <w:b/>
                <w:bCs/>
                <w:szCs w:val="21"/>
              </w:rPr>
              <w:t>内容</w:t>
            </w:r>
          </w:p>
        </w:tc>
        <w:tc>
          <w:tcPr>
            <w:tcW w:w="2126" w:type="pct"/>
            <w:tcBorders>
              <w:top w:val="single" w:sz="4" w:space="0" w:color="auto"/>
              <w:left w:val="single" w:sz="4" w:space="0" w:color="auto"/>
              <w:bottom w:val="single" w:sz="4" w:space="0" w:color="auto"/>
              <w:right w:val="single" w:sz="4" w:space="0" w:color="auto"/>
            </w:tcBorders>
            <w:vAlign w:val="center"/>
          </w:tcPr>
          <w:p w:rsidR="003C176C" w:rsidRPr="003C176C" w:rsidRDefault="003C176C" w:rsidP="001C0E16">
            <w:pPr>
              <w:spacing w:before="100" w:beforeAutospacing="1" w:after="100" w:afterAutospacing="1"/>
              <w:jc w:val="center"/>
              <w:rPr>
                <w:rFonts w:ascii="宋体" w:eastAsia="宋体" w:hAnsi="宋体"/>
                <w:b/>
                <w:szCs w:val="21"/>
              </w:rPr>
            </w:pPr>
            <w:r w:rsidRPr="003C176C">
              <w:rPr>
                <w:rFonts w:ascii="宋体" w:eastAsia="宋体" w:hAnsi="宋体"/>
                <w:b/>
                <w:bCs/>
                <w:szCs w:val="21"/>
              </w:rPr>
              <w:t>内容</w:t>
            </w:r>
          </w:p>
        </w:tc>
      </w:tr>
      <w:tr w:rsidR="003C176C" w:rsidRPr="003C176C" w:rsidTr="003C176C">
        <w:tc>
          <w:tcPr>
            <w:tcW w:w="627" w:type="pct"/>
            <w:vMerge w:val="restart"/>
            <w:tcBorders>
              <w:top w:val="single" w:sz="4" w:space="0" w:color="auto"/>
              <w:left w:val="single" w:sz="4" w:space="0" w:color="000000"/>
              <w:right w:val="single" w:sz="4" w:space="0" w:color="auto"/>
            </w:tcBorders>
          </w:tcPr>
          <w:p w:rsidR="003C176C" w:rsidRPr="003C176C" w:rsidRDefault="003C176C" w:rsidP="001C0E16">
            <w:pPr>
              <w:pStyle w:val="a3"/>
              <w:rPr>
                <w:sz w:val="21"/>
                <w:szCs w:val="21"/>
              </w:rPr>
            </w:pPr>
            <w:r w:rsidRPr="003C176C">
              <w:rPr>
                <w:rFonts w:hint="eastAsia"/>
                <w:bCs/>
                <w:sz w:val="21"/>
                <w:szCs w:val="21"/>
              </w:rPr>
              <w:t>三、基金托管人对基金管理人的业务监督和核查</w:t>
            </w:r>
          </w:p>
        </w:tc>
        <w:tc>
          <w:tcPr>
            <w:tcW w:w="2247"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szCs w:val="21"/>
              </w:rPr>
            </w:pPr>
            <w:r w:rsidRPr="003C176C">
              <w:rPr>
                <w:rFonts w:ascii="宋体" w:eastAsia="宋体" w:hAnsi="宋体" w:hint="eastAsia"/>
                <w:szCs w:val="21"/>
              </w:rPr>
              <w:t>（一）基金托管人根据有关法律法规的规定及《基金合同》的约定，对基金管理人的投资运作进行监督。主要包括以下方面：</w:t>
            </w:r>
          </w:p>
          <w:p w:rsidR="003C176C" w:rsidRPr="003C176C" w:rsidRDefault="003C176C" w:rsidP="001C0E16">
            <w:pPr>
              <w:rPr>
                <w:rFonts w:ascii="宋体" w:eastAsia="宋体" w:hAnsi="宋体"/>
                <w:szCs w:val="21"/>
              </w:rPr>
            </w:pPr>
            <w:r w:rsidRPr="003C176C">
              <w:rPr>
                <w:rFonts w:ascii="宋体" w:eastAsia="宋体" w:hAnsi="宋体" w:hint="eastAsia"/>
                <w:szCs w:val="21"/>
              </w:rPr>
              <w:t>2、对基金投融资比例进行监督；</w:t>
            </w:r>
          </w:p>
          <w:p w:rsidR="003C176C" w:rsidRPr="003C176C" w:rsidRDefault="003C176C" w:rsidP="001C0E16">
            <w:pPr>
              <w:rPr>
                <w:rFonts w:ascii="宋体" w:eastAsia="宋体" w:hAnsi="宋体"/>
                <w:szCs w:val="21"/>
              </w:rPr>
            </w:pPr>
            <w:r w:rsidRPr="003C176C">
              <w:rPr>
                <w:rFonts w:ascii="宋体" w:eastAsia="宋体" w:hAnsi="宋体" w:hint="eastAsia"/>
                <w:szCs w:val="21"/>
              </w:rPr>
              <w:t>（1）本基金的投资组合将遵循以下限制：</w:t>
            </w:r>
          </w:p>
          <w:p w:rsidR="003C176C" w:rsidRPr="003C176C" w:rsidRDefault="003C176C" w:rsidP="001C0E16">
            <w:pPr>
              <w:rPr>
                <w:rFonts w:ascii="宋体" w:eastAsia="宋体" w:hAnsi="宋体"/>
                <w:szCs w:val="21"/>
              </w:rPr>
            </w:pPr>
            <w:r w:rsidRPr="003C176C">
              <w:rPr>
                <w:rFonts w:ascii="宋体" w:eastAsia="宋体" w:hAnsi="宋体" w:hint="eastAsia"/>
                <w:szCs w:val="21"/>
              </w:rPr>
              <w:t>……</w:t>
            </w:r>
          </w:p>
          <w:p w:rsidR="003C176C" w:rsidRPr="003C176C" w:rsidRDefault="003C176C" w:rsidP="001C0E16">
            <w:pPr>
              <w:rPr>
                <w:rFonts w:ascii="宋体" w:eastAsia="宋体" w:hAnsi="宋体"/>
                <w:szCs w:val="21"/>
              </w:rPr>
            </w:pPr>
            <w:r w:rsidRPr="003C176C">
              <w:rPr>
                <w:rFonts w:ascii="宋体" w:eastAsia="宋体" w:hAnsi="宋体" w:hint="eastAsia"/>
                <w:szCs w:val="21"/>
              </w:rPr>
              <w:t>如果法律法规或监管部门对上述投资比例限制进行变更的，以变更后的规定为准。法律法规或监管部门取消上述限制，如适用于本基金，基金管理人在履行适当程序后，则本基金投资不再受相关限制。</w:t>
            </w:r>
          </w:p>
        </w:tc>
        <w:tc>
          <w:tcPr>
            <w:tcW w:w="2126"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szCs w:val="21"/>
              </w:rPr>
            </w:pPr>
            <w:r w:rsidRPr="003C176C">
              <w:rPr>
                <w:rFonts w:ascii="宋体" w:eastAsia="宋体" w:hAnsi="宋体" w:hint="eastAsia"/>
                <w:szCs w:val="21"/>
              </w:rPr>
              <w:t>（一）基金托管人根据有关法律法规的规定及《基金合同》的约定，对基金管理人的投资运作进行监督。主要包括以下方面：</w:t>
            </w:r>
          </w:p>
          <w:p w:rsidR="003C176C" w:rsidRPr="003C176C" w:rsidRDefault="003C176C" w:rsidP="001C0E16">
            <w:pPr>
              <w:rPr>
                <w:rFonts w:ascii="宋体" w:eastAsia="宋体" w:hAnsi="宋体"/>
                <w:szCs w:val="21"/>
              </w:rPr>
            </w:pPr>
            <w:r w:rsidRPr="003C176C">
              <w:rPr>
                <w:rFonts w:ascii="宋体" w:eastAsia="宋体" w:hAnsi="宋体" w:hint="eastAsia"/>
                <w:szCs w:val="21"/>
              </w:rPr>
              <w:t>2、对基金投融资比例进行监督；</w:t>
            </w:r>
          </w:p>
          <w:p w:rsidR="003C176C" w:rsidRPr="003C176C" w:rsidRDefault="003C176C" w:rsidP="001C0E16">
            <w:pPr>
              <w:rPr>
                <w:rFonts w:ascii="宋体" w:eastAsia="宋体" w:hAnsi="宋体"/>
                <w:szCs w:val="21"/>
              </w:rPr>
            </w:pPr>
            <w:r w:rsidRPr="003C176C">
              <w:rPr>
                <w:rFonts w:ascii="宋体" w:eastAsia="宋体" w:hAnsi="宋体" w:hint="eastAsia"/>
                <w:szCs w:val="21"/>
              </w:rPr>
              <w:t>（1）本基金的投资组合将遵循以下限制：</w:t>
            </w:r>
          </w:p>
          <w:p w:rsidR="003C176C" w:rsidRPr="003C176C" w:rsidRDefault="003C176C" w:rsidP="001C0E16">
            <w:pPr>
              <w:rPr>
                <w:rFonts w:ascii="宋体" w:eastAsia="宋体" w:hAnsi="宋体"/>
                <w:szCs w:val="21"/>
              </w:rPr>
            </w:pPr>
            <w:r w:rsidRPr="003C176C">
              <w:rPr>
                <w:rFonts w:ascii="宋体" w:eastAsia="宋体" w:hAnsi="宋体" w:hint="eastAsia"/>
                <w:szCs w:val="21"/>
              </w:rPr>
              <w:t>……</w:t>
            </w:r>
          </w:p>
          <w:p w:rsidR="003C176C" w:rsidRPr="003C176C" w:rsidRDefault="003C176C" w:rsidP="001C0E16">
            <w:pPr>
              <w:rPr>
                <w:rFonts w:ascii="宋体" w:eastAsia="宋体" w:hAnsi="宋体"/>
                <w:bCs/>
                <w:szCs w:val="21"/>
                <w:u w:val="single"/>
              </w:rPr>
            </w:pPr>
            <w:r w:rsidRPr="003C176C">
              <w:rPr>
                <w:rFonts w:ascii="宋体" w:eastAsia="宋体" w:hAnsi="宋体" w:hint="eastAsia"/>
                <w:bCs/>
                <w:szCs w:val="21"/>
                <w:u w:val="single"/>
              </w:rPr>
              <w:t>侧袋机制实施期间，本部分约定的投资组合比例、组合限制等约定仅适用于主袋账户。</w:t>
            </w:r>
          </w:p>
          <w:p w:rsidR="003C176C" w:rsidRPr="003C176C" w:rsidRDefault="003C176C" w:rsidP="001C0E16">
            <w:pPr>
              <w:rPr>
                <w:rFonts w:ascii="宋体" w:eastAsia="宋体" w:hAnsi="宋体"/>
                <w:szCs w:val="21"/>
              </w:rPr>
            </w:pPr>
            <w:r w:rsidRPr="003C176C">
              <w:rPr>
                <w:rFonts w:ascii="宋体" w:eastAsia="宋体" w:hAnsi="宋体" w:hint="eastAsia"/>
                <w:szCs w:val="21"/>
              </w:rPr>
              <w:t>如果法律法规或监管部门对上述投资比例限制进行变更的，以变更后的规定为准。法律法规或监管部门取消上述限制，如适用于本基金，基金管理人在履行适当程序后，则本基金投资不再受相关限制。</w:t>
            </w:r>
          </w:p>
        </w:tc>
      </w:tr>
      <w:tr w:rsidR="003C176C" w:rsidRPr="003C176C" w:rsidTr="003C176C">
        <w:tc>
          <w:tcPr>
            <w:tcW w:w="627" w:type="pct"/>
            <w:vMerge/>
            <w:tcBorders>
              <w:left w:val="single" w:sz="4" w:space="0" w:color="000000"/>
              <w:bottom w:val="single" w:sz="4" w:space="0" w:color="auto"/>
              <w:right w:val="single" w:sz="4" w:space="0" w:color="auto"/>
            </w:tcBorders>
          </w:tcPr>
          <w:p w:rsidR="003C176C" w:rsidRPr="003C176C" w:rsidRDefault="003C176C" w:rsidP="001C0E16">
            <w:pPr>
              <w:pStyle w:val="a3"/>
              <w:rPr>
                <w:sz w:val="21"/>
                <w:szCs w:val="21"/>
              </w:rPr>
            </w:pPr>
          </w:p>
        </w:tc>
        <w:tc>
          <w:tcPr>
            <w:tcW w:w="2247" w:type="pct"/>
            <w:tcBorders>
              <w:top w:val="single" w:sz="4" w:space="0" w:color="auto"/>
              <w:left w:val="single" w:sz="4" w:space="0" w:color="auto"/>
              <w:bottom w:val="single" w:sz="4" w:space="0" w:color="auto"/>
              <w:right w:val="single" w:sz="4" w:space="0" w:color="auto"/>
            </w:tcBorders>
          </w:tcPr>
          <w:p w:rsidR="003C176C" w:rsidRPr="003C176C" w:rsidRDefault="003C176C" w:rsidP="001C0E16">
            <w:pPr>
              <w:rPr>
                <w:rFonts w:ascii="宋体" w:eastAsia="宋体" w:hAnsi="宋体"/>
                <w:szCs w:val="21"/>
              </w:rPr>
            </w:pPr>
            <w:r w:rsidRPr="003C176C">
              <w:rPr>
                <w:rFonts w:ascii="宋体" w:eastAsia="宋体" w:hAnsi="宋体" w:hint="eastAsia"/>
                <w:szCs w:val="21"/>
              </w:rPr>
              <w:t>无</w:t>
            </w:r>
          </w:p>
        </w:tc>
        <w:tc>
          <w:tcPr>
            <w:tcW w:w="2126" w:type="pct"/>
            <w:tcBorders>
              <w:top w:val="single" w:sz="4" w:space="0" w:color="auto"/>
              <w:left w:val="single" w:sz="4" w:space="0" w:color="auto"/>
              <w:bottom w:val="single" w:sz="4" w:space="0" w:color="auto"/>
              <w:right w:val="single" w:sz="4" w:space="0" w:color="auto"/>
            </w:tcBorders>
          </w:tcPr>
          <w:p w:rsidR="003C176C" w:rsidRPr="003C176C" w:rsidRDefault="003C176C" w:rsidP="001C0E16">
            <w:pPr>
              <w:rPr>
                <w:rFonts w:ascii="宋体" w:eastAsia="宋体" w:hAnsi="宋体"/>
                <w:bCs/>
                <w:szCs w:val="21"/>
                <w:u w:val="single"/>
              </w:rPr>
            </w:pPr>
            <w:r w:rsidRPr="003C176C">
              <w:rPr>
                <w:rFonts w:ascii="宋体" w:eastAsia="宋体" w:hAnsi="宋体" w:hint="eastAsia"/>
                <w:bCs/>
                <w:szCs w:val="21"/>
                <w:u w:val="single"/>
              </w:rPr>
              <w:t>（六）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3C176C" w:rsidRPr="003C176C" w:rsidRDefault="003C176C" w:rsidP="001C0E16">
            <w:pPr>
              <w:rPr>
                <w:rFonts w:ascii="宋体" w:eastAsia="宋体" w:hAnsi="宋体"/>
                <w:szCs w:val="21"/>
              </w:rPr>
            </w:pPr>
            <w:r w:rsidRPr="003C176C">
              <w:rPr>
                <w:rFonts w:ascii="宋体" w:eastAsia="宋体" w:hAnsi="宋体" w:hint="eastAsia"/>
                <w:bCs/>
                <w:szCs w:val="21"/>
                <w:u w:val="single"/>
              </w:rPr>
              <w:t>基金托管人依照相关法律法规的规定和基金合同的约定，对侧袋机制启用、特定资产处置和信息披露等方面进行复核和监督。侧袋机制实施期间的具体规则依照相关法律法规的规定和基金合同的约定执行。</w:t>
            </w:r>
          </w:p>
        </w:tc>
      </w:tr>
      <w:tr w:rsidR="003C176C" w:rsidRPr="003C176C" w:rsidTr="003C176C">
        <w:tc>
          <w:tcPr>
            <w:tcW w:w="627" w:type="pct"/>
            <w:tcBorders>
              <w:top w:val="single" w:sz="4" w:space="0" w:color="auto"/>
              <w:left w:val="single" w:sz="4" w:space="0" w:color="000000"/>
              <w:bottom w:val="single" w:sz="4" w:space="0" w:color="auto"/>
              <w:right w:val="single" w:sz="4" w:space="0" w:color="auto"/>
            </w:tcBorders>
          </w:tcPr>
          <w:p w:rsidR="003C176C" w:rsidRPr="003C176C" w:rsidRDefault="003C176C" w:rsidP="001C0E16">
            <w:pPr>
              <w:pStyle w:val="a3"/>
              <w:rPr>
                <w:bCs/>
                <w:sz w:val="21"/>
                <w:szCs w:val="21"/>
              </w:rPr>
            </w:pPr>
            <w:r w:rsidRPr="003C176C">
              <w:rPr>
                <w:rFonts w:hint="eastAsia"/>
                <w:bCs/>
                <w:sz w:val="21"/>
                <w:szCs w:val="21"/>
              </w:rPr>
              <w:t>八、基金资产净值计算和会计核算</w:t>
            </w:r>
          </w:p>
        </w:tc>
        <w:tc>
          <w:tcPr>
            <w:tcW w:w="2247"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szCs w:val="21"/>
              </w:rPr>
            </w:pPr>
            <w:r w:rsidRPr="003C176C">
              <w:rPr>
                <w:rFonts w:ascii="宋体" w:eastAsia="宋体" w:hAnsi="宋体" w:hint="eastAsia"/>
                <w:szCs w:val="21"/>
              </w:rPr>
              <w:t>（一）基金资产净值的计算和复核</w:t>
            </w:r>
          </w:p>
          <w:p w:rsidR="003C176C" w:rsidRPr="003C176C" w:rsidRDefault="003C176C" w:rsidP="001C0E16">
            <w:pPr>
              <w:rPr>
                <w:rFonts w:ascii="宋体" w:eastAsia="宋体" w:hAnsi="宋体"/>
                <w:szCs w:val="21"/>
              </w:rPr>
            </w:pPr>
            <w:r w:rsidRPr="003C176C">
              <w:rPr>
                <w:rFonts w:ascii="宋体" w:eastAsia="宋体" w:hAnsi="宋体" w:hint="eastAsia"/>
                <w:szCs w:val="21"/>
              </w:rPr>
              <w:t>无</w:t>
            </w:r>
          </w:p>
        </w:tc>
        <w:tc>
          <w:tcPr>
            <w:tcW w:w="2126"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szCs w:val="21"/>
              </w:rPr>
            </w:pPr>
            <w:r w:rsidRPr="003C176C">
              <w:rPr>
                <w:rFonts w:ascii="宋体" w:eastAsia="宋体" w:hAnsi="宋体" w:hint="eastAsia"/>
                <w:szCs w:val="21"/>
              </w:rPr>
              <w:t>（一）基金资产净值的计算和复核</w:t>
            </w:r>
          </w:p>
          <w:p w:rsidR="003C176C" w:rsidRPr="003C176C" w:rsidRDefault="003C176C" w:rsidP="001C0E16">
            <w:pPr>
              <w:rPr>
                <w:rFonts w:ascii="宋体" w:eastAsia="宋体" w:hAnsi="宋体"/>
                <w:bCs/>
                <w:szCs w:val="21"/>
                <w:u w:val="single"/>
              </w:rPr>
            </w:pPr>
            <w:r w:rsidRPr="003C176C">
              <w:rPr>
                <w:rFonts w:ascii="宋体" w:eastAsia="宋体" w:hAnsi="宋体" w:hint="eastAsia"/>
                <w:bCs/>
                <w:szCs w:val="21"/>
                <w:u w:val="single"/>
              </w:rPr>
              <w:t>5、实施侧袋机制期间的基金资产估值</w:t>
            </w:r>
          </w:p>
          <w:p w:rsidR="003C176C" w:rsidRPr="003C176C" w:rsidRDefault="003C176C" w:rsidP="001C0E16">
            <w:pPr>
              <w:rPr>
                <w:rFonts w:ascii="宋体" w:eastAsia="宋体" w:hAnsi="宋体"/>
                <w:szCs w:val="21"/>
              </w:rPr>
            </w:pPr>
            <w:r w:rsidRPr="003C176C">
              <w:rPr>
                <w:rFonts w:ascii="宋体" w:eastAsia="宋体" w:hAnsi="宋体" w:hint="eastAsia"/>
                <w:bCs/>
                <w:szCs w:val="21"/>
                <w:u w:val="single"/>
              </w:rPr>
              <w:t>本基金实施侧袋机制的，应根据本部分的约定对主袋账户资产进行估值并披露主袋账户的基金净值信息，暂停披露侧袋账户基金份额净值。</w:t>
            </w:r>
          </w:p>
        </w:tc>
      </w:tr>
      <w:tr w:rsidR="003C176C" w:rsidRPr="003C176C" w:rsidTr="003C176C">
        <w:tc>
          <w:tcPr>
            <w:tcW w:w="627" w:type="pct"/>
            <w:tcBorders>
              <w:top w:val="single" w:sz="4" w:space="0" w:color="auto"/>
              <w:left w:val="single" w:sz="4" w:space="0" w:color="000000"/>
              <w:bottom w:val="single" w:sz="4" w:space="0" w:color="auto"/>
              <w:right w:val="single" w:sz="4" w:space="0" w:color="auto"/>
            </w:tcBorders>
          </w:tcPr>
          <w:p w:rsidR="003C176C" w:rsidRPr="003C176C" w:rsidRDefault="003C176C" w:rsidP="001C0E16">
            <w:pPr>
              <w:pStyle w:val="a3"/>
              <w:rPr>
                <w:sz w:val="21"/>
                <w:szCs w:val="21"/>
              </w:rPr>
            </w:pPr>
            <w:r w:rsidRPr="003C176C">
              <w:rPr>
                <w:rFonts w:hint="eastAsia"/>
                <w:bCs/>
                <w:sz w:val="21"/>
                <w:szCs w:val="21"/>
              </w:rPr>
              <w:t>九、基金收益分配</w:t>
            </w:r>
          </w:p>
        </w:tc>
        <w:tc>
          <w:tcPr>
            <w:tcW w:w="2247"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szCs w:val="21"/>
              </w:rPr>
            </w:pPr>
            <w:r w:rsidRPr="003C176C">
              <w:rPr>
                <w:rFonts w:ascii="宋体" w:eastAsia="宋体" w:hAnsi="宋体" w:hint="eastAsia"/>
                <w:szCs w:val="21"/>
              </w:rPr>
              <w:t>无</w:t>
            </w:r>
          </w:p>
        </w:tc>
        <w:tc>
          <w:tcPr>
            <w:tcW w:w="2126"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bCs/>
                <w:szCs w:val="21"/>
                <w:u w:val="single"/>
              </w:rPr>
            </w:pPr>
            <w:r w:rsidRPr="003C176C">
              <w:rPr>
                <w:rFonts w:ascii="宋体" w:eastAsia="宋体" w:hAnsi="宋体" w:hint="eastAsia"/>
                <w:bCs/>
                <w:szCs w:val="21"/>
                <w:u w:val="single"/>
              </w:rPr>
              <w:t>（三）实施侧袋机制期间的收益分配</w:t>
            </w:r>
          </w:p>
          <w:p w:rsidR="003C176C" w:rsidRPr="003C176C" w:rsidRDefault="003C176C" w:rsidP="001C0E16">
            <w:pPr>
              <w:rPr>
                <w:rFonts w:ascii="宋体" w:eastAsia="宋体" w:hAnsi="宋体"/>
                <w:szCs w:val="21"/>
              </w:rPr>
            </w:pPr>
            <w:r w:rsidRPr="003C176C">
              <w:rPr>
                <w:rFonts w:ascii="宋体" w:eastAsia="宋体" w:hAnsi="宋体" w:hint="eastAsia"/>
                <w:bCs/>
                <w:szCs w:val="21"/>
                <w:u w:val="single"/>
              </w:rPr>
              <w:t>本基金实施侧袋机制的，侧袋账户不进行收益分配，详见招募说明书的规定。</w:t>
            </w:r>
          </w:p>
        </w:tc>
      </w:tr>
      <w:tr w:rsidR="003C176C" w:rsidRPr="003C176C" w:rsidTr="003C176C">
        <w:tc>
          <w:tcPr>
            <w:tcW w:w="627" w:type="pct"/>
            <w:tcBorders>
              <w:top w:val="single" w:sz="4" w:space="0" w:color="auto"/>
              <w:left w:val="single" w:sz="4" w:space="0" w:color="000000"/>
              <w:right w:val="single" w:sz="4" w:space="0" w:color="auto"/>
            </w:tcBorders>
          </w:tcPr>
          <w:p w:rsidR="003C176C" w:rsidRPr="003C176C" w:rsidRDefault="003C176C" w:rsidP="001C0E16">
            <w:pPr>
              <w:pStyle w:val="a3"/>
              <w:rPr>
                <w:sz w:val="21"/>
                <w:szCs w:val="21"/>
              </w:rPr>
            </w:pPr>
            <w:r w:rsidRPr="003C176C">
              <w:rPr>
                <w:rFonts w:hint="eastAsia"/>
                <w:bCs/>
                <w:sz w:val="21"/>
                <w:szCs w:val="21"/>
              </w:rPr>
              <w:t>十、基金信息披露</w:t>
            </w:r>
          </w:p>
        </w:tc>
        <w:tc>
          <w:tcPr>
            <w:tcW w:w="2247"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szCs w:val="21"/>
              </w:rPr>
            </w:pPr>
            <w:r w:rsidRPr="003C176C">
              <w:rPr>
                <w:rFonts w:ascii="宋体" w:eastAsia="宋体" w:hAnsi="宋体" w:hint="eastAsia"/>
                <w:szCs w:val="21"/>
              </w:rPr>
              <w:t>无</w:t>
            </w:r>
          </w:p>
        </w:tc>
        <w:tc>
          <w:tcPr>
            <w:tcW w:w="2126"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bCs/>
                <w:szCs w:val="21"/>
                <w:u w:val="single"/>
              </w:rPr>
            </w:pPr>
            <w:r w:rsidRPr="003C176C">
              <w:rPr>
                <w:rFonts w:ascii="宋体" w:eastAsia="宋体" w:hAnsi="宋体" w:hint="eastAsia"/>
                <w:bCs/>
                <w:szCs w:val="21"/>
                <w:u w:val="single"/>
              </w:rPr>
              <w:t>（四）实施侧袋机制期间的信息披露</w:t>
            </w:r>
          </w:p>
          <w:p w:rsidR="003C176C" w:rsidRPr="003C176C" w:rsidRDefault="003C176C" w:rsidP="001C0E16">
            <w:pPr>
              <w:rPr>
                <w:rFonts w:ascii="宋体" w:eastAsia="宋体" w:hAnsi="宋体"/>
                <w:szCs w:val="21"/>
              </w:rPr>
            </w:pPr>
            <w:r w:rsidRPr="003C176C">
              <w:rPr>
                <w:rFonts w:ascii="宋体" w:eastAsia="宋体" w:hAnsi="宋体" w:hint="eastAsia"/>
                <w:bCs/>
                <w:szCs w:val="21"/>
                <w:u w:val="single"/>
              </w:rPr>
              <w:t>本基金实施侧袋机制的，相关信息披露义务人应当根据法律法规、基金合同和招募说明书的规定进行信息披露，详见招募说明书的规定。</w:t>
            </w:r>
          </w:p>
        </w:tc>
      </w:tr>
      <w:tr w:rsidR="003C176C" w:rsidRPr="003C176C" w:rsidTr="003C176C">
        <w:tc>
          <w:tcPr>
            <w:tcW w:w="627" w:type="pct"/>
            <w:tcBorders>
              <w:left w:val="single" w:sz="4" w:space="0" w:color="000000"/>
              <w:bottom w:val="single" w:sz="4" w:space="0" w:color="auto"/>
              <w:right w:val="single" w:sz="4" w:space="0" w:color="auto"/>
            </w:tcBorders>
          </w:tcPr>
          <w:p w:rsidR="003C176C" w:rsidRPr="003C176C" w:rsidRDefault="003C176C" w:rsidP="001C0E16">
            <w:pPr>
              <w:pStyle w:val="a3"/>
              <w:rPr>
                <w:bCs/>
                <w:sz w:val="21"/>
                <w:szCs w:val="21"/>
              </w:rPr>
            </w:pPr>
            <w:r w:rsidRPr="003C176C">
              <w:rPr>
                <w:rFonts w:hint="eastAsia"/>
                <w:bCs/>
                <w:sz w:val="21"/>
                <w:szCs w:val="21"/>
              </w:rPr>
              <w:t>十一、基金费用</w:t>
            </w:r>
          </w:p>
        </w:tc>
        <w:tc>
          <w:tcPr>
            <w:tcW w:w="2247"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szCs w:val="21"/>
              </w:rPr>
            </w:pPr>
            <w:r w:rsidRPr="003C176C">
              <w:rPr>
                <w:rFonts w:ascii="宋体" w:eastAsia="宋体" w:hAnsi="宋体" w:hint="eastAsia"/>
                <w:szCs w:val="21"/>
              </w:rPr>
              <w:t>无</w:t>
            </w:r>
          </w:p>
        </w:tc>
        <w:tc>
          <w:tcPr>
            <w:tcW w:w="2126" w:type="pct"/>
            <w:tcBorders>
              <w:top w:val="single" w:sz="4" w:space="0" w:color="auto"/>
              <w:left w:val="single" w:sz="4" w:space="0" w:color="auto"/>
              <w:right w:val="single" w:sz="4" w:space="0" w:color="auto"/>
            </w:tcBorders>
          </w:tcPr>
          <w:p w:rsidR="003C176C" w:rsidRPr="003C176C" w:rsidRDefault="003C176C" w:rsidP="001C0E16">
            <w:pPr>
              <w:rPr>
                <w:rFonts w:ascii="宋体" w:eastAsia="宋体" w:hAnsi="宋体"/>
                <w:bCs/>
                <w:szCs w:val="21"/>
                <w:u w:val="single"/>
              </w:rPr>
            </w:pPr>
            <w:r w:rsidRPr="003C176C">
              <w:rPr>
                <w:rFonts w:ascii="宋体" w:eastAsia="宋体" w:hAnsi="宋体" w:hint="eastAsia"/>
                <w:bCs/>
                <w:szCs w:val="21"/>
                <w:u w:val="single"/>
              </w:rPr>
              <w:t>（八）实施侧袋机制期间的基金费用</w:t>
            </w:r>
          </w:p>
          <w:p w:rsidR="003C176C" w:rsidRPr="003C176C" w:rsidRDefault="003C176C" w:rsidP="001C0E16">
            <w:pPr>
              <w:rPr>
                <w:rFonts w:ascii="宋体" w:eastAsia="宋体" w:hAnsi="宋体"/>
                <w:bCs/>
                <w:szCs w:val="21"/>
                <w:u w:val="single"/>
              </w:rPr>
            </w:pPr>
            <w:r w:rsidRPr="003C176C">
              <w:rPr>
                <w:rFonts w:ascii="宋体" w:eastAsia="宋体" w:hAnsi="宋体" w:hint="eastAsia"/>
                <w:bCs/>
                <w:szCs w:val="21"/>
                <w:u w:val="single"/>
              </w:rPr>
              <w:t>本基金实施侧袋机制的，与侧袋账户有关的费用可以从侧袋账户中列支，但应待侧袋账户资产变现后方可列支，有关费用可酌情收取或减免，但不得收取管理费，详见招募说明书的规定。</w:t>
            </w:r>
          </w:p>
        </w:tc>
      </w:tr>
    </w:tbl>
    <w:p w:rsidR="008D12AC" w:rsidRPr="003C176C" w:rsidRDefault="003C176C" w:rsidP="008D12AC">
      <w:pPr>
        <w:pStyle w:val="a3"/>
        <w:shd w:val="clear" w:color="auto" w:fill="FFFFFF"/>
        <w:spacing w:before="0" w:beforeAutospacing="0" w:after="0" w:afterAutospacing="0" w:line="360" w:lineRule="auto"/>
        <w:ind w:firstLineChars="200" w:firstLine="420"/>
        <w:rPr>
          <w:color w:val="333333"/>
          <w:sz w:val="21"/>
          <w:szCs w:val="21"/>
        </w:rPr>
      </w:pPr>
      <w:r w:rsidRPr="00AF3194">
        <w:rPr>
          <w:rFonts w:hint="eastAsia"/>
          <w:color w:val="333333"/>
          <w:sz w:val="21"/>
          <w:szCs w:val="21"/>
        </w:rPr>
        <w:t>因上述修订相应调整后续序号</w:t>
      </w:r>
      <w:r>
        <w:rPr>
          <w:rFonts w:hint="eastAsia"/>
          <w:color w:val="333333"/>
          <w:sz w:val="21"/>
          <w:szCs w:val="21"/>
        </w:rPr>
        <w:t>。</w:t>
      </w:r>
    </w:p>
    <w:p w:rsidR="00B43A8C" w:rsidRDefault="004A17A7" w:rsidP="00524502">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3、</w:t>
      </w:r>
      <w:r w:rsidR="00463E02" w:rsidRPr="00463E02">
        <w:rPr>
          <w:rFonts w:hint="eastAsia"/>
          <w:color w:val="333333"/>
          <w:sz w:val="21"/>
          <w:szCs w:val="21"/>
        </w:rPr>
        <w:t>因各基金的具体表述等不完全相同，</w:t>
      </w:r>
      <w:r w:rsidR="00C42796">
        <w:rPr>
          <w:rFonts w:hint="eastAsia"/>
          <w:color w:val="333333"/>
          <w:sz w:val="21"/>
          <w:szCs w:val="21"/>
        </w:rPr>
        <w:t>各基金</w:t>
      </w:r>
      <w:r w:rsidR="00463E02" w:rsidRPr="00463E02">
        <w:rPr>
          <w:rFonts w:hint="eastAsia"/>
          <w:color w:val="333333"/>
          <w:sz w:val="21"/>
          <w:szCs w:val="21"/>
        </w:rPr>
        <w:t>基金合同</w:t>
      </w:r>
      <w:r w:rsidR="00C34EEF">
        <w:rPr>
          <w:rFonts w:hint="eastAsia"/>
          <w:color w:val="333333"/>
          <w:sz w:val="21"/>
          <w:szCs w:val="21"/>
        </w:rPr>
        <w:t>、托管协议</w:t>
      </w:r>
      <w:r w:rsidR="00463E02" w:rsidRPr="00463E02">
        <w:rPr>
          <w:rFonts w:hint="eastAsia"/>
          <w:color w:val="333333"/>
          <w:sz w:val="21"/>
          <w:szCs w:val="21"/>
        </w:rPr>
        <w:t>中相应条款表述及修订位置可能存在略微差异，详细修改内容请见各基金修改后的基金合同</w:t>
      </w:r>
      <w:r w:rsidR="00A206ED">
        <w:rPr>
          <w:rFonts w:hint="eastAsia"/>
          <w:color w:val="333333"/>
          <w:sz w:val="21"/>
          <w:szCs w:val="21"/>
        </w:rPr>
        <w:t>、托管协议</w:t>
      </w:r>
      <w:r w:rsidR="00463E02" w:rsidRPr="00463E02">
        <w:rPr>
          <w:rFonts w:hint="eastAsia"/>
          <w:color w:val="333333"/>
          <w:sz w:val="21"/>
          <w:szCs w:val="21"/>
        </w:rPr>
        <w:t>。</w:t>
      </w:r>
    </w:p>
    <w:p w:rsidR="00D500A9" w:rsidRPr="008D12AC" w:rsidRDefault="00D500A9" w:rsidP="00524502">
      <w:pPr>
        <w:pStyle w:val="a3"/>
        <w:shd w:val="clear" w:color="auto" w:fill="FFFFFF"/>
        <w:spacing w:before="0" w:beforeAutospacing="0" w:after="0" w:afterAutospacing="0" w:line="360" w:lineRule="auto"/>
        <w:ind w:firstLineChars="200" w:firstLine="420"/>
        <w:rPr>
          <w:color w:val="333333"/>
          <w:sz w:val="21"/>
          <w:szCs w:val="21"/>
        </w:rPr>
      </w:pPr>
    </w:p>
    <w:p w:rsidR="00B43A8C"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三、</w:t>
      </w:r>
      <w:r w:rsidR="00B43A8C">
        <w:rPr>
          <w:rFonts w:hint="eastAsia"/>
          <w:b/>
          <w:color w:val="333333"/>
          <w:sz w:val="21"/>
          <w:szCs w:val="21"/>
        </w:rPr>
        <w:t>重要提示</w:t>
      </w:r>
    </w:p>
    <w:p w:rsidR="00B43A8C" w:rsidRPr="00AF3194" w:rsidRDefault="00B43A8C" w:rsidP="008C25C4">
      <w:pPr>
        <w:pStyle w:val="a3"/>
        <w:shd w:val="clear" w:color="auto" w:fill="FFFFFF"/>
        <w:spacing w:before="0" w:beforeAutospacing="0" w:after="0" w:afterAutospacing="0" w:line="360" w:lineRule="auto"/>
        <w:ind w:firstLineChars="200" w:firstLine="420"/>
        <w:jc w:val="both"/>
        <w:rPr>
          <w:color w:val="333333"/>
          <w:sz w:val="21"/>
          <w:szCs w:val="21"/>
        </w:rPr>
      </w:pPr>
      <w:r w:rsidRPr="00AF3194">
        <w:rPr>
          <w:color w:val="333333"/>
          <w:sz w:val="21"/>
          <w:szCs w:val="21"/>
        </w:rPr>
        <w:t>1</w:t>
      </w:r>
      <w:r w:rsidRPr="00AF3194">
        <w:rPr>
          <w:rFonts w:hint="eastAsia"/>
          <w:color w:val="333333"/>
          <w:sz w:val="21"/>
          <w:szCs w:val="21"/>
        </w:rPr>
        <w:t>、上述</w:t>
      </w:r>
      <w:r w:rsidR="00ED4D1F">
        <w:rPr>
          <w:rFonts w:hint="eastAsia"/>
          <w:color w:val="333333"/>
          <w:sz w:val="21"/>
          <w:szCs w:val="21"/>
        </w:rPr>
        <w:t>各</w:t>
      </w:r>
      <w:r w:rsidRPr="00AF3194">
        <w:rPr>
          <w:rFonts w:hint="eastAsia"/>
          <w:color w:val="333333"/>
          <w:sz w:val="21"/>
          <w:szCs w:val="21"/>
        </w:rPr>
        <w:t>基金基金合同的修订已经履行了规定的程序，符合相关法律法规及基金合同的规定，无需召开基金份额持有人大会。</w:t>
      </w:r>
      <w:r w:rsidRPr="00AF3194">
        <w:rPr>
          <w:color w:val="333333"/>
          <w:sz w:val="21"/>
          <w:szCs w:val="21"/>
        </w:rPr>
        <w:t xml:space="preserve"> </w:t>
      </w:r>
    </w:p>
    <w:p w:rsidR="00B43A8C" w:rsidRPr="00AF3194" w:rsidRDefault="00B43A8C" w:rsidP="008C25C4">
      <w:pPr>
        <w:pStyle w:val="a3"/>
        <w:shd w:val="clear" w:color="auto" w:fill="FFFFFF"/>
        <w:spacing w:before="0" w:beforeAutospacing="0" w:after="0" w:afterAutospacing="0" w:line="360" w:lineRule="auto"/>
        <w:ind w:firstLineChars="200" w:firstLine="420"/>
        <w:jc w:val="both"/>
        <w:rPr>
          <w:color w:val="333333"/>
          <w:sz w:val="21"/>
          <w:szCs w:val="21"/>
        </w:rPr>
      </w:pPr>
      <w:r w:rsidRPr="00AF3194">
        <w:rPr>
          <w:color w:val="333333"/>
          <w:sz w:val="21"/>
          <w:szCs w:val="21"/>
        </w:rPr>
        <w:t>2</w:t>
      </w:r>
      <w:r w:rsidRPr="00AF3194">
        <w:rPr>
          <w:rFonts w:hint="eastAsia"/>
          <w:color w:val="333333"/>
          <w:sz w:val="21"/>
          <w:szCs w:val="21"/>
        </w:rPr>
        <w:t>、上述基金合同、托管协议的修订事宜自</w:t>
      </w:r>
      <w:r w:rsidRPr="005F425C">
        <w:rPr>
          <w:color w:val="333333"/>
          <w:sz w:val="21"/>
          <w:szCs w:val="21"/>
        </w:rPr>
        <w:t>2021</w:t>
      </w:r>
      <w:r w:rsidRPr="005F425C">
        <w:rPr>
          <w:rFonts w:hint="eastAsia"/>
          <w:color w:val="333333"/>
          <w:sz w:val="21"/>
          <w:szCs w:val="21"/>
        </w:rPr>
        <w:t>年</w:t>
      </w:r>
      <w:r w:rsidR="00A10BA5" w:rsidRPr="005F425C">
        <w:rPr>
          <w:color w:val="333333"/>
          <w:sz w:val="21"/>
          <w:szCs w:val="21"/>
        </w:rPr>
        <w:t>7</w:t>
      </w:r>
      <w:r w:rsidRPr="005F425C">
        <w:rPr>
          <w:rFonts w:hint="eastAsia"/>
          <w:color w:val="333333"/>
          <w:sz w:val="21"/>
          <w:szCs w:val="21"/>
        </w:rPr>
        <w:t>月</w:t>
      </w:r>
      <w:r w:rsidR="00A10BA5" w:rsidRPr="005F425C">
        <w:rPr>
          <w:color w:val="333333"/>
          <w:sz w:val="21"/>
          <w:szCs w:val="21"/>
        </w:rPr>
        <w:t>6</w:t>
      </w:r>
      <w:r w:rsidRPr="005F425C">
        <w:rPr>
          <w:rFonts w:hint="eastAsia"/>
          <w:color w:val="333333"/>
          <w:sz w:val="21"/>
          <w:szCs w:val="21"/>
        </w:rPr>
        <w:t>日</w:t>
      </w:r>
      <w:r w:rsidRPr="00AF3194">
        <w:rPr>
          <w:rFonts w:hint="eastAsia"/>
          <w:color w:val="333333"/>
          <w:sz w:val="21"/>
          <w:szCs w:val="21"/>
        </w:rPr>
        <w:t>起生效</w:t>
      </w:r>
      <w:r>
        <w:rPr>
          <w:rFonts w:hint="eastAsia"/>
          <w:color w:val="333333"/>
          <w:sz w:val="21"/>
          <w:szCs w:val="21"/>
        </w:rPr>
        <w:t>。</w:t>
      </w:r>
      <w:r w:rsidRPr="001C0E16">
        <w:rPr>
          <w:rFonts w:hint="eastAsia"/>
          <w:color w:val="333333"/>
          <w:sz w:val="21"/>
          <w:szCs w:val="21"/>
        </w:rPr>
        <w:t>本次修订后的基金合同、托管协议将于本公告发布之日登载于本基金管理人网站（www.huaan.com.cn）和中国证监会基金电子披露网站（http://eid.csrc.gov.cn/fund）。基金管理人将届时更新各基金的招募说明书</w:t>
      </w:r>
      <w:bookmarkStart w:id="0" w:name="_GoBack"/>
      <w:bookmarkEnd w:id="0"/>
      <w:r w:rsidRPr="001C0E16">
        <w:rPr>
          <w:rFonts w:hint="eastAsia"/>
          <w:color w:val="333333"/>
          <w:sz w:val="21"/>
          <w:szCs w:val="21"/>
        </w:rPr>
        <w:t>相关内容，并揭示风险。</w:t>
      </w:r>
    </w:p>
    <w:p w:rsidR="00B43A8C" w:rsidRPr="00AF3194" w:rsidRDefault="00B43A8C" w:rsidP="008C25C4">
      <w:pPr>
        <w:pStyle w:val="a3"/>
        <w:shd w:val="clear" w:color="auto" w:fill="FFFFFF"/>
        <w:spacing w:before="0" w:beforeAutospacing="0" w:after="0" w:afterAutospacing="0" w:line="360" w:lineRule="auto"/>
        <w:ind w:firstLineChars="200" w:firstLine="420"/>
        <w:jc w:val="both"/>
        <w:rPr>
          <w:color w:val="333333"/>
          <w:sz w:val="21"/>
          <w:szCs w:val="21"/>
        </w:rPr>
      </w:pPr>
      <w:r w:rsidRPr="00AF3194">
        <w:rPr>
          <w:color w:val="333333"/>
          <w:sz w:val="21"/>
          <w:szCs w:val="21"/>
        </w:rPr>
        <w:t>3</w:t>
      </w:r>
      <w:r w:rsidRPr="00AF3194">
        <w:rPr>
          <w:rFonts w:hint="eastAsia"/>
          <w:color w:val="333333"/>
          <w:sz w:val="21"/>
          <w:szCs w:val="21"/>
        </w:rPr>
        <w:t>、当基金启用侧袋机制时，实施侧袋机制期间，侧袋账户份额将停止披露基金份额净值，并不得办理申购、赎回和转换。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r w:rsidRPr="00AF3194">
        <w:rPr>
          <w:color w:val="333333"/>
          <w:sz w:val="21"/>
          <w:szCs w:val="21"/>
        </w:rPr>
        <w:t xml:space="preserve"> </w:t>
      </w:r>
    </w:p>
    <w:p w:rsidR="00B43A8C" w:rsidRPr="00AF3194" w:rsidRDefault="00B43A8C" w:rsidP="008C25C4">
      <w:pPr>
        <w:pStyle w:val="a3"/>
        <w:shd w:val="clear" w:color="auto" w:fill="FFFFFF"/>
        <w:spacing w:before="0" w:beforeAutospacing="0" w:after="0" w:afterAutospacing="0" w:line="360" w:lineRule="auto"/>
        <w:ind w:firstLineChars="200" w:firstLine="420"/>
        <w:jc w:val="both"/>
        <w:rPr>
          <w:color w:val="333333"/>
          <w:sz w:val="21"/>
          <w:szCs w:val="21"/>
        </w:rPr>
      </w:pPr>
      <w:r w:rsidRPr="00AF3194">
        <w:rPr>
          <w:rFonts w:hint="eastAsia"/>
          <w:color w:val="333333"/>
          <w:sz w:val="21"/>
          <w:szCs w:val="21"/>
        </w:rPr>
        <w:t>实施侧袋机制期间，基金管理人计算各项投资运作指标和基金业绩指标时以主袋账户资产为基准，不反映侧袋账户特定资产的真实价值及变化情况。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r w:rsidRPr="00AF3194">
        <w:rPr>
          <w:color w:val="333333"/>
          <w:sz w:val="21"/>
          <w:szCs w:val="21"/>
        </w:rPr>
        <w:t xml:space="preserve"> </w:t>
      </w:r>
    </w:p>
    <w:p w:rsidR="00B43A8C" w:rsidRPr="00AF3194" w:rsidRDefault="00B43A8C" w:rsidP="008C25C4">
      <w:pPr>
        <w:pStyle w:val="a3"/>
        <w:shd w:val="clear" w:color="auto" w:fill="FFFFFF"/>
        <w:spacing w:before="0" w:beforeAutospacing="0" w:after="0" w:afterAutospacing="0" w:line="360" w:lineRule="auto"/>
        <w:ind w:firstLineChars="200" w:firstLine="420"/>
        <w:jc w:val="both"/>
        <w:rPr>
          <w:color w:val="333333"/>
          <w:sz w:val="21"/>
          <w:szCs w:val="21"/>
        </w:rPr>
      </w:pPr>
      <w:r w:rsidRPr="00AF3194">
        <w:rPr>
          <w:rFonts w:hint="eastAsia"/>
          <w:color w:val="333333"/>
          <w:sz w:val="21"/>
          <w:szCs w:val="21"/>
        </w:rPr>
        <w:t>基金管理人将根据主袋账户运作情况合理确定申购政策，因此实施侧袋机制后主袋账户份额存在暂停申购的可能。</w:t>
      </w:r>
    </w:p>
    <w:p w:rsidR="00524502" w:rsidRP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p>
    <w:p w:rsidR="00524502" w:rsidRPr="00524502" w:rsidRDefault="00524502" w:rsidP="00524502">
      <w:pPr>
        <w:pStyle w:val="a3"/>
        <w:shd w:val="clear" w:color="auto" w:fill="FFFFFF"/>
        <w:spacing w:before="0" w:beforeAutospacing="0" w:after="0" w:afterAutospacing="0" w:line="360" w:lineRule="auto"/>
        <w:ind w:firstLineChars="200" w:firstLine="422"/>
        <w:rPr>
          <w:b/>
          <w:color w:val="333333"/>
          <w:sz w:val="21"/>
          <w:szCs w:val="21"/>
        </w:rPr>
      </w:pPr>
      <w:r w:rsidRPr="00524502">
        <w:rPr>
          <w:rFonts w:hint="eastAsia"/>
          <w:b/>
          <w:color w:val="333333"/>
          <w:sz w:val="21"/>
          <w:szCs w:val="21"/>
        </w:rPr>
        <w:t>四、其他事项</w:t>
      </w:r>
    </w:p>
    <w:p w:rsidR="0032432F" w:rsidRPr="0032432F" w:rsidRDefault="00524502" w:rsidP="008C25C4">
      <w:pPr>
        <w:pStyle w:val="a3"/>
        <w:shd w:val="clear" w:color="auto" w:fill="FFFFFF"/>
        <w:spacing w:before="0" w:beforeAutospacing="0" w:after="0" w:afterAutospacing="0" w:line="360" w:lineRule="auto"/>
        <w:ind w:firstLineChars="200" w:firstLine="420"/>
        <w:rPr>
          <w:color w:val="333333"/>
          <w:sz w:val="21"/>
          <w:szCs w:val="21"/>
        </w:rPr>
      </w:pPr>
      <w:r>
        <w:rPr>
          <w:color w:val="333333"/>
          <w:sz w:val="21"/>
          <w:szCs w:val="21"/>
        </w:rPr>
        <w:t>1</w:t>
      </w:r>
      <w:r w:rsidR="00722B15">
        <w:rPr>
          <w:rFonts w:hint="eastAsia"/>
          <w:color w:val="333333"/>
          <w:sz w:val="21"/>
          <w:szCs w:val="21"/>
        </w:rPr>
        <w:t>、</w:t>
      </w:r>
      <w:r w:rsidR="0032432F" w:rsidRPr="0032432F">
        <w:rPr>
          <w:rFonts w:hint="eastAsia"/>
          <w:color w:val="333333"/>
          <w:sz w:val="21"/>
          <w:szCs w:val="21"/>
        </w:rPr>
        <w:t>投资人可以通过本基金管理人的网站（www.huaan.com.cn）或客户服务电话（40088-50099）咨询相关情况。</w:t>
      </w:r>
    </w:p>
    <w:p w:rsidR="0032432F" w:rsidRPr="0032432F" w:rsidRDefault="00524502" w:rsidP="008C25C4">
      <w:pPr>
        <w:pStyle w:val="a3"/>
        <w:shd w:val="clear" w:color="auto" w:fill="FFFFFF"/>
        <w:spacing w:before="0" w:beforeAutospacing="0" w:after="0" w:afterAutospacing="0" w:line="360" w:lineRule="auto"/>
        <w:ind w:firstLineChars="200" w:firstLine="420"/>
        <w:rPr>
          <w:color w:val="333333"/>
          <w:sz w:val="21"/>
          <w:szCs w:val="21"/>
        </w:rPr>
      </w:pPr>
      <w:r>
        <w:rPr>
          <w:rFonts w:hint="eastAsia"/>
          <w:color w:val="333333"/>
          <w:sz w:val="21"/>
          <w:szCs w:val="21"/>
        </w:rPr>
        <w:t>2</w:t>
      </w:r>
      <w:r w:rsidR="00722B15">
        <w:rPr>
          <w:rFonts w:hint="eastAsia"/>
          <w:color w:val="333333"/>
          <w:sz w:val="21"/>
          <w:szCs w:val="21"/>
        </w:rPr>
        <w:t>、</w:t>
      </w:r>
      <w:r w:rsidR="0032432F" w:rsidRPr="0032432F">
        <w:rPr>
          <w:rFonts w:hint="eastAsia"/>
          <w:color w:val="333333"/>
          <w:sz w:val="21"/>
          <w:szCs w:val="21"/>
        </w:rPr>
        <w:t>风险提示：</w:t>
      </w:r>
    </w:p>
    <w:p w:rsidR="0032432F" w:rsidRPr="0032432F" w:rsidRDefault="0032432F" w:rsidP="008C25C4">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本基金管理人承诺以诚实信用、勤勉尽责的原则管理和运用基金资产，但不保证基金一定盈利，也不保证最低收益。投资者投资于本基金管理人管理的基金时应认真阅读基金相关法律文件，了解基金产品的详细情况，选择与自己风险识别能力和风险承受能力相匹配的基金，并注意投资风险。</w:t>
      </w:r>
    </w:p>
    <w:p w:rsidR="00B43A8C" w:rsidRPr="0032432F" w:rsidRDefault="0032432F" w:rsidP="003C176C">
      <w:pPr>
        <w:pStyle w:val="a3"/>
        <w:shd w:val="clear" w:color="auto" w:fill="FFFFFF"/>
        <w:spacing w:before="0" w:beforeAutospacing="0" w:after="0" w:afterAutospacing="0" w:line="360" w:lineRule="auto"/>
        <w:ind w:firstLineChars="200" w:firstLine="420"/>
        <w:rPr>
          <w:color w:val="333333"/>
          <w:sz w:val="21"/>
          <w:szCs w:val="21"/>
        </w:rPr>
      </w:pPr>
      <w:r w:rsidRPr="0032432F">
        <w:rPr>
          <w:rFonts w:hint="eastAsia"/>
          <w:color w:val="333333"/>
          <w:sz w:val="21"/>
          <w:szCs w:val="21"/>
        </w:rPr>
        <w:t>特此公告。</w:t>
      </w:r>
    </w:p>
    <w:p w:rsidR="0032432F" w:rsidRPr="0032432F" w:rsidRDefault="0032432F" w:rsidP="0032432F">
      <w:pPr>
        <w:pStyle w:val="a3"/>
        <w:shd w:val="clear" w:color="auto" w:fill="FFFFFF"/>
        <w:spacing w:before="0" w:beforeAutospacing="0" w:after="0" w:afterAutospacing="0" w:line="360" w:lineRule="auto"/>
        <w:ind w:firstLineChars="200" w:firstLine="420"/>
        <w:jc w:val="right"/>
        <w:rPr>
          <w:color w:val="333333"/>
          <w:sz w:val="21"/>
          <w:szCs w:val="21"/>
        </w:rPr>
      </w:pPr>
      <w:r w:rsidRPr="0032432F">
        <w:rPr>
          <w:rFonts w:hint="eastAsia"/>
          <w:color w:val="333333"/>
          <w:sz w:val="21"/>
          <w:szCs w:val="21"/>
        </w:rPr>
        <w:t>华安基金管理有限公司</w:t>
      </w:r>
    </w:p>
    <w:p w:rsidR="00DB58AF" w:rsidRPr="008C25C4" w:rsidRDefault="0032432F" w:rsidP="003C176C">
      <w:pPr>
        <w:pStyle w:val="a3"/>
        <w:shd w:val="clear" w:color="auto" w:fill="FFFFFF"/>
        <w:spacing w:before="0" w:beforeAutospacing="0" w:after="0" w:afterAutospacing="0" w:line="360" w:lineRule="auto"/>
        <w:ind w:firstLineChars="200" w:firstLine="420"/>
        <w:jc w:val="right"/>
        <w:rPr>
          <w:color w:val="333333"/>
          <w:sz w:val="21"/>
          <w:szCs w:val="21"/>
        </w:rPr>
      </w:pPr>
      <w:r w:rsidRPr="005F425C">
        <w:rPr>
          <w:color w:val="333333"/>
          <w:sz w:val="21"/>
          <w:szCs w:val="21"/>
        </w:rPr>
        <w:t>202</w:t>
      </w:r>
      <w:r w:rsidR="00B43A8C" w:rsidRPr="005F425C">
        <w:rPr>
          <w:color w:val="333333"/>
          <w:sz w:val="21"/>
          <w:szCs w:val="21"/>
        </w:rPr>
        <w:t>1</w:t>
      </w:r>
      <w:r w:rsidRPr="005F425C">
        <w:rPr>
          <w:rFonts w:hint="eastAsia"/>
          <w:color w:val="333333"/>
          <w:sz w:val="21"/>
          <w:szCs w:val="21"/>
        </w:rPr>
        <w:t>年</w:t>
      </w:r>
      <w:r w:rsidR="00A10BA5" w:rsidRPr="005F425C">
        <w:rPr>
          <w:color w:val="333333"/>
          <w:sz w:val="21"/>
          <w:szCs w:val="21"/>
        </w:rPr>
        <w:t>7</w:t>
      </w:r>
      <w:r w:rsidRPr="005F425C">
        <w:rPr>
          <w:rFonts w:hint="eastAsia"/>
          <w:color w:val="333333"/>
          <w:sz w:val="21"/>
          <w:szCs w:val="21"/>
        </w:rPr>
        <w:t>月</w:t>
      </w:r>
      <w:r w:rsidR="00A10BA5" w:rsidRPr="005F425C">
        <w:rPr>
          <w:color w:val="333333"/>
          <w:sz w:val="21"/>
          <w:szCs w:val="21"/>
        </w:rPr>
        <w:t>6</w:t>
      </w:r>
      <w:r w:rsidRPr="005F425C">
        <w:rPr>
          <w:rFonts w:hint="eastAsia"/>
          <w:color w:val="333333"/>
          <w:sz w:val="21"/>
          <w:szCs w:val="21"/>
        </w:rPr>
        <w:t>日</w:t>
      </w:r>
    </w:p>
    <w:sectPr w:rsidR="00DB58AF" w:rsidRPr="008C25C4" w:rsidSect="00EE4FED">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CD2A" w16cex:dateUtc="2021-06-23T07:09:00Z"/>
  <w16cex:commentExtensible w16cex:durableId="247DD326" w16cex:dateUtc="2021-06-23T0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B71DE" w16cid:durableId="247DCD2A"/>
  <w16cid:commentId w16cid:paraId="6E611847" w16cid:durableId="247DD3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01" w:rsidRDefault="00016301" w:rsidP="00BB01ED">
      <w:r>
        <w:separator/>
      </w:r>
    </w:p>
  </w:endnote>
  <w:endnote w:type="continuationSeparator" w:id="0">
    <w:p w:rsidR="00016301" w:rsidRDefault="00016301" w:rsidP="00BB01E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楷体t萀">
    <w:altName w:val="楷体"/>
    <w:panose1 w:val="00000000000000000000"/>
    <w:charset w:val="86"/>
    <w:family w:val="swiss"/>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01" w:rsidRDefault="00016301" w:rsidP="00BB01ED">
      <w:r>
        <w:separator/>
      </w:r>
    </w:p>
  </w:footnote>
  <w:footnote w:type="continuationSeparator" w:id="0">
    <w:p w:rsidR="00016301" w:rsidRDefault="00016301" w:rsidP="00BB0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9BE"/>
    <w:rsid w:val="000041A9"/>
    <w:rsid w:val="00006465"/>
    <w:rsid w:val="00016301"/>
    <w:rsid w:val="00086D0E"/>
    <w:rsid w:val="00130A65"/>
    <w:rsid w:val="00137823"/>
    <w:rsid w:val="0015346E"/>
    <w:rsid w:val="001A6396"/>
    <w:rsid w:val="001B5D65"/>
    <w:rsid w:val="002761BA"/>
    <w:rsid w:val="002B08D0"/>
    <w:rsid w:val="002B49BE"/>
    <w:rsid w:val="0032432F"/>
    <w:rsid w:val="00353378"/>
    <w:rsid w:val="00397923"/>
    <w:rsid w:val="003C0FEE"/>
    <w:rsid w:val="003C176C"/>
    <w:rsid w:val="003D135B"/>
    <w:rsid w:val="003E4A79"/>
    <w:rsid w:val="003E7DB4"/>
    <w:rsid w:val="00430587"/>
    <w:rsid w:val="00460EE3"/>
    <w:rsid w:val="00463E02"/>
    <w:rsid w:val="004A17A7"/>
    <w:rsid w:val="004F2FB5"/>
    <w:rsid w:val="004F340C"/>
    <w:rsid w:val="00524502"/>
    <w:rsid w:val="0056776B"/>
    <w:rsid w:val="0057238F"/>
    <w:rsid w:val="005A1CA4"/>
    <w:rsid w:val="005F425C"/>
    <w:rsid w:val="005F60B3"/>
    <w:rsid w:val="006E7D18"/>
    <w:rsid w:val="00722B15"/>
    <w:rsid w:val="007A4038"/>
    <w:rsid w:val="007F709F"/>
    <w:rsid w:val="00817587"/>
    <w:rsid w:val="00834449"/>
    <w:rsid w:val="00836F11"/>
    <w:rsid w:val="0087659B"/>
    <w:rsid w:val="008C25C4"/>
    <w:rsid w:val="008D12AC"/>
    <w:rsid w:val="008D78E4"/>
    <w:rsid w:val="008F32AF"/>
    <w:rsid w:val="00950B73"/>
    <w:rsid w:val="009A0E93"/>
    <w:rsid w:val="009E27EC"/>
    <w:rsid w:val="00A10BA5"/>
    <w:rsid w:val="00A206ED"/>
    <w:rsid w:val="00AB2444"/>
    <w:rsid w:val="00AF3194"/>
    <w:rsid w:val="00AF3761"/>
    <w:rsid w:val="00B43A8C"/>
    <w:rsid w:val="00BB01ED"/>
    <w:rsid w:val="00BB5FA9"/>
    <w:rsid w:val="00BF0FDA"/>
    <w:rsid w:val="00C16CF8"/>
    <w:rsid w:val="00C34EEF"/>
    <w:rsid w:val="00C42796"/>
    <w:rsid w:val="00CA538B"/>
    <w:rsid w:val="00CB66A4"/>
    <w:rsid w:val="00CD7314"/>
    <w:rsid w:val="00D371B8"/>
    <w:rsid w:val="00D500A9"/>
    <w:rsid w:val="00D6460A"/>
    <w:rsid w:val="00DB58AF"/>
    <w:rsid w:val="00DE5E72"/>
    <w:rsid w:val="00E2281B"/>
    <w:rsid w:val="00E35C07"/>
    <w:rsid w:val="00E46879"/>
    <w:rsid w:val="00E67F60"/>
    <w:rsid w:val="00ED4D1F"/>
    <w:rsid w:val="00EE2D53"/>
    <w:rsid w:val="00EE4FED"/>
    <w:rsid w:val="00F22282"/>
    <w:rsid w:val="00F55068"/>
    <w:rsid w:val="00FF7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ED"/>
    <w:pPr>
      <w:widowControl w:val="0"/>
      <w:jc w:val="both"/>
    </w:pPr>
  </w:style>
  <w:style w:type="paragraph" w:styleId="3">
    <w:name w:val="heading 3"/>
    <w:basedOn w:val="a"/>
    <w:link w:val="3Char"/>
    <w:uiPriority w:val="9"/>
    <w:qFormat/>
    <w:rsid w:val="002B49B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DB58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B58A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9B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2B49BE"/>
    <w:rPr>
      <w:rFonts w:ascii="宋体" w:eastAsia="宋体" w:hAnsi="宋体" w:cs="宋体"/>
      <w:b/>
      <w:bCs/>
      <w:kern w:val="0"/>
      <w:sz w:val="27"/>
      <w:szCs w:val="27"/>
    </w:rPr>
  </w:style>
  <w:style w:type="character" w:customStyle="1" w:styleId="4Char">
    <w:name w:val="标题 4 Char"/>
    <w:basedOn w:val="a0"/>
    <w:link w:val="4"/>
    <w:uiPriority w:val="9"/>
    <w:semiHidden/>
    <w:rsid w:val="00DB58AF"/>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B58AF"/>
    <w:rPr>
      <w:b/>
      <w:bCs/>
      <w:sz w:val="28"/>
      <w:szCs w:val="28"/>
    </w:rPr>
  </w:style>
  <w:style w:type="paragraph" w:styleId="a4">
    <w:name w:val="header"/>
    <w:basedOn w:val="a"/>
    <w:link w:val="Char"/>
    <w:uiPriority w:val="99"/>
    <w:unhideWhenUsed/>
    <w:rsid w:val="00BB0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01ED"/>
    <w:rPr>
      <w:sz w:val="18"/>
      <w:szCs w:val="18"/>
    </w:rPr>
  </w:style>
  <w:style w:type="paragraph" w:styleId="a5">
    <w:name w:val="footer"/>
    <w:basedOn w:val="a"/>
    <w:link w:val="Char0"/>
    <w:uiPriority w:val="99"/>
    <w:unhideWhenUsed/>
    <w:rsid w:val="00BB01ED"/>
    <w:pPr>
      <w:tabs>
        <w:tab w:val="center" w:pos="4153"/>
        <w:tab w:val="right" w:pos="8306"/>
      </w:tabs>
      <w:snapToGrid w:val="0"/>
      <w:jc w:val="left"/>
    </w:pPr>
    <w:rPr>
      <w:sz w:val="18"/>
      <w:szCs w:val="18"/>
    </w:rPr>
  </w:style>
  <w:style w:type="character" w:customStyle="1" w:styleId="Char0">
    <w:name w:val="页脚 Char"/>
    <w:basedOn w:val="a0"/>
    <w:link w:val="a5"/>
    <w:uiPriority w:val="99"/>
    <w:rsid w:val="00BB01ED"/>
    <w:rPr>
      <w:sz w:val="18"/>
      <w:szCs w:val="18"/>
    </w:rPr>
  </w:style>
  <w:style w:type="paragraph" w:customStyle="1" w:styleId="Default">
    <w:name w:val="Default"/>
    <w:rsid w:val="00B43A8C"/>
    <w:pPr>
      <w:widowControl w:val="0"/>
      <w:autoSpaceDE w:val="0"/>
      <w:autoSpaceDN w:val="0"/>
      <w:adjustRightInd w:val="0"/>
    </w:pPr>
    <w:rPr>
      <w:rFonts w:ascii="楷体t萀" w:eastAsia="楷体t萀" w:cs="楷体t萀"/>
      <w:color w:val="000000"/>
      <w:kern w:val="0"/>
      <w:sz w:val="24"/>
      <w:szCs w:val="24"/>
    </w:rPr>
  </w:style>
  <w:style w:type="paragraph" w:styleId="a6">
    <w:name w:val="Balloon Text"/>
    <w:basedOn w:val="a"/>
    <w:link w:val="Char1"/>
    <w:uiPriority w:val="99"/>
    <w:semiHidden/>
    <w:unhideWhenUsed/>
    <w:rsid w:val="00B43A8C"/>
    <w:rPr>
      <w:sz w:val="18"/>
      <w:szCs w:val="18"/>
    </w:rPr>
  </w:style>
  <w:style w:type="character" w:customStyle="1" w:styleId="Char1">
    <w:name w:val="批注框文本 Char"/>
    <w:basedOn w:val="a0"/>
    <w:link w:val="a6"/>
    <w:uiPriority w:val="99"/>
    <w:semiHidden/>
    <w:rsid w:val="00B43A8C"/>
    <w:rPr>
      <w:sz w:val="18"/>
      <w:szCs w:val="18"/>
    </w:rPr>
  </w:style>
  <w:style w:type="character" w:styleId="a7">
    <w:name w:val="annotation reference"/>
    <w:basedOn w:val="a0"/>
    <w:uiPriority w:val="99"/>
    <w:semiHidden/>
    <w:unhideWhenUsed/>
    <w:rsid w:val="00817587"/>
    <w:rPr>
      <w:sz w:val="21"/>
      <w:szCs w:val="21"/>
    </w:rPr>
  </w:style>
  <w:style w:type="paragraph" w:styleId="a8">
    <w:name w:val="annotation text"/>
    <w:basedOn w:val="a"/>
    <w:link w:val="Char2"/>
    <w:uiPriority w:val="99"/>
    <w:semiHidden/>
    <w:unhideWhenUsed/>
    <w:rsid w:val="00817587"/>
    <w:pPr>
      <w:jc w:val="left"/>
    </w:pPr>
  </w:style>
  <w:style w:type="character" w:customStyle="1" w:styleId="Char2">
    <w:name w:val="批注文字 Char"/>
    <w:basedOn w:val="a0"/>
    <w:link w:val="a8"/>
    <w:uiPriority w:val="99"/>
    <w:semiHidden/>
    <w:rsid w:val="00817587"/>
  </w:style>
  <w:style w:type="paragraph" w:styleId="a9">
    <w:name w:val="annotation subject"/>
    <w:basedOn w:val="a8"/>
    <w:next w:val="a8"/>
    <w:link w:val="Char3"/>
    <w:uiPriority w:val="99"/>
    <w:semiHidden/>
    <w:unhideWhenUsed/>
    <w:rsid w:val="00817587"/>
    <w:rPr>
      <w:b/>
      <w:bCs/>
    </w:rPr>
  </w:style>
  <w:style w:type="character" w:customStyle="1" w:styleId="Char3">
    <w:name w:val="批注主题 Char"/>
    <w:basedOn w:val="Char2"/>
    <w:link w:val="a9"/>
    <w:uiPriority w:val="99"/>
    <w:semiHidden/>
    <w:rsid w:val="00817587"/>
    <w:rPr>
      <w:b/>
      <w:bCs/>
    </w:rPr>
  </w:style>
</w:styles>
</file>

<file path=word/webSettings.xml><?xml version="1.0" encoding="utf-8"?>
<w:webSettings xmlns:r="http://schemas.openxmlformats.org/officeDocument/2006/relationships" xmlns:w="http://schemas.openxmlformats.org/wordprocessingml/2006/main">
  <w:divs>
    <w:div w:id="16397845">
      <w:bodyDiv w:val="1"/>
      <w:marLeft w:val="0"/>
      <w:marRight w:val="0"/>
      <w:marTop w:val="0"/>
      <w:marBottom w:val="0"/>
      <w:divBdr>
        <w:top w:val="none" w:sz="0" w:space="0" w:color="auto"/>
        <w:left w:val="none" w:sz="0" w:space="0" w:color="auto"/>
        <w:bottom w:val="none" w:sz="0" w:space="0" w:color="auto"/>
        <w:right w:val="none" w:sz="0" w:space="0" w:color="auto"/>
      </w:divBdr>
    </w:div>
    <w:div w:id="334118717">
      <w:bodyDiv w:val="1"/>
      <w:marLeft w:val="0"/>
      <w:marRight w:val="0"/>
      <w:marTop w:val="0"/>
      <w:marBottom w:val="0"/>
      <w:divBdr>
        <w:top w:val="none" w:sz="0" w:space="0" w:color="auto"/>
        <w:left w:val="none" w:sz="0" w:space="0" w:color="auto"/>
        <w:bottom w:val="none" w:sz="0" w:space="0" w:color="auto"/>
        <w:right w:val="none" w:sz="0" w:space="0" w:color="auto"/>
      </w:divBdr>
    </w:div>
    <w:div w:id="382683303">
      <w:bodyDiv w:val="1"/>
      <w:marLeft w:val="0"/>
      <w:marRight w:val="0"/>
      <w:marTop w:val="0"/>
      <w:marBottom w:val="0"/>
      <w:divBdr>
        <w:top w:val="none" w:sz="0" w:space="0" w:color="auto"/>
        <w:left w:val="none" w:sz="0" w:space="0" w:color="auto"/>
        <w:bottom w:val="none" w:sz="0" w:space="0" w:color="auto"/>
        <w:right w:val="none" w:sz="0" w:space="0" w:color="auto"/>
      </w:divBdr>
    </w:div>
    <w:div w:id="448672239">
      <w:bodyDiv w:val="1"/>
      <w:marLeft w:val="0"/>
      <w:marRight w:val="0"/>
      <w:marTop w:val="0"/>
      <w:marBottom w:val="0"/>
      <w:divBdr>
        <w:top w:val="none" w:sz="0" w:space="0" w:color="auto"/>
        <w:left w:val="none" w:sz="0" w:space="0" w:color="auto"/>
        <w:bottom w:val="none" w:sz="0" w:space="0" w:color="auto"/>
        <w:right w:val="none" w:sz="0" w:space="0" w:color="auto"/>
      </w:divBdr>
    </w:div>
    <w:div w:id="549343066">
      <w:bodyDiv w:val="1"/>
      <w:marLeft w:val="0"/>
      <w:marRight w:val="0"/>
      <w:marTop w:val="0"/>
      <w:marBottom w:val="0"/>
      <w:divBdr>
        <w:top w:val="none" w:sz="0" w:space="0" w:color="auto"/>
        <w:left w:val="none" w:sz="0" w:space="0" w:color="auto"/>
        <w:bottom w:val="none" w:sz="0" w:space="0" w:color="auto"/>
        <w:right w:val="none" w:sz="0" w:space="0" w:color="auto"/>
      </w:divBdr>
    </w:div>
    <w:div w:id="701245192">
      <w:bodyDiv w:val="1"/>
      <w:marLeft w:val="0"/>
      <w:marRight w:val="0"/>
      <w:marTop w:val="0"/>
      <w:marBottom w:val="0"/>
      <w:divBdr>
        <w:top w:val="none" w:sz="0" w:space="0" w:color="auto"/>
        <w:left w:val="none" w:sz="0" w:space="0" w:color="auto"/>
        <w:bottom w:val="none" w:sz="0" w:space="0" w:color="auto"/>
        <w:right w:val="none" w:sz="0" w:space="0" w:color="auto"/>
      </w:divBdr>
    </w:div>
    <w:div w:id="912858299">
      <w:bodyDiv w:val="1"/>
      <w:marLeft w:val="0"/>
      <w:marRight w:val="0"/>
      <w:marTop w:val="0"/>
      <w:marBottom w:val="0"/>
      <w:divBdr>
        <w:top w:val="none" w:sz="0" w:space="0" w:color="auto"/>
        <w:left w:val="none" w:sz="0" w:space="0" w:color="auto"/>
        <w:bottom w:val="none" w:sz="0" w:space="0" w:color="auto"/>
        <w:right w:val="none" w:sz="0" w:space="0" w:color="auto"/>
      </w:divBdr>
    </w:div>
    <w:div w:id="1698458347">
      <w:bodyDiv w:val="1"/>
      <w:marLeft w:val="0"/>
      <w:marRight w:val="0"/>
      <w:marTop w:val="0"/>
      <w:marBottom w:val="0"/>
      <w:divBdr>
        <w:top w:val="none" w:sz="0" w:space="0" w:color="auto"/>
        <w:left w:val="none" w:sz="0" w:space="0" w:color="auto"/>
        <w:bottom w:val="none" w:sz="0" w:space="0" w:color="auto"/>
        <w:right w:val="none" w:sz="0" w:space="0" w:color="auto"/>
      </w:divBdr>
    </w:div>
    <w:div w:id="1778522565">
      <w:bodyDiv w:val="1"/>
      <w:marLeft w:val="0"/>
      <w:marRight w:val="0"/>
      <w:marTop w:val="0"/>
      <w:marBottom w:val="0"/>
      <w:divBdr>
        <w:top w:val="none" w:sz="0" w:space="0" w:color="auto"/>
        <w:left w:val="none" w:sz="0" w:space="0" w:color="auto"/>
        <w:bottom w:val="none" w:sz="0" w:space="0" w:color="auto"/>
        <w:right w:val="none" w:sz="0" w:space="0" w:color="auto"/>
      </w:divBdr>
    </w:div>
    <w:div w:id="1848054638">
      <w:bodyDiv w:val="1"/>
      <w:marLeft w:val="0"/>
      <w:marRight w:val="0"/>
      <w:marTop w:val="0"/>
      <w:marBottom w:val="0"/>
      <w:divBdr>
        <w:top w:val="none" w:sz="0" w:space="0" w:color="auto"/>
        <w:left w:val="none" w:sz="0" w:space="0" w:color="auto"/>
        <w:bottom w:val="none" w:sz="0" w:space="0" w:color="auto"/>
        <w:right w:val="none" w:sz="0" w:space="0" w:color="auto"/>
      </w:divBdr>
    </w:div>
    <w:div w:id="18550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E9C7-BFE9-40EE-A3C5-97D9E002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5177</Characters>
  <Application>Microsoft Office Word</Application>
  <DocSecurity>4</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冯晓蕾</dc:creator>
  <cp:keywords/>
  <dc:description/>
  <cp:lastModifiedBy>ZHONGM</cp:lastModifiedBy>
  <cp:revision>2</cp:revision>
  <dcterms:created xsi:type="dcterms:W3CDTF">2021-07-05T16:20:00Z</dcterms:created>
  <dcterms:modified xsi:type="dcterms:W3CDTF">2021-07-05T16:20:00Z</dcterms:modified>
</cp:coreProperties>
</file>