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D5" w:rsidRDefault="0066264B">
      <w:pPr>
        <w:jc w:val="center"/>
        <w:rPr>
          <w:rFonts w:ascii="宋体" w:eastAsia="宋体" w:hAnsi="宋体" w:cs="仿宋_GB2312"/>
          <w:b/>
          <w:color w:val="000000"/>
          <w:kern w:val="0"/>
          <w:sz w:val="32"/>
          <w:szCs w:val="32"/>
        </w:rPr>
      </w:pPr>
      <w:r>
        <w:rPr>
          <w:rFonts w:ascii="宋体" w:eastAsia="宋体" w:hAnsi="宋体" w:cs="仿宋_GB2312" w:hint="eastAsia"/>
          <w:b/>
          <w:color w:val="000000"/>
          <w:kern w:val="0"/>
          <w:sz w:val="32"/>
          <w:szCs w:val="32"/>
        </w:rPr>
        <w:t>银华国企改革混合型发起式证券投资基金基金合同终止及基金财产清算的公告</w:t>
      </w:r>
    </w:p>
    <w:p w:rsidR="000239D5" w:rsidRDefault="000239D5"/>
    <w:p w:rsidR="000239D5" w:rsidRDefault="000239D5">
      <w:pPr>
        <w:autoSpaceDE w:val="0"/>
        <w:autoSpaceDN w:val="0"/>
        <w:adjustRightInd w:val="0"/>
        <w:jc w:val="left"/>
        <w:rPr>
          <w:rFonts w:ascii="宋体" w:hAnsi="宋体" w:cs="宋体"/>
          <w:color w:val="000000"/>
          <w:kern w:val="0"/>
          <w:sz w:val="24"/>
          <w:szCs w:val="24"/>
        </w:rPr>
      </w:pPr>
    </w:p>
    <w:p w:rsidR="000239D5" w:rsidRDefault="0066264B" w:rsidP="001D3B0E">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根据《中华人民共和国证券投资基金法》、《公开募集证券投资基金运作管理办法》、</w:t>
      </w:r>
      <w:r>
        <w:rPr>
          <w:rFonts w:hint="eastAsia"/>
          <w:sz w:val="24"/>
          <w:szCs w:val="24"/>
        </w:rPr>
        <w:t>《公开募集证券投资基金信息披露管理办法》、</w:t>
      </w:r>
      <w:r>
        <w:rPr>
          <w:rFonts w:ascii="宋体" w:hAnsi="宋体" w:cs="宋体" w:hint="eastAsia"/>
          <w:color w:val="000000"/>
          <w:kern w:val="0"/>
          <w:sz w:val="24"/>
          <w:szCs w:val="24"/>
        </w:rPr>
        <w:t>《银华国企改革混合型发起式证券投资基金基金合同》（以下简称“《基金合同》”或</w:t>
      </w:r>
      <w:r>
        <w:rPr>
          <w:rFonts w:ascii="宋体" w:hAnsi="宋体" w:cs="宋体"/>
          <w:color w:val="000000"/>
          <w:kern w:val="0"/>
          <w:sz w:val="24"/>
          <w:szCs w:val="24"/>
        </w:rPr>
        <w:t>“</w:t>
      </w:r>
      <w:r>
        <w:rPr>
          <w:rFonts w:ascii="宋体" w:hAnsi="宋体" w:cs="宋体" w:hint="eastAsia"/>
          <w:color w:val="000000"/>
          <w:kern w:val="0"/>
          <w:sz w:val="24"/>
          <w:szCs w:val="24"/>
        </w:rPr>
        <w:t>基金</w:t>
      </w:r>
      <w:r>
        <w:rPr>
          <w:rFonts w:ascii="宋体" w:hAnsi="宋体" w:cs="宋体"/>
          <w:color w:val="000000"/>
          <w:kern w:val="0"/>
          <w:sz w:val="24"/>
          <w:szCs w:val="24"/>
        </w:rPr>
        <w:t>合同”</w:t>
      </w:r>
      <w:r>
        <w:rPr>
          <w:rFonts w:ascii="宋体" w:hAnsi="宋体" w:cs="宋体" w:hint="eastAsia"/>
          <w:color w:val="000000"/>
          <w:kern w:val="0"/>
          <w:sz w:val="24"/>
          <w:szCs w:val="24"/>
        </w:rPr>
        <w:t>）的有关规定，银华国企改革混合型发起式证券投资基金（以下简称“本基金”）出现了基金合同终止事由，且银华基金管理股份有限公司（以下简称“本基金管理人”）应当在上述事由出现后依法履行基金财产清算程序</w:t>
      </w:r>
      <w:r w:rsidR="00446FC5">
        <w:rPr>
          <w:rFonts w:ascii="宋体" w:hAnsi="宋体" w:cs="宋体" w:hint="eastAsia"/>
          <w:color w:val="000000"/>
          <w:kern w:val="0"/>
          <w:sz w:val="24"/>
          <w:szCs w:val="24"/>
        </w:rPr>
        <w:t>并终止基金合同</w:t>
      </w:r>
      <w:r>
        <w:rPr>
          <w:rFonts w:ascii="宋体" w:hAnsi="宋体" w:cs="宋体" w:hint="eastAsia"/>
          <w:color w:val="000000"/>
          <w:kern w:val="0"/>
          <w:sz w:val="24"/>
          <w:szCs w:val="24"/>
        </w:rPr>
        <w:t>，此事项不需召开基金份额持有人大会。现将相关事宜公告如下：</w:t>
      </w:r>
    </w:p>
    <w:p w:rsidR="000239D5" w:rsidRDefault="0066264B">
      <w:pPr>
        <w:spacing w:line="360" w:lineRule="auto"/>
        <w:ind w:firstLine="420"/>
        <w:rPr>
          <w:b/>
          <w:sz w:val="24"/>
          <w:szCs w:val="24"/>
        </w:rPr>
      </w:pPr>
      <w:r>
        <w:rPr>
          <w:rFonts w:hint="eastAsia"/>
          <w:b/>
          <w:sz w:val="24"/>
          <w:szCs w:val="24"/>
        </w:rPr>
        <w:t>一、本基金基本信息</w:t>
      </w:r>
    </w:p>
    <w:p w:rsidR="000239D5" w:rsidRDefault="0066264B">
      <w:pPr>
        <w:autoSpaceDE w:val="0"/>
        <w:autoSpaceDN w:val="0"/>
        <w:adjustRightInd w:val="0"/>
        <w:spacing w:line="360" w:lineRule="auto"/>
        <w:ind w:firstLine="420"/>
        <w:jc w:val="left"/>
        <w:rPr>
          <w:sz w:val="24"/>
          <w:szCs w:val="24"/>
        </w:rPr>
      </w:pPr>
      <w:r>
        <w:rPr>
          <w:rFonts w:hint="eastAsia"/>
          <w:sz w:val="24"/>
          <w:szCs w:val="24"/>
        </w:rPr>
        <w:t>基金名称：</w:t>
      </w:r>
      <w:r>
        <w:rPr>
          <w:rFonts w:asciiTheme="minorEastAsia" w:hAnsiTheme="minorEastAsia" w:hint="eastAsia"/>
          <w:sz w:val="24"/>
        </w:rPr>
        <w:t>银华国企改革混合型发起式证券投资基金</w:t>
      </w:r>
    </w:p>
    <w:p w:rsidR="000239D5" w:rsidRDefault="0066264B">
      <w:pPr>
        <w:autoSpaceDE w:val="0"/>
        <w:autoSpaceDN w:val="0"/>
        <w:adjustRightInd w:val="0"/>
        <w:spacing w:line="360" w:lineRule="auto"/>
        <w:ind w:firstLine="420"/>
        <w:jc w:val="left"/>
        <w:rPr>
          <w:sz w:val="24"/>
          <w:szCs w:val="24"/>
        </w:rPr>
      </w:pPr>
      <w:r>
        <w:rPr>
          <w:rFonts w:hint="eastAsia"/>
          <w:sz w:val="24"/>
          <w:szCs w:val="24"/>
        </w:rPr>
        <w:t>基金简称：银华国企改革混合发起式</w:t>
      </w:r>
    </w:p>
    <w:p w:rsidR="000239D5" w:rsidRDefault="0066264B">
      <w:pPr>
        <w:autoSpaceDE w:val="0"/>
        <w:autoSpaceDN w:val="0"/>
        <w:adjustRightInd w:val="0"/>
        <w:spacing w:line="360" w:lineRule="auto"/>
        <w:ind w:firstLine="420"/>
        <w:jc w:val="left"/>
        <w:rPr>
          <w:sz w:val="24"/>
          <w:szCs w:val="24"/>
        </w:rPr>
      </w:pPr>
      <w:bookmarkStart w:id="0" w:name="_GoBack"/>
      <w:bookmarkEnd w:id="0"/>
      <w:r>
        <w:rPr>
          <w:rFonts w:hint="eastAsia"/>
          <w:sz w:val="24"/>
          <w:szCs w:val="24"/>
        </w:rPr>
        <w:t>基金代码：</w:t>
      </w:r>
      <w:r>
        <w:rPr>
          <w:sz w:val="24"/>
          <w:szCs w:val="24"/>
        </w:rPr>
        <w:t>005533</w:t>
      </w:r>
    </w:p>
    <w:p w:rsidR="000239D5" w:rsidRDefault="0066264B">
      <w:pPr>
        <w:autoSpaceDE w:val="0"/>
        <w:autoSpaceDN w:val="0"/>
        <w:adjustRightInd w:val="0"/>
        <w:spacing w:line="360" w:lineRule="auto"/>
        <w:ind w:firstLine="420"/>
        <w:jc w:val="left"/>
        <w:rPr>
          <w:sz w:val="24"/>
          <w:szCs w:val="24"/>
        </w:rPr>
      </w:pPr>
      <w:r>
        <w:rPr>
          <w:rFonts w:hint="eastAsia"/>
          <w:sz w:val="24"/>
          <w:szCs w:val="24"/>
        </w:rPr>
        <w:t>基金运作方式：契约型开放式</w:t>
      </w:r>
    </w:p>
    <w:p w:rsidR="000239D5" w:rsidRDefault="0066264B">
      <w:pPr>
        <w:autoSpaceDE w:val="0"/>
        <w:autoSpaceDN w:val="0"/>
        <w:adjustRightInd w:val="0"/>
        <w:spacing w:line="360" w:lineRule="auto"/>
        <w:ind w:firstLine="420"/>
        <w:jc w:val="left"/>
        <w:rPr>
          <w:sz w:val="24"/>
          <w:szCs w:val="24"/>
        </w:rPr>
      </w:pPr>
      <w:r>
        <w:rPr>
          <w:rFonts w:hint="eastAsia"/>
          <w:sz w:val="24"/>
          <w:szCs w:val="24"/>
        </w:rPr>
        <w:t>基金合同生效日：</w:t>
      </w:r>
      <w:r>
        <w:rPr>
          <w:sz w:val="24"/>
          <w:szCs w:val="24"/>
        </w:rPr>
        <w:t>2018</w:t>
      </w:r>
      <w:r>
        <w:rPr>
          <w:rFonts w:hint="eastAsia"/>
          <w:sz w:val="24"/>
          <w:szCs w:val="24"/>
        </w:rPr>
        <w:t>年</w:t>
      </w:r>
      <w:r>
        <w:rPr>
          <w:sz w:val="24"/>
          <w:szCs w:val="24"/>
        </w:rPr>
        <w:t>6</w:t>
      </w:r>
      <w:r>
        <w:rPr>
          <w:rFonts w:hint="eastAsia"/>
          <w:sz w:val="24"/>
          <w:szCs w:val="24"/>
        </w:rPr>
        <w:t>月</w:t>
      </w:r>
      <w:r>
        <w:rPr>
          <w:sz w:val="24"/>
          <w:szCs w:val="24"/>
        </w:rPr>
        <w:t>29</w:t>
      </w:r>
      <w:r>
        <w:rPr>
          <w:rFonts w:hint="eastAsia"/>
          <w:sz w:val="24"/>
          <w:szCs w:val="24"/>
        </w:rPr>
        <w:t>日</w:t>
      </w:r>
    </w:p>
    <w:p w:rsidR="000239D5" w:rsidRDefault="0066264B">
      <w:pPr>
        <w:autoSpaceDE w:val="0"/>
        <w:autoSpaceDN w:val="0"/>
        <w:adjustRightInd w:val="0"/>
        <w:spacing w:line="360" w:lineRule="auto"/>
        <w:ind w:firstLine="420"/>
        <w:jc w:val="left"/>
        <w:rPr>
          <w:sz w:val="24"/>
          <w:szCs w:val="24"/>
        </w:rPr>
      </w:pPr>
      <w:r>
        <w:rPr>
          <w:rFonts w:hint="eastAsia"/>
          <w:sz w:val="24"/>
          <w:szCs w:val="24"/>
        </w:rPr>
        <w:t>基金管理人名称：银华基金管理股份有限公司</w:t>
      </w:r>
    </w:p>
    <w:p w:rsidR="000239D5" w:rsidRDefault="0066264B">
      <w:pPr>
        <w:autoSpaceDE w:val="0"/>
        <w:autoSpaceDN w:val="0"/>
        <w:adjustRightInd w:val="0"/>
        <w:spacing w:line="360" w:lineRule="auto"/>
        <w:ind w:firstLine="420"/>
        <w:jc w:val="left"/>
        <w:rPr>
          <w:sz w:val="24"/>
          <w:szCs w:val="24"/>
        </w:rPr>
      </w:pPr>
      <w:r>
        <w:rPr>
          <w:rFonts w:hint="eastAsia"/>
          <w:sz w:val="24"/>
          <w:szCs w:val="24"/>
        </w:rPr>
        <w:t>基金托管人名称：中国银行股份有限公司</w:t>
      </w:r>
    </w:p>
    <w:p w:rsidR="000239D5" w:rsidRDefault="0066264B">
      <w:pPr>
        <w:spacing w:line="360" w:lineRule="auto"/>
        <w:ind w:firstLine="420"/>
        <w:rPr>
          <w:rFonts w:ascii="宋体" w:hAnsi="宋体" w:cs="宋体"/>
          <w:b/>
          <w:color w:val="000000"/>
          <w:kern w:val="0"/>
          <w:sz w:val="24"/>
          <w:szCs w:val="24"/>
        </w:rPr>
      </w:pPr>
      <w:r>
        <w:rPr>
          <w:rFonts w:ascii="宋体" w:hAnsi="宋体" w:cs="宋体" w:hint="eastAsia"/>
          <w:b/>
          <w:color w:val="000000"/>
          <w:kern w:val="0"/>
          <w:sz w:val="24"/>
          <w:szCs w:val="24"/>
        </w:rPr>
        <w:t>二、基金合同终止事由</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根据《基金合同》“第五部分 基金备案”</w:t>
      </w:r>
      <w:r w:rsidR="00446FC5">
        <w:rPr>
          <w:rFonts w:ascii="宋体" w:hAnsi="宋体" w:cs="宋体" w:hint="eastAsia"/>
          <w:color w:val="000000"/>
          <w:kern w:val="0"/>
          <w:sz w:val="24"/>
          <w:szCs w:val="24"/>
        </w:rPr>
        <w:t>之</w:t>
      </w:r>
      <w:r>
        <w:rPr>
          <w:rFonts w:ascii="宋体" w:hAnsi="宋体" w:cs="宋体" w:hint="eastAsia"/>
          <w:color w:val="000000"/>
          <w:kern w:val="0"/>
          <w:sz w:val="24"/>
          <w:szCs w:val="24"/>
        </w:rPr>
        <w:t>“三、基金存续期内的基金份额持有人数量和资产规模”</w:t>
      </w:r>
      <w:r w:rsidR="00446FC5">
        <w:rPr>
          <w:rFonts w:ascii="宋体" w:hAnsi="宋体" w:cs="宋体" w:hint="eastAsia"/>
          <w:color w:val="000000"/>
          <w:kern w:val="0"/>
          <w:sz w:val="24"/>
          <w:szCs w:val="24"/>
        </w:rPr>
        <w:t>中</w:t>
      </w:r>
      <w:r>
        <w:rPr>
          <w:rFonts w:ascii="宋体" w:hAnsi="宋体" w:cs="宋体" w:hint="eastAsia"/>
          <w:color w:val="000000"/>
          <w:kern w:val="0"/>
          <w:sz w:val="24"/>
          <w:szCs w:val="24"/>
        </w:rPr>
        <w:t>的约定：“基金合同生效之日起三年后的对应自然日，若基金资产规模低于2亿元，基金合同应当按照本基金合同约定的</w:t>
      </w:r>
      <w:r w:rsidR="00F741EE">
        <w:rPr>
          <w:rFonts w:ascii="宋体" w:hAnsi="宋体" w:cs="宋体" w:hint="eastAsia"/>
          <w:color w:val="000000"/>
          <w:kern w:val="0"/>
          <w:sz w:val="24"/>
          <w:szCs w:val="24"/>
        </w:rPr>
        <w:t>程序进行清算并终止，且不得通过召开基金份额持有人大会的方式延续</w:t>
      </w:r>
      <w:r>
        <w:rPr>
          <w:rFonts w:ascii="宋体" w:hAnsi="宋体" w:cs="宋体" w:hint="eastAsia"/>
          <w:color w:val="000000"/>
          <w:kern w:val="0"/>
          <w:sz w:val="24"/>
          <w:szCs w:val="24"/>
        </w:rPr>
        <w:t>”</w:t>
      </w:r>
      <w:r w:rsidR="00F741EE">
        <w:rPr>
          <w:rFonts w:ascii="宋体" w:hAnsi="宋体" w:cs="宋体" w:hint="eastAsia"/>
          <w:color w:val="000000"/>
          <w:kern w:val="0"/>
          <w:sz w:val="24"/>
          <w:szCs w:val="24"/>
        </w:rPr>
        <w:t>。</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本</w:t>
      </w:r>
      <w:r>
        <w:rPr>
          <w:rFonts w:ascii="宋体" w:hAnsi="宋体" w:cs="宋体"/>
          <w:color w:val="000000"/>
          <w:kern w:val="0"/>
          <w:sz w:val="24"/>
          <w:szCs w:val="24"/>
        </w:rPr>
        <w:t>基金《</w:t>
      </w:r>
      <w:r>
        <w:rPr>
          <w:rFonts w:ascii="宋体" w:hAnsi="宋体" w:cs="宋体" w:hint="eastAsia"/>
          <w:color w:val="000000"/>
          <w:kern w:val="0"/>
          <w:sz w:val="24"/>
          <w:szCs w:val="24"/>
        </w:rPr>
        <w:t>基金</w:t>
      </w:r>
      <w:r>
        <w:rPr>
          <w:rFonts w:ascii="宋体" w:hAnsi="宋体" w:cs="宋体"/>
          <w:color w:val="000000"/>
          <w:kern w:val="0"/>
          <w:sz w:val="24"/>
          <w:szCs w:val="24"/>
        </w:rPr>
        <w:t>合同》</w:t>
      </w:r>
      <w:r>
        <w:rPr>
          <w:rFonts w:ascii="宋体" w:hAnsi="宋体" w:cs="宋体" w:hint="eastAsia"/>
          <w:color w:val="000000"/>
          <w:kern w:val="0"/>
          <w:sz w:val="24"/>
          <w:szCs w:val="24"/>
        </w:rPr>
        <w:t>生效</w:t>
      </w:r>
      <w:r>
        <w:rPr>
          <w:rFonts w:ascii="宋体" w:hAnsi="宋体" w:cs="宋体"/>
          <w:color w:val="000000"/>
          <w:kern w:val="0"/>
          <w:sz w:val="24"/>
          <w:szCs w:val="24"/>
        </w:rPr>
        <w:t>日为</w:t>
      </w:r>
      <w:r>
        <w:rPr>
          <w:rFonts w:ascii="宋体" w:hAnsi="宋体" w:cs="宋体" w:hint="eastAsia"/>
          <w:color w:val="000000"/>
          <w:kern w:val="0"/>
          <w:sz w:val="24"/>
          <w:szCs w:val="24"/>
        </w:rPr>
        <w:t>201</w:t>
      </w:r>
      <w:r>
        <w:rPr>
          <w:rFonts w:ascii="宋体" w:hAnsi="宋体" w:cs="宋体"/>
          <w:color w:val="000000"/>
          <w:kern w:val="0"/>
          <w:sz w:val="24"/>
          <w:szCs w:val="24"/>
        </w:rPr>
        <w:t>8</w:t>
      </w:r>
      <w:r>
        <w:rPr>
          <w:rFonts w:ascii="宋体" w:hAnsi="宋体" w:cs="宋体" w:hint="eastAsia"/>
          <w:color w:val="000000"/>
          <w:kern w:val="0"/>
          <w:sz w:val="24"/>
          <w:szCs w:val="24"/>
        </w:rPr>
        <w:t>年</w:t>
      </w:r>
      <w:r>
        <w:rPr>
          <w:rFonts w:ascii="宋体" w:hAnsi="宋体" w:cs="宋体"/>
          <w:color w:val="000000"/>
          <w:kern w:val="0"/>
          <w:sz w:val="24"/>
          <w:szCs w:val="24"/>
        </w:rPr>
        <w:t>6</w:t>
      </w:r>
      <w:r>
        <w:rPr>
          <w:rFonts w:ascii="宋体" w:hAnsi="宋体" w:cs="宋体" w:hint="eastAsia"/>
          <w:color w:val="000000"/>
          <w:kern w:val="0"/>
          <w:sz w:val="24"/>
          <w:szCs w:val="24"/>
        </w:rPr>
        <w:t>月2</w:t>
      </w:r>
      <w:r>
        <w:rPr>
          <w:rFonts w:ascii="宋体" w:hAnsi="宋体" w:cs="宋体"/>
          <w:color w:val="000000"/>
          <w:kern w:val="0"/>
          <w:sz w:val="24"/>
          <w:szCs w:val="24"/>
        </w:rPr>
        <w:t>9</w:t>
      </w:r>
      <w:r>
        <w:rPr>
          <w:rFonts w:ascii="宋体" w:hAnsi="宋体" w:cs="宋体" w:hint="eastAsia"/>
          <w:color w:val="000000"/>
          <w:kern w:val="0"/>
          <w:sz w:val="24"/>
          <w:szCs w:val="24"/>
        </w:rPr>
        <w:t>日。截至20</w:t>
      </w:r>
      <w:r>
        <w:rPr>
          <w:rFonts w:ascii="宋体" w:hAnsi="宋体" w:cs="宋体"/>
          <w:color w:val="000000"/>
          <w:kern w:val="0"/>
          <w:sz w:val="24"/>
          <w:szCs w:val="24"/>
        </w:rPr>
        <w:t>21</w:t>
      </w:r>
      <w:r>
        <w:rPr>
          <w:rFonts w:ascii="宋体" w:hAnsi="宋体" w:cs="宋体" w:hint="eastAsia"/>
          <w:color w:val="000000"/>
          <w:kern w:val="0"/>
          <w:sz w:val="24"/>
          <w:szCs w:val="24"/>
        </w:rPr>
        <w:t>年6月29日，本基金《基金合同》生效满3年，经本基金登记机构确认，截至</w:t>
      </w:r>
      <w:r>
        <w:rPr>
          <w:rFonts w:ascii="宋体" w:hAnsi="宋体" w:cs="宋体"/>
          <w:color w:val="000000"/>
          <w:kern w:val="0"/>
          <w:sz w:val="24"/>
          <w:szCs w:val="24"/>
        </w:rPr>
        <w:t>《</w:t>
      </w:r>
      <w:r>
        <w:rPr>
          <w:rFonts w:ascii="宋体" w:hAnsi="宋体" w:cs="宋体" w:hint="eastAsia"/>
          <w:color w:val="000000"/>
          <w:kern w:val="0"/>
          <w:sz w:val="24"/>
          <w:szCs w:val="24"/>
        </w:rPr>
        <w:t>基金</w:t>
      </w:r>
      <w:r>
        <w:rPr>
          <w:rFonts w:ascii="宋体" w:hAnsi="宋体" w:cs="宋体"/>
          <w:color w:val="000000"/>
          <w:kern w:val="0"/>
          <w:sz w:val="24"/>
          <w:szCs w:val="24"/>
        </w:rPr>
        <w:t>合同》</w:t>
      </w:r>
      <w:r>
        <w:rPr>
          <w:rFonts w:ascii="宋体" w:hAnsi="宋体" w:cs="宋体" w:hint="eastAsia"/>
          <w:color w:val="000000"/>
          <w:kern w:val="0"/>
          <w:sz w:val="24"/>
          <w:szCs w:val="24"/>
        </w:rPr>
        <w:t>生效</w:t>
      </w:r>
      <w:r>
        <w:rPr>
          <w:rFonts w:ascii="宋体" w:hAnsi="宋体" w:cs="宋体"/>
          <w:color w:val="000000"/>
          <w:kern w:val="0"/>
          <w:sz w:val="24"/>
          <w:szCs w:val="24"/>
        </w:rPr>
        <w:t>之日</w:t>
      </w:r>
      <w:r>
        <w:rPr>
          <w:rFonts w:ascii="宋体" w:hAnsi="宋体" w:cs="宋体" w:hint="eastAsia"/>
          <w:color w:val="000000"/>
          <w:kern w:val="0"/>
          <w:sz w:val="24"/>
          <w:szCs w:val="24"/>
        </w:rPr>
        <w:t>起</w:t>
      </w:r>
      <w:r>
        <w:rPr>
          <w:rFonts w:ascii="宋体" w:hAnsi="宋体" w:cs="宋体"/>
          <w:color w:val="000000"/>
          <w:kern w:val="0"/>
          <w:sz w:val="24"/>
          <w:szCs w:val="24"/>
        </w:rPr>
        <w:t>三年后</w:t>
      </w:r>
      <w:r>
        <w:rPr>
          <w:rFonts w:ascii="宋体" w:hAnsi="宋体" w:cs="宋体" w:hint="eastAsia"/>
          <w:color w:val="000000"/>
          <w:kern w:val="0"/>
          <w:sz w:val="24"/>
          <w:szCs w:val="24"/>
        </w:rPr>
        <w:t>的</w:t>
      </w:r>
      <w:r>
        <w:rPr>
          <w:rFonts w:ascii="宋体" w:hAnsi="宋体" w:cs="宋体"/>
          <w:color w:val="000000"/>
          <w:kern w:val="0"/>
          <w:sz w:val="24"/>
          <w:szCs w:val="24"/>
        </w:rPr>
        <w:t>对应自然日（</w:t>
      </w:r>
      <w:r>
        <w:rPr>
          <w:rFonts w:ascii="宋体" w:hAnsi="宋体" w:cs="宋体" w:hint="eastAsia"/>
          <w:color w:val="000000"/>
          <w:kern w:val="0"/>
          <w:sz w:val="24"/>
          <w:szCs w:val="24"/>
        </w:rPr>
        <w:t>即202</w:t>
      </w:r>
      <w:r>
        <w:rPr>
          <w:rFonts w:ascii="宋体" w:hAnsi="宋体" w:cs="宋体"/>
          <w:color w:val="000000"/>
          <w:kern w:val="0"/>
          <w:sz w:val="24"/>
          <w:szCs w:val="24"/>
        </w:rPr>
        <w:t>1</w:t>
      </w:r>
      <w:r>
        <w:rPr>
          <w:rFonts w:ascii="宋体" w:hAnsi="宋体" w:cs="宋体" w:hint="eastAsia"/>
          <w:color w:val="000000"/>
          <w:kern w:val="0"/>
          <w:sz w:val="24"/>
          <w:szCs w:val="24"/>
        </w:rPr>
        <w:t>年6月29日</w:t>
      </w:r>
      <w:r>
        <w:rPr>
          <w:rFonts w:ascii="宋体" w:hAnsi="宋体" w:cs="宋体"/>
          <w:color w:val="000000"/>
          <w:kern w:val="0"/>
          <w:sz w:val="24"/>
          <w:szCs w:val="24"/>
        </w:rPr>
        <w:t>）</w:t>
      </w:r>
      <w:r>
        <w:rPr>
          <w:rFonts w:ascii="宋体" w:hAnsi="宋体" w:cs="宋体" w:hint="eastAsia"/>
          <w:color w:val="000000"/>
          <w:kern w:val="0"/>
          <w:sz w:val="24"/>
          <w:szCs w:val="24"/>
        </w:rPr>
        <w:t>，</w:t>
      </w:r>
      <w:r>
        <w:rPr>
          <w:rFonts w:ascii="宋体" w:hAnsi="宋体" w:cs="宋体"/>
          <w:color w:val="000000"/>
          <w:kern w:val="0"/>
          <w:sz w:val="24"/>
          <w:szCs w:val="24"/>
        </w:rPr>
        <w:t>本基金基金资产净值</w:t>
      </w:r>
      <w:r>
        <w:rPr>
          <w:rFonts w:ascii="宋体" w:hAnsi="宋体" w:cs="宋体" w:hint="eastAsia"/>
          <w:color w:val="000000"/>
          <w:kern w:val="0"/>
          <w:sz w:val="24"/>
          <w:szCs w:val="24"/>
        </w:rPr>
        <w:t>低于2亿元</w:t>
      </w:r>
      <w:r>
        <w:rPr>
          <w:rFonts w:ascii="宋体" w:hAnsi="宋体" w:cs="宋体"/>
          <w:color w:val="000000"/>
          <w:kern w:val="0"/>
          <w:sz w:val="24"/>
          <w:szCs w:val="24"/>
        </w:rPr>
        <w:t>。</w:t>
      </w:r>
      <w:r>
        <w:rPr>
          <w:rFonts w:ascii="宋体" w:hAnsi="宋体" w:cs="宋体" w:hint="eastAsia"/>
          <w:color w:val="000000"/>
          <w:kern w:val="0"/>
          <w:sz w:val="24"/>
          <w:szCs w:val="24"/>
        </w:rPr>
        <w:t>为保护基金份额持有人利益，根据</w:t>
      </w:r>
      <w:r>
        <w:rPr>
          <w:rFonts w:ascii="宋体" w:hAnsi="宋体" w:cs="宋体"/>
          <w:color w:val="000000"/>
          <w:kern w:val="0"/>
          <w:sz w:val="24"/>
          <w:szCs w:val="24"/>
        </w:rPr>
        <w:t>本基金《</w:t>
      </w:r>
      <w:r>
        <w:rPr>
          <w:rFonts w:ascii="宋体" w:hAnsi="宋体" w:cs="宋体" w:hint="eastAsia"/>
          <w:color w:val="000000"/>
          <w:kern w:val="0"/>
          <w:sz w:val="24"/>
          <w:szCs w:val="24"/>
        </w:rPr>
        <w:t>基金</w:t>
      </w:r>
      <w:r>
        <w:rPr>
          <w:rFonts w:ascii="宋体" w:hAnsi="宋体" w:cs="宋体"/>
          <w:color w:val="000000"/>
          <w:kern w:val="0"/>
          <w:sz w:val="24"/>
          <w:szCs w:val="24"/>
        </w:rPr>
        <w:t>合同》</w:t>
      </w:r>
      <w:r>
        <w:rPr>
          <w:rFonts w:ascii="宋体" w:hAnsi="宋体" w:cs="宋体" w:hint="eastAsia"/>
          <w:color w:val="000000"/>
          <w:kern w:val="0"/>
          <w:sz w:val="24"/>
          <w:szCs w:val="24"/>
        </w:rPr>
        <w:t>的</w:t>
      </w:r>
      <w:r>
        <w:rPr>
          <w:rFonts w:ascii="宋体" w:hAnsi="宋体" w:cs="宋体"/>
          <w:color w:val="000000"/>
          <w:kern w:val="0"/>
          <w:sz w:val="24"/>
          <w:szCs w:val="24"/>
        </w:rPr>
        <w:t>约定，</w:t>
      </w:r>
      <w:r>
        <w:rPr>
          <w:rFonts w:ascii="宋体" w:hAnsi="宋体" w:cs="宋体" w:hint="eastAsia"/>
          <w:color w:val="000000"/>
          <w:kern w:val="0"/>
          <w:sz w:val="24"/>
          <w:szCs w:val="24"/>
        </w:rPr>
        <w:t>本基金管理人应当对基金财产进行清算</w:t>
      </w:r>
      <w:r w:rsidR="00446FC5">
        <w:rPr>
          <w:rFonts w:ascii="宋体" w:hAnsi="宋体" w:cs="宋体" w:hint="eastAsia"/>
          <w:color w:val="000000"/>
          <w:kern w:val="0"/>
          <w:sz w:val="24"/>
          <w:szCs w:val="24"/>
        </w:rPr>
        <w:t>并终止本</w:t>
      </w:r>
      <w:r w:rsidR="00446FC5">
        <w:rPr>
          <w:rFonts w:ascii="宋体" w:hAnsi="宋体" w:cs="宋体"/>
          <w:color w:val="000000"/>
          <w:kern w:val="0"/>
          <w:sz w:val="24"/>
          <w:szCs w:val="24"/>
        </w:rPr>
        <w:t>基金</w:t>
      </w:r>
      <w:r w:rsidR="00446FC5">
        <w:rPr>
          <w:rFonts w:ascii="宋体" w:hAnsi="宋体" w:cs="宋体" w:hint="eastAsia"/>
          <w:color w:val="000000"/>
          <w:kern w:val="0"/>
          <w:sz w:val="24"/>
          <w:szCs w:val="24"/>
        </w:rPr>
        <w:t>《基金合同》</w:t>
      </w:r>
      <w:r>
        <w:rPr>
          <w:rFonts w:ascii="宋体" w:hAnsi="宋体" w:cs="宋体" w:hint="eastAsia"/>
          <w:color w:val="000000"/>
          <w:kern w:val="0"/>
          <w:sz w:val="24"/>
          <w:szCs w:val="24"/>
        </w:rPr>
        <w:t>，且不需召开基金</w:t>
      </w:r>
      <w:r>
        <w:rPr>
          <w:rFonts w:ascii="宋体" w:hAnsi="宋体" w:cs="宋体" w:hint="eastAsia"/>
          <w:color w:val="000000"/>
          <w:kern w:val="0"/>
          <w:sz w:val="24"/>
          <w:szCs w:val="24"/>
        </w:rPr>
        <w:lastRenderedPageBreak/>
        <w:t>份额持有人大会审议。</w:t>
      </w:r>
    </w:p>
    <w:p w:rsidR="000239D5" w:rsidRDefault="0066264B">
      <w:pPr>
        <w:spacing w:line="360" w:lineRule="auto"/>
        <w:ind w:firstLine="420"/>
        <w:rPr>
          <w:rFonts w:ascii="宋体" w:hAnsi="宋体" w:cs="宋体"/>
          <w:b/>
          <w:color w:val="000000"/>
          <w:kern w:val="0"/>
          <w:sz w:val="24"/>
          <w:szCs w:val="24"/>
        </w:rPr>
      </w:pPr>
      <w:r>
        <w:rPr>
          <w:rFonts w:ascii="宋体" w:hAnsi="宋体" w:cs="宋体" w:hint="eastAsia"/>
          <w:b/>
          <w:color w:val="000000"/>
          <w:kern w:val="0"/>
          <w:sz w:val="24"/>
          <w:szCs w:val="24"/>
        </w:rPr>
        <w:t>三、基金财产清算</w:t>
      </w:r>
    </w:p>
    <w:p w:rsidR="000239D5" w:rsidRDefault="0066264B" w:rsidP="009F6F27">
      <w:pPr>
        <w:adjustRightInd w:val="0"/>
        <w:snapToGrid w:val="0"/>
        <w:spacing w:line="360" w:lineRule="auto"/>
        <w:ind w:firstLine="420"/>
      </w:pPr>
      <w:r>
        <w:rPr>
          <w:rFonts w:ascii="宋体" w:hAnsi="宋体" w:cs="宋体" w:hint="eastAsia"/>
          <w:color w:val="000000"/>
          <w:kern w:val="0"/>
          <w:sz w:val="24"/>
          <w:szCs w:val="24"/>
        </w:rPr>
        <w:t>1、为</w:t>
      </w:r>
      <w:r>
        <w:rPr>
          <w:rFonts w:ascii="宋体" w:hAnsi="宋体" w:cs="宋体"/>
          <w:color w:val="000000"/>
          <w:kern w:val="0"/>
          <w:sz w:val="24"/>
          <w:szCs w:val="24"/>
        </w:rPr>
        <w:t>更好</w:t>
      </w:r>
      <w:r>
        <w:rPr>
          <w:rFonts w:ascii="宋体" w:hAnsi="宋体" w:cs="宋体" w:hint="eastAsia"/>
          <w:color w:val="000000"/>
          <w:kern w:val="0"/>
          <w:sz w:val="24"/>
          <w:szCs w:val="24"/>
        </w:rPr>
        <w:t>地</w:t>
      </w:r>
      <w:r>
        <w:rPr>
          <w:rFonts w:ascii="宋体" w:hAnsi="宋体" w:cs="宋体"/>
          <w:color w:val="000000"/>
          <w:kern w:val="0"/>
          <w:sz w:val="24"/>
          <w:szCs w:val="24"/>
        </w:rPr>
        <w:t>满足</w:t>
      </w:r>
      <w:r>
        <w:rPr>
          <w:rFonts w:ascii="宋体" w:hAnsi="宋体" w:cs="宋体" w:hint="eastAsia"/>
          <w:color w:val="000000"/>
          <w:kern w:val="0"/>
          <w:sz w:val="24"/>
          <w:szCs w:val="24"/>
        </w:rPr>
        <w:t>基金份额</w:t>
      </w:r>
      <w:r>
        <w:rPr>
          <w:rFonts w:ascii="宋体" w:hAnsi="宋体" w:cs="宋体"/>
          <w:color w:val="000000"/>
          <w:kern w:val="0"/>
          <w:sz w:val="24"/>
          <w:szCs w:val="24"/>
        </w:rPr>
        <w:t>持有人的</w:t>
      </w:r>
      <w:r>
        <w:rPr>
          <w:rFonts w:ascii="宋体" w:hAnsi="宋体" w:cs="宋体" w:hint="eastAsia"/>
          <w:color w:val="000000"/>
          <w:kern w:val="0"/>
          <w:sz w:val="24"/>
          <w:szCs w:val="24"/>
        </w:rPr>
        <w:t>赎回</w:t>
      </w:r>
      <w:r>
        <w:rPr>
          <w:rFonts w:ascii="宋体" w:hAnsi="宋体" w:cs="宋体"/>
          <w:color w:val="000000"/>
          <w:kern w:val="0"/>
          <w:sz w:val="24"/>
          <w:szCs w:val="24"/>
        </w:rPr>
        <w:t>需求，</w:t>
      </w:r>
      <w:r>
        <w:rPr>
          <w:rFonts w:ascii="宋体" w:hAnsi="宋体" w:cs="宋体" w:hint="eastAsia"/>
          <w:color w:val="000000"/>
          <w:kern w:val="0"/>
          <w:sz w:val="24"/>
          <w:szCs w:val="24"/>
        </w:rPr>
        <w:t>本基金将</w:t>
      </w:r>
      <w:r w:rsidR="00D94B49">
        <w:rPr>
          <w:rFonts w:ascii="宋体" w:hAnsi="宋体" w:cs="宋体" w:hint="eastAsia"/>
          <w:color w:val="000000"/>
          <w:kern w:val="0"/>
          <w:sz w:val="24"/>
          <w:szCs w:val="24"/>
        </w:rPr>
        <w:t>在进入清算程序前</w:t>
      </w:r>
      <w:r>
        <w:rPr>
          <w:rFonts w:ascii="宋体" w:hAnsi="宋体" w:cs="宋体" w:hint="eastAsia"/>
          <w:color w:val="000000"/>
          <w:kern w:val="0"/>
          <w:sz w:val="24"/>
          <w:szCs w:val="24"/>
        </w:rPr>
        <w:t>安排赎回选择期。</w:t>
      </w:r>
      <w:r>
        <w:rPr>
          <w:rFonts w:ascii="宋体" w:hAnsi="宋体" w:cs="宋体"/>
          <w:color w:val="000000"/>
          <w:kern w:val="0"/>
          <w:sz w:val="24"/>
          <w:szCs w:val="24"/>
        </w:rPr>
        <w:t>2021年</w:t>
      </w:r>
      <w:r w:rsidR="0037011F">
        <w:rPr>
          <w:rFonts w:ascii="宋体" w:hAnsi="宋体" w:cs="宋体"/>
          <w:color w:val="000000"/>
          <w:kern w:val="0"/>
          <w:sz w:val="24"/>
          <w:szCs w:val="24"/>
        </w:rPr>
        <w:t>6</w:t>
      </w:r>
      <w:r>
        <w:rPr>
          <w:rFonts w:ascii="宋体" w:hAnsi="宋体" w:cs="宋体" w:hint="eastAsia"/>
          <w:color w:val="000000"/>
          <w:kern w:val="0"/>
          <w:sz w:val="24"/>
          <w:szCs w:val="24"/>
        </w:rPr>
        <w:t>月</w:t>
      </w:r>
      <w:r w:rsidR="0037011F">
        <w:rPr>
          <w:rFonts w:ascii="宋体" w:hAnsi="宋体" w:cs="宋体"/>
          <w:color w:val="000000"/>
          <w:kern w:val="0"/>
          <w:sz w:val="24"/>
          <w:szCs w:val="24"/>
        </w:rPr>
        <w:t>30</w:t>
      </w:r>
      <w:r>
        <w:rPr>
          <w:rFonts w:ascii="宋体" w:hAnsi="宋体" w:cs="宋体" w:hint="eastAsia"/>
          <w:color w:val="000000"/>
          <w:kern w:val="0"/>
          <w:sz w:val="24"/>
          <w:szCs w:val="24"/>
        </w:rPr>
        <w:t>日至</w:t>
      </w:r>
      <w:r>
        <w:rPr>
          <w:rFonts w:ascii="宋体" w:hAnsi="宋体" w:cs="宋体"/>
          <w:color w:val="000000"/>
          <w:kern w:val="0"/>
          <w:sz w:val="24"/>
          <w:szCs w:val="24"/>
        </w:rPr>
        <w:t>2021年</w:t>
      </w:r>
      <w:r w:rsidR="0037011F">
        <w:rPr>
          <w:rFonts w:ascii="宋体" w:hAnsi="宋体" w:cs="宋体"/>
          <w:color w:val="000000"/>
          <w:kern w:val="0"/>
          <w:sz w:val="24"/>
          <w:szCs w:val="24"/>
        </w:rPr>
        <w:t>7</w:t>
      </w:r>
      <w:r>
        <w:rPr>
          <w:rFonts w:ascii="宋体" w:hAnsi="宋体" w:cs="宋体" w:hint="eastAsia"/>
          <w:color w:val="000000"/>
          <w:kern w:val="0"/>
          <w:sz w:val="24"/>
          <w:szCs w:val="24"/>
        </w:rPr>
        <w:t>月</w:t>
      </w:r>
      <w:r w:rsidR="0037011F">
        <w:rPr>
          <w:rFonts w:ascii="宋体" w:hAnsi="宋体" w:cs="宋体"/>
          <w:color w:val="000000"/>
          <w:kern w:val="0"/>
          <w:sz w:val="24"/>
          <w:szCs w:val="24"/>
        </w:rPr>
        <w:t>28</w:t>
      </w:r>
      <w:r>
        <w:rPr>
          <w:rFonts w:ascii="宋体" w:hAnsi="宋体" w:cs="宋体"/>
          <w:color w:val="000000"/>
          <w:kern w:val="0"/>
          <w:sz w:val="24"/>
          <w:szCs w:val="24"/>
        </w:rPr>
        <w:t>日</w:t>
      </w:r>
      <w:r>
        <w:rPr>
          <w:rFonts w:ascii="宋体" w:hAnsi="宋体" w:cs="宋体" w:hint="eastAsia"/>
          <w:color w:val="000000"/>
          <w:kern w:val="0"/>
          <w:sz w:val="24"/>
          <w:szCs w:val="24"/>
        </w:rPr>
        <w:t>为本</w:t>
      </w:r>
      <w:r>
        <w:rPr>
          <w:rFonts w:ascii="宋体" w:hAnsi="宋体" w:cs="宋体"/>
          <w:color w:val="000000"/>
          <w:kern w:val="0"/>
          <w:sz w:val="24"/>
          <w:szCs w:val="24"/>
        </w:rPr>
        <w:t>基金的</w:t>
      </w:r>
      <w:r>
        <w:rPr>
          <w:rFonts w:ascii="宋体" w:hAnsi="宋体" w:cs="宋体" w:hint="eastAsia"/>
          <w:color w:val="000000"/>
          <w:kern w:val="0"/>
          <w:sz w:val="24"/>
          <w:szCs w:val="24"/>
        </w:rPr>
        <w:t>赎回选择期。在赎回选择期内，本基金</w:t>
      </w:r>
      <w:r w:rsidR="00D414D4">
        <w:rPr>
          <w:rFonts w:ascii="宋体" w:hAnsi="宋体" w:cs="宋体" w:hint="eastAsia"/>
          <w:color w:val="000000"/>
          <w:kern w:val="0"/>
          <w:sz w:val="24"/>
          <w:szCs w:val="24"/>
        </w:rPr>
        <w:t>仅办理</w:t>
      </w:r>
      <w:r>
        <w:rPr>
          <w:rFonts w:ascii="宋体" w:hAnsi="宋体" w:cs="宋体" w:hint="eastAsia"/>
          <w:color w:val="000000"/>
          <w:kern w:val="0"/>
          <w:sz w:val="24"/>
          <w:szCs w:val="24"/>
        </w:rPr>
        <w:t>赎回及转换转出业务</w:t>
      </w:r>
      <w:r w:rsidR="00D414D4">
        <w:rPr>
          <w:rFonts w:ascii="宋体" w:hAnsi="宋体" w:cs="宋体" w:hint="eastAsia"/>
          <w:color w:val="000000"/>
          <w:kern w:val="0"/>
          <w:sz w:val="24"/>
          <w:szCs w:val="24"/>
        </w:rPr>
        <w:t>，不再开放</w:t>
      </w:r>
      <w:r w:rsidR="00ED2953">
        <w:rPr>
          <w:rFonts w:ascii="宋体" w:hAnsi="宋体" w:cs="宋体" w:hint="eastAsia"/>
          <w:color w:val="000000"/>
          <w:kern w:val="0"/>
          <w:sz w:val="24"/>
          <w:szCs w:val="24"/>
        </w:rPr>
        <w:t>办理申购、转换转入及定期定额</w:t>
      </w:r>
      <w:r w:rsidR="00152949">
        <w:rPr>
          <w:rFonts w:ascii="宋体" w:hAnsi="宋体" w:cs="宋体" w:hint="eastAsia"/>
          <w:color w:val="000000"/>
          <w:kern w:val="0"/>
          <w:sz w:val="24"/>
          <w:szCs w:val="24"/>
        </w:rPr>
        <w:t>投资等</w:t>
      </w:r>
      <w:r w:rsidR="00ED2953">
        <w:rPr>
          <w:rFonts w:ascii="宋体" w:hAnsi="宋体" w:cs="宋体" w:hint="eastAsia"/>
          <w:color w:val="000000"/>
          <w:kern w:val="0"/>
          <w:sz w:val="24"/>
          <w:szCs w:val="24"/>
        </w:rPr>
        <w:t>业务</w:t>
      </w:r>
      <w:r>
        <w:rPr>
          <w:rFonts w:ascii="宋体" w:hAnsi="宋体" w:cs="宋体" w:hint="eastAsia"/>
          <w:color w:val="000000"/>
          <w:kern w:val="0"/>
          <w:sz w:val="24"/>
          <w:szCs w:val="24"/>
        </w:rPr>
        <w:t>。基金份额持有人可以选择赎回其所持有的本基金基金份额或将其所持有的本基金基金份额转换为本基金管理人管理的且</w:t>
      </w:r>
      <w:r>
        <w:rPr>
          <w:rFonts w:ascii="宋体" w:hAnsi="宋体" w:hint="eastAsia"/>
          <w:bCs/>
          <w:sz w:val="24"/>
        </w:rPr>
        <w:t>已开通</w:t>
      </w:r>
      <w:r>
        <w:rPr>
          <w:rFonts w:ascii="宋体" w:hAnsi="宋体"/>
          <w:bCs/>
          <w:sz w:val="24"/>
        </w:rPr>
        <w:t>基金</w:t>
      </w:r>
      <w:r>
        <w:rPr>
          <w:rFonts w:ascii="宋体" w:hAnsi="宋体" w:hint="eastAsia"/>
          <w:bCs/>
          <w:sz w:val="24"/>
        </w:rPr>
        <w:t>转换业务的</w:t>
      </w:r>
      <w:r>
        <w:rPr>
          <w:rFonts w:hint="eastAsia"/>
          <w:bCs/>
          <w:sz w:val="24"/>
        </w:rPr>
        <w:t>其他基金</w:t>
      </w:r>
      <w:r w:rsidR="00D414D4">
        <w:rPr>
          <w:rFonts w:hint="eastAsia"/>
          <w:bCs/>
          <w:sz w:val="24"/>
        </w:rPr>
        <w:t>的基金份额</w:t>
      </w:r>
      <w:r>
        <w:rPr>
          <w:rFonts w:ascii="宋体" w:hAnsi="宋体" w:cs="宋体" w:hint="eastAsia"/>
          <w:color w:val="000000"/>
          <w:kern w:val="0"/>
          <w:sz w:val="24"/>
          <w:szCs w:val="24"/>
        </w:rPr>
        <w:t>。</w:t>
      </w:r>
      <w:r>
        <w:rPr>
          <w:rFonts w:ascii="宋体" w:hAnsi="宋体" w:cs="宋体"/>
          <w:color w:val="000000"/>
          <w:kern w:val="0"/>
          <w:sz w:val="24"/>
          <w:szCs w:val="24"/>
        </w:rPr>
        <w:t>本基金</w:t>
      </w:r>
      <w:r>
        <w:rPr>
          <w:rFonts w:ascii="宋体" w:hAnsi="宋体" w:cs="宋体" w:hint="eastAsia"/>
          <w:color w:val="000000"/>
          <w:kern w:val="0"/>
          <w:sz w:val="24"/>
          <w:szCs w:val="24"/>
        </w:rPr>
        <w:t>的</w:t>
      </w:r>
      <w:r>
        <w:rPr>
          <w:rFonts w:ascii="宋体" w:hAnsi="宋体" w:cs="宋体"/>
          <w:color w:val="000000"/>
          <w:kern w:val="0"/>
          <w:sz w:val="24"/>
          <w:szCs w:val="24"/>
        </w:rPr>
        <w:t>基金份额持有人</w:t>
      </w:r>
      <w:r>
        <w:rPr>
          <w:rFonts w:ascii="宋体" w:hAnsi="宋体" w:cs="宋体" w:hint="eastAsia"/>
          <w:color w:val="000000"/>
          <w:kern w:val="0"/>
          <w:sz w:val="24"/>
          <w:szCs w:val="24"/>
        </w:rPr>
        <w:t>在赎回</w:t>
      </w:r>
      <w:r>
        <w:rPr>
          <w:rFonts w:ascii="宋体" w:hAnsi="宋体" w:cs="宋体"/>
          <w:color w:val="000000"/>
          <w:kern w:val="0"/>
          <w:sz w:val="24"/>
          <w:szCs w:val="24"/>
        </w:rPr>
        <w:t>选择期内</w:t>
      </w:r>
      <w:r>
        <w:rPr>
          <w:rFonts w:ascii="宋体" w:hAnsi="宋体" w:cs="宋体" w:hint="eastAsia"/>
          <w:color w:val="000000"/>
          <w:kern w:val="0"/>
          <w:sz w:val="24"/>
          <w:szCs w:val="24"/>
        </w:rPr>
        <w:t>选择</w:t>
      </w:r>
      <w:r>
        <w:rPr>
          <w:rFonts w:ascii="宋体" w:hAnsi="宋体" w:cs="宋体"/>
          <w:color w:val="000000"/>
          <w:kern w:val="0"/>
          <w:sz w:val="24"/>
          <w:szCs w:val="24"/>
        </w:rPr>
        <w:t>赎回</w:t>
      </w:r>
      <w:r>
        <w:rPr>
          <w:rFonts w:ascii="宋体" w:hAnsi="宋体" w:cs="宋体" w:hint="eastAsia"/>
          <w:color w:val="000000"/>
          <w:kern w:val="0"/>
          <w:sz w:val="24"/>
          <w:szCs w:val="24"/>
        </w:rPr>
        <w:t>本基金基金份额</w:t>
      </w:r>
      <w:r>
        <w:rPr>
          <w:rFonts w:ascii="宋体" w:hAnsi="宋体" w:cs="宋体"/>
          <w:color w:val="000000"/>
          <w:kern w:val="0"/>
          <w:sz w:val="24"/>
          <w:szCs w:val="24"/>
        </w:rPr>
        <w:t>的，仍将按照本基金招募说明书中列示的赎回费率支付赎回费</w:t>
      </w:r>
      <w:r w:rsidRPr="00EC2251">
        <w:rPr>
          <w:rFonts w:hint="eastAsia"/>
          <w:bCs/>
          <w:sz w:val="24"/>
        </w:rPr>
        <w:t>。本</w:t>
      </w:r>
      <w:r w:rsidRPr="00EC2251">
        <w:rPr>
          <w:bCs/>
          <w:sz w:val="24"/>
        </w:rPr>
        <w:t>基金</w:t>
      </w:r>
      <w:r w:rsidRPr="00EC2251">
        <w:rPr>
          <w:rFonts w:hint="eastAsia"/>
          <w:bCs/>
          <w:sz w:val="24"/>
        </w:rPr>
        <w:t>的基金</w:t>
      </w:r>
      <w:r w:rsidRPr="00EC2251">
        <w:rPr>
          <w:bCs/>
          <w:sz w:val="24"/>
        </w:rPr>
        <w:t>份额赎回费率</w:t>
      </w:r>
      <w:r w:rsidRPr="00EC2251">
        <w:rPr>
          <w:rFonts w:hint="eastAsia"/>
          <w:bCs/>
          <w:sz w:val="24"/>
        </w:rPr>
        <w:t>按持有期限的长短分档，具体如下：</w:t>
      </w:r>
    </w:p>
    <w:tbl>
      <w:tblPr>
        <w:tblW w:w="8336" w:type="dxa"/>
        <w:jc w:val="center"/>
        <w:tblBorders>
          <w:top w:val="single" w:sz="8" w:space="0" w:color="008000"/>
          <w:left w:val="single" w:sz="4" w:space="0" w:color="008000"/>
          <w:bottom w:val="single" w:sz="8" w:space="0" w:color="008000"/>
          <w:right w:val="single" w:sz="8" w:space="0" w:color="008000"/>
          <w:insideH w:val="single" w:sz="8" w:space="0" w:color="008000"/>
          <w:insideV w:val="single" w:sz="8" w:space="0" w:color="008000"/>
        </w:tblBorders>
        <w:tblLayout w:type="fixed"/>
        <w:tblCellMar>
          <w:left w:w="0" w:type="dxa"/>
          <w:right w:w="0" w:type="dxa"/>
        </w:tblCellMar>
        <w:tblLook w:val="04A0"/>
      </w:tblPr>
      <w:tblGrid>
        <w:gridCol w:w="1433"/>
        <w:gridCol w:w="3260"/>
        <w:gridCol w:w="3643"/>
      </w:tblGrid>
      <w:tr w:rsidR="000239D5">
        <w:trPr>
          <w:trHeight w:val="313"/>
          <w:jc w:val="center"/>
        </w:trPr>
        <w:tc>
          <w:tcPr>
            <w:tcW w:w="1433"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239D5" w:rsidRDefault="0066264B">
            <w:pPr>
              <w:pStyle w:val="20"/>
              <w:spacing w:before="0" w:line="360" w:lineRule="auto"/>
              <w:ind w:firstLineChars="0" w:firstLine="0"/>
              <w:jc w:val="center"/>
              <w:outlineLvl w:val="9"/>
              <w:rPr>
                <w:rFonts w:ascii="宋体" w:eastAsia="宋体" w:hAnsi="宋体"/>
                <w:sz w:val="24"/>
              </w:rPr>
            </w:pPr>
            <w:bookmarkStart w:id="1" w:name="_Toc514254436"/>
            <w:r>
              <w:rPr>
                <w:rFonts w:ascii="宋体" w:eastAsia="宋体" w:hAnsi="宋体" w:hint="eastAsia"/>
                <w:sz w:val="24"/>
              </w:rPr>
              <w:t>赎回费率</w:t>
            </w:r>
            <w:bookmarkEnd w:id="1"/>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239D5" w:rsidRDefault="0066264B">
            <w:pPr>
              <w:widowControl/>
              <w:spacing w:line="360" w:lineRule="auto"/>
              <w:jc w:val="center"/>
              <w:rPr>
                <w:rFonts w:ascii="宋体" w:hAnsi="宋体"/>
                <w:b/>
                <w:kern w:val="0"/>
                <w:sz w:val="24"/>
              </w:rPr>
            </w:pPr>
            <w:r>
              <w:rPr>
                <w:rFonts w:ascii="宋体" w:hAnsi="宋体" w:hint="eastAsia"/>
                <w:b/>
                <w:kern w:val="0"/>
                <w:sz w:val="24"/>
              </w:rPr>
              <w:t>持有期限</w:t>
            </w:r>
            <w:r>
              <w:rPr>
                <w:rFonts w:ascii="宋体" w:hAnsi="宋体" w:hint="eastAsia"/>
                <w:b/>
                <w:sz w:val="24"/>
              </w:rPr>
              <w:t>（Y）</w:t>
            </w:r>
          </w:p>
        </w:tc>
        <w:tc>
          <w:tcPr>
            <w:tcW w:w="3643" w:type="dxa"/>
            <w:tcBorders>
              <w:top w:val="single" w:sz="4" w:space="0" w:color="auto"/>
              <w:left w:val="single" w:sz="4" w:space="0" w:color="auto"/>
              <w:bottom w:val="single" w:sz="4" w:space="0" w:color="auto"/>
              <w:right w:val="single" w:sz="4" w:space="0" w:color="auto"/>
            </w:tcBorders>
            <w:vAlign w:val="center"/>
          </w:tcPr>
          <w:p w:rsidR="000239D5" w:rsidRDefault="0066264B">
            <w:pPr>
              <w:widowControl/>
              <w:spacing w:line="360" w:lineRule="auto"/>
              <w:jc w:val="center"/>
              <w:rPr>
                <w:rFonts w:ascii="宋体" w:hAnsi="宋体"/>
                <w:b/>
                <w:kern w:val="0"/>
                <w:sz w:val="24"/>
              </w:rPr>
            </w:pPr>
            <w:r>
              <w:rPr>
                <w:rFonts w:ascii="宋体" w:hAnsi="宋体" w:hint="eastAsia"/>
                <w:b/>
                <w:kern w:val="0"/>
                <w:sz w:val="24"/>
              </w:rPr>
              <w:t>赎回费率</w:t>
            </w:r>
          </w:p>
        </w:tc>
      </w:tr>
      <w:tr w:rsidR="000239D5">
        <w:trPr>
          <w:trHeight w:val="285"/>
          <w:jc w:val="center"/>
        </w:trPr>
        <w:tc>
          <w:tcPr>
            <w:tcW w:w="1433" w:type="dxa"/>
            <w:vMerge/>
            <w:tcBorders>
              <w:left w:val="single" w:sz="4" w:space="0" w:color="auto"/>
              <w:right w:val="single" w:sz="4" w:space="0" w:color="auto"/>
            </w:tcBorders>
            <w:tcMar>
              <w:top w:w="15" w:type="dxa"/>
              <w:left w:w="15" w:type="dxa"/>
              <w:bottom w:w="0" w:type="dxa"/>
              <w:right w:w="15" w:type="dxa"/>
            </w:tcMar>
            <w:vAlign w:val="center"/>
          </w:tcPr>
          <w:p w:rsidR="000239D5" w:rsidRDefault="000239D5">
            <w:pPr>
              <w:pStyle w:val="20"/>
              <w:spacing w:before="0" w:line="360" w:lineRule="auto"/>
              <w:ind w:firstLineChars="0" w:firstLine="0"/>
              <w:jc w:val="center"/>
              <w:outlineLvl w:val="9"/>
              <w:rPr>
                <w:rFonts w:ascii="宋体" w:eastAsia="宋体" w:hAnsi="宋体"/>
                <w:sz w:val="24"/>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239D5" w:rsidRDefault="0066264B">
            <w:pPr>
              <w:spacing w:line="360" w:lineRule="auto"/>
              <w:jc w:val="center"/>
              <w:rPr>
                <w:rFonts w:ascii="宋体" w:hAnsi="宋体"/>
                <w:sz w:val="24"/>
              </w:rPr>
            </w:pPr>
            <w:r>
              <w:rPr>
                <w:rFonts w:ascii="宋体" w:hAnsi="宋体" w:hint="eastAsia"/>
                <w:sz w:val="24"/>
              </w:rPr>
              <w:t>Y＜7天</w:t>
            </w:r>
          </w:p>
        </w:tc>
        <w:tc>
          <w:tcPr>
            <w:tcW w:w="3643" w:type="dxa"/>
            <w:tcBorders>
              <w:top w:val="single" w:sz="4" w:space="0" w:color="auto"/>
              <w:left w:val="single" w:sz="4" w:space="0" w:color="auto"/>
              <w:bottom w:val="single" w:sz="4" w:space="0" w:color="auto"/>
              <w:right w:val="single" w:sz="4" w:space="0" w:color="auto"/>
            </w:tcBorders>
            <w:vAlign w:val="center"/>
          </w:tcPr>
          <w:p w:rsidR="000239D5" w:rsidRDefault="0066264B">
            <w:pPr>
              <w:spacing w:line="360" w:lineRule="auto"/>
              <w:jc w:val="center"/>
              <w:rPr>
                <w:rFonts w:ascii="宋体" w:hAnsi="宋体"/>
                <w:sz w:val="24"/>
              </w:rPr>
            </w:pPr>
            <w:r>
              <w:rPr>
                <w:rFonts w:ascii="宋体" w:hAnsi="宋体" w:hint="eastAsia"/>
                <w:sz w:val="24"/>
              </w:rPr>
              <w:t>1.50%</w:t>
            </w:r>
          </w:p>
        </w:tc>
      </w:tr>
      <w:tr w:rsidR="000239D5">
        <w:trPr>
          <w:trHeight w:val="285"/>
          <w:jc w:val="center"/>
        </w:trPr>
        <w:tc>
          <w:tcPr>
            <w:tcW w:w="1433" w:type="dxa"/>
            <w:vMerge/>
            <w:tcBorders>
              <w:left w:val="single" w:sz="4" w:space="0" w:color="auto"/>
              <w:right w:val="single" w:sz="4" w:space="0" w:color="auto"/>
            </w:tcBorders>
            <w:tcMar>
              <w:top w:w="15" w:type="dxa"/>
              <w:left w:w="15" w:type="dxa"/>
              <w:bottom w:w="0" w:type="dxa"/>
              <w:right w:w="15" w:type="dxa"/>
            </w:tcMar>
            <w:vAlign w:val="center"/>
          </w:tcPr>
          <w:p w:rsidR="000239D5" w:rsidRDefault="000239D5">
            <w:pPr>
              <w:pStyle w:val="20"/>
              <w:spacing w:before="0" w:line="360" w:lineRule="auto"/>
              <w:ind w:firstLineChars="0" w:firstLine="0"/>
              <w:jc w:val="center"/>
              <w:outlineLvl w:val="9"/>
              <w:rPr>
                <w:rFonts w:ascii="宋体" w:eastAsia="宋体" w:hAnsi="宋体"/>
                <w:sz w:val="24"/>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239D5" w:rsidRDefault="0066264B">
            <w:pPr>
              <w:spacing w:line="360" w:lineRule="auto"/>
              <w:jc w:val="center"/>
              <w:rPr>
                <w:rFonts w:ascii="宋体" w:hAnsi="宋体"/>
                <w:sz w:val="24"/>
              </w:rPr>
            </w:pPr>
            <w:r>
              <w:rPr>
                <w:rFonts w:ascii="宋体" w:hAnsi="宋体" w:hint="eastAsia"/>
                <w:sz w:val="24"/>
              </w:rPr>
              <w:t>7天≤Y＜30天</w:t>
            </w:r>
          </w:p>
        </w:tc>
        <w:tc>
          <w:tcPr>
            <w:tcW w:w="3643" w:type="dxa"/>
            <w:tcBorders>
              <w:top w:val="single" w:sz="4" w:space="0" w:color="auto"/>
              <w:left w:val="single" w:sz="4" w:space="0" w:color="auto"/>
              <w:bottom w:val="single" w:sz="4" w:space="0" w:color="auto"/>
              <w:right w:val="single" w:sz="4" w:space="0" w:color="auto"/>
            </w:tcBorders>
            <w:vAlign w:val="center"/>
          </w:tcPr>
          <w:p w:rsidR="000239D5" w:rsidRDefault="0066264B">
            <w:pPr>
              <w:spacing w:line="360" w:lineRule="auto"/>
              <w:jc w:val="center"/>
              <w:rPr>
                <w:rFonts w:ascii="宋体" w:hAnsi="宋体"/>
                <w:sz w:val="24"/>
              </w:rPr>
            </w:pPr>
            <w:r>
              <w:rPr>
                <w:rFonts w:ascii="宋体" w:hAnsi="宋体" w:hint="eastAsia"/>
                <w:sz w:val="24"/>
              </w:rPr>
              <w:t>0.75%</w:t>
            </w:r>
          </w:p>
        </w:tc>
      </w:tr>
      <w:tr w:rsidR="000239D5">
        <w:trPr>
          <w:trHeight w:val="285"/>
          <w:jc w:val="center"/>
        </w:trPr>
        <w:tc>
          <w:tcPr>
            <w:tcW w:w="1433" w:type="dxa"/>
            <w:vMerge/>
            <w:tcBorders>
              <w:left w:val="single" w:sz="4" w:space="0" w:color="auto"/>
              <w:right w:val="single" w:sz="4" w:space="0" w:color="auto"/>
            </w:tcBorders>
            <w:tcMar>
              <w:top w:w="15" w:type="dxa"/>
              <w:left w:w="15" w:type="dxa"/>
              <w:bottom w:w="0" w:type="dxa"/>
              <w:right w:w="15" w:type="dxa"/>
            </w:tcMar>
            <w:vAlign w:val="center"/>
          </w:tcPr>
          <w:p w:rsidR="000239D5" w:rsidRDefault="000239D5">
            <w:pPr>
              <w:pStyle w:val="20"/>
              <w:spacing w:before="0" w:line="360" w:lineRule="auto"/>
              <w:ind w:firstLineChars="0" w:firstLine="0"/>
              <w:jc w:val="center"/>
              <w:outlineLvl w:val="9"/>
              <w:rPr>
                <w:rFonts w:ascii="宋体" w:eastAsia="宋体" w:hAnsi="宋体"/>
                <w:sz w:val="24"/>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239D5" w:rsidRDefault="0066264B">
            <w:pPr>
              <w:spacing w:line="360" w:lineRule="auto"/>
              <w:jc w:val="center"/>
              <w:rPr>
                <w:rFonts w:ascii="宋体" w:hAnsi="宋体"/>
                <w:sz w:val="24"/>
              </w:rPr>
            </w:pPr>
            <w:r>
              <w:rPr>
                <w:rFonts w:ascii="宋体" w:hAnsi="宋体" w:hint="eastAsia"/>
                <w:sz w:val="24"/>
              </w:rPr>
              <w:t>30天≤Y＜365天</w:t>
            </w:r>
          </w:p>
        </w:tc>
        <w:tc>
          <w:tcPr>
            <w:tcW w:w="3643" w:type="dxa"/>
            <w:tcBorders>
              <w:top w:val="single" w:sz="4" w:space="0" w:color="auto"/>
              <w:left w:val="single" w:sz="4" w:space="0" w:color="auto"/>
              <w:bottom w:val="single" w:sz="4" w:space="0" w:color="auto"/>
              <w:right w:val="single" w:sz="4" w:space="0" w:color="auto"/>
            </w:tcBorders>
            <w:vAlign w:val="center"/>
          </w:tcPr>
          <w:p w:rsidR="000239D5" w:rsidRDefault="0066264B">
            <w:pPr>
              <w:spacing w:line="360" w:lineRule="auto"/>
              <w:jc w:val="center"/>
              <w:rPr>
                <w:rFonts w:ascii="宋体" w:hAnsi="宋体"/>
                <w:sz w:val="24"/>
              </w:rPr>
            </w:pPr>
            <w:r>
              <w:rPr>
                <w:rFonts w:ascii="宋体" w:hAnsi="宋体" w:hint="eastAsia"/>
                <w:sz w:val="24"/>
              </w:rPr>
              <w:t>0.50%</w:t>
            </w:r>
          </w:p>
        </w:tc>
      </w:tr>
      <w:tr w:rsidR="000239D5">
        <w:trPr>
          <w:trHeight w:val="285"/>
          <w:jc w:val="center"/>
        </w:trPr>
        <w:tc>
          <w:tcPr>
            <w:tcW w:w="1433" w:type="dxa"/>
            <w:vMerge/>
            <w:tcBorders>
              <w:left w:val="single" w:sz="4" w:space="0" w:color="auto"/>
              <w:right w:val="single" w:sz="4" w:space="0" w:color="auto"/>
            </w:tcBorders>
            <w:tcMar>
              <w:top w:w="15" w:type="dxa"/>
              <w:left w:w="15" w:type="dxa"/>
              <w:bottom w:w="0" w:type="dxa"/>
              <w:right w:w="15" w:type="dxa"/>
            </w:tcMar>
            <w:vAlign w:val="center"/>
          </w:tcPr>
          <w:p w:rsidR="000239D5" w:rsidRDefault="000239D5">
            <w:pPr>
              <w:pStyle w:val="20"/>
              <w:spacing w:before="0" w:line="360" w:lineRule="auto"/>
              <w:ind w:firstLineChars="0" w:firstLine="0"/>
              <w:jc w:val="center"/>
              <w:outlineLvl w:val="9"/>
              <w:rPr>
                <w:rFonts w:ascii="宋体" w:eastAsia="宋体" w:hAnsi="宋体"/>
                <w:sz w:val="24"/>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239D5" w:rsidRDefault="0066264B">
            <w:pPr>
              <w:spacing w:line="360" w:lineRule="auto"/>
              <w:jc w:val="center"/>
              <w:rPr>
                <w:rFonts w:ascii="宋体" w:hAnsi="宋体"/>
                <w:sz w:val="24"/>
              </w:rPr>
            </w:pPr>
            <w:r>
              <w:rPr>
                <w:rFonts w:ascii="宋体" w:hAnsi="宋体" w:hint="eastAsia"/>
                <w:sz w:val="24"/>
              </w:rPr>
              <w:t>365天≤Y＜730天</w:t>
            </w:r>
          </w:p>
        </w:tc>
        <w:tc>
          <w:tcPr>
            <w:tcW w:w="3643" w:type="dxa"/>
            <w:tcBorders>
              <w:top w:val="single" w:sz="4" w:space="0" w:color="auto"/>
              <w:left w:val="single" w:sz="4" w:space="0" w:color="auto"/>
              <w:bottom w:val="single" w:sz="4" w:space="0" w:color="auto"/>
              <w:right w:val="single" w:sz="4" w:space="0" w:color="auto"/>
            </w:tcBorders>
            <w:vAlign w:val="center"/>
          </w:tcPr>
          <w:p w:rsidR="000239D5" w:rsidRDefault="0066264B">
            <w:pPr>
              <w:spacing w:line="360" w:lineRule="auto"/>
              <w:jc w:val="center"/>
              <w:rPr>
                <w:rFonts w:ascii="宋体" w:hAnsi="宋体"/>
                <w:sz w:val="24"/>
              </w:rPr>
            </w:pPr>
            <w:r>
              <w:rPr>
                <w:rFonts w:ascii="宋体" w:hAnsi="宋体" w:hint="eastAsia"/>
                <w:sz w:val="24"/>
              </w:rPr>
              <w:t>0.25%</w:t>
            </w:r>
          </w:p>
        </w:tc>
      </w:tr>
      <w:tr w:rsidR="000239D5">
        <w:trPr>
          <w:trHeight w:val="285"/>
          <w:jc w:val="center"/>
        </w:trPr>
        <w:tc>
          <w:tcPr>
            <w:tcW w:w="1433"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0239D5" w:rsidRDefault="000239D5">
            <w:pPr>
              <w:pStyle w:val="20"/>
              <w:spacing w:before="0" w:line="360" w:lineRule="auto"/>
              <w:ind w:firstLineChars="0" w:firstLine="0"/>
              <w:jc w:val="center"/>
              <w:outlineLvl w:val="9"/>
              <w:rPr>
                <w:rFonts w:ascii="宋体" w:eastAsia="宋体" w:hAnsi="宋体"/>
                <w:sz w:val="24"/>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239D5" w:rsidRDefault="0066264B">
            <w:pPr>
              <w:spacing w:line="360" w:lineRule="auto"/>
              <w:jc w:val="center"/>
              <w:rPr>
                <w:rFonts w:ascii="宋体" w:hAnsi="宋体"/>
                <w:sz w:val="24"/>
              </w:rPr>
            </w:pPr>
            <w:r>
              <w:rPr>
                <w:rFonts w:ascii="宋体" w:hAnsi="宋体" w:hint="eastAsia"/>
                <w:sz w:val="24"/>
              </w:rPr>
              <w:t>Y≥730天</w:t>
            </w:r>
          </w:p>
        </w:tc>
        <w:tc>
          <w:tcPr>
            <w:tcW w:w="3643" w:type="dxa"/>
            <w:tcBorders>
              <w:top w:val="single" w:sz="4" w:space="0" w:color="auto"/>
              <w:left w:val="single" w:sz="4" w:space="0" w:color="auto"/>
              <w:bottom w:val="single" w:sz="4" w:space="0" w:color="auto"/>
              <w:right w:val="single" w:sz="4" w:space="0" w:color="auto"/>
            </w:tcBorders>
            <w:vAlign w:val="center"/>
          </w:tcPr>
          <w:p w:rsidR="000239D5" w:rsidRDefault="0066264B">
            <w:pPr>
              <w:spacing w:line="360" w:lineRule="auto"/>
              <w:jc w:val="center"/>
              <w:rPr>
                <w:rFonts w:ascii="宋体" w:hAnsi="宋体"/>
                <w:sz w:val="24"/>
              </w:rPr>
            </w:pPr>
            <w:r>
              <w:rPr>
                <w:rFonts w:ascii="宋体" w:hAnsi="宋体" w:hint="eastAsia"/>
                <w:sz w:val="24"/>
              </w:rPr>
              <w:t>0</w:t>
            </w:r>
          </w:p>
        </w:tc>
      </w:tr>
    </w:tbl>
    <w:p w:rsidR="000239D5" w:rsidRPr="00767C5F" w:rsidRDefault="0066264B" w:rsidP="00767C5F">
      <w:pPr>
        <w:adjustRightInd w:val="0"/>
        <w:snapToGrid w:val="0"/>
        <w:spacing w:line="360" w:lineRule="auto"/>
        <w:ind w:firstLineChars="200" w:firstLine="480"/>
        <w:rPr>
          <w:rFonts w:ascii="宋体" w:hAnsi="宋体" w:cs="宋体"/>
          <w:color w:val="000000"/>
          <w:kern w:val="0"/>
          <w:sz w:val="24"/>
          <w:szCs w:val="24"/>
        </w:rPr>
      </w:pPr>
      <w:r w:rsidRPr="00767C5F">
        <w:rPr>
          <w:rFonts w:ascii="宋体" w:hAnsi="宋体" w:cs="宋体" w:hint="eastAsia"/>
          <w:color w:val="000000"/>
          <w:kern w:val="0"/>
          <w:sz w:val="24"/>
          <w:szCs w:val="24"/>
        </w:rPr>
        <w:t>本基金的赎回费用由赎回基金份额的基金份额持有人承担，赎回费用在基金份额持有人赎回本基金份额时收取。赎回费未归入基金财产的部分用于支付登记费和其他必要的手续费。</w:t>
      </w:r>
    </w:p>
    <w:p w:rsidR="00D414D4" w:rsidRDefault="0066264B" w:rsidP="009F6F27">
      <w:pPr>
        <w:adjustRightInd w:val="0"/>
        <w:snapToGrid w:val="0"/>
        <w:spacing w:line="360" w:lineRule="auto"/>
        <w:ind w:firstLineChars="200" w:firstLine="480"/>
        <w:rPr>
          <w:rFonts w:ascii="宋体" w:hAnsi="宋体"/>
          <w:sz w:val="24"/>
          <w:szCs w:val="20"/>
        </w:rPr>
      </w:pPr>
      <w:r w:rsidRPr="009F6F27">
        <w:rPr>
          <w:rFonts w:ascii="宋体" w:hAnsi="宋体" w:cs="宋体" w:hint="eastAsia"/>
          <w:color w:val="000000"/>
          <w:kern w:val="0"/>
          <w:sz w:val="24"/>
          <w:szCs w:val="24"/>
        </w:rPr>
        <w:t>对持续持有期少于</w:t>
      </w:r>
      <w:r w:rsidRPr="009F6F27">
        <w:rPr>
          <w:rFonts w:ascii="宋体" w:hAnsi="宋体" w:cs="宋体"/>
          <w:color w:val="000000"/>
          <w:kern w:val="0"/>
          <w:sz w:val="24"/>
          <w:szCs w:val="24"/>
        </w:rPr>
        <w:t>30天的投资人收取的赎回费，将全额计入基金财产；对持续持有期大于或等于30天但少于90天的投资人收取的赎回费，将赎回费总额的75%计入基金财产；对持续持有期大于或等于90天但少于180天的投资人收取的赎回费，将赎回费总额的50%计入基金财产；对持续持有期大于或等于180天的投资人，将赎回费总额的25%归入基金财产。未计入基金财产的部分用于支付注册登记费等相关手续费</w:t>
      </w:r>
      <w:r>
        <w:rPr>
          <w:rFonts w:ascii="宋体" w:hAnsi="宋体" w:hint="eastAsia"/>
          <w:sz w:val="24"/>
          <w:szCs w:val="20"/>
        </w:rPr>
        <w:t>。</w:t>
      </w:r>
    </w:p>
    <w:p w:rsidR="000239D5" w:rsidRDefault="0066264B" w:rsidP="009F6F27">
      <w:pPr>
        <w:adjustRightInd w:val="0"/>
        <w:snapToGri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在本基金进入清算程序前，基金份额持有人申请赎回或转换转出其持有的基金份额时，仍需按照《基金合同》约定的方式进行。如果发生了巨额赎回或可以暂停赎回的情形，基金管理人仍然可以根据本基金当时的资产组合状况决定全额赎回或部分延期赎回，或暂停接受基金的赎回申请。同时，基金管理人也会提前</w:t>
      </w:r>
      <w:r>
        <w:rPr>
          <w:rFonts w:ascii="宋体" w:hAnsi="宋体" w:cs="宋体" w:hint="eastAsia"/>
          <w:color w:val="000000"/>
          <w:kern w:val="0"/>
          <w:sz w:val="24"/>
          <w:szCs w:val="24"/>
        </w:rPr>
        <w:lastRenderedPageBreak/>
        <w:t>做好流动性安排，对资产进行变现以应对可能出现的赎回情况。</w:t>
      </w:r>
    </w:p>
    <w:p w:rsidR="000239D5" w:rsidRDefault="0066264B" w:rsidP="009F6F27">
      <w:pPr>
        <w:adjustRightInd w:val="0"/>
        <w:snapToGri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本基金将</w:t>
      </w:r>
      <w:r>
        <w:rPr>
          <w:rFonts w:ascii="宋体" w:hAnsi="宋体" w:cs="宋体"/>
          <w:color w:val="000000"/>
          <w:kern w:val="0"/>
          <w:sz w:val="24"/>
          <w:szCs w:val="24"/>
        </w:rPr>
        <w:t>自2021年</w:t>
      </w:r>
      <w:r w:rsidR="0037011F">
        <w:rPr>
          <w:rFonts w:ascii="宋体" w:hAnsi="宋体" w:cs="宋体"/>
          <w:color w:val="000000"/>
          <w:kern w:val="0"/>
          <w:sz w:val="24"/>
          <w:szCs w:val="24"/>
        </w:rPr>
        <w:t>7</w:t>
      </w:r>
      <w:r>
        <w:rPr>
          <w:rFonts w:ascii="宋体" w:hAnsi="宋体" w:cs="宋体"/>
          <w:color w:val="000000"/>
          <w:kern w:val="0"/>
          <w:sz w:val="24"/>
          <w:szCs w:val="24"/>
        </w:rPr>
        <w:t>月</w:t>
      </w:r>
      <w:r w:rsidR="0037011F">
        <w:rPr>
          <w:rFonts w:ascii="宋体" w:hAnsi="宋体" w:cs="宋体"/>
          <w:color w:val="000000"/>
          <w:kern w:val="0"/>
          <w:sz w:val="24"/>
          <w:szCs w:val="24"/>
        </w:rPr>
        <w:t>29</w:t>
      </w:r>
      <w:r>
        <w:rPr>
          <w:rFonts w:ascii="宋体" w:hAnsi="宋体" w:cs="宋体" w:hint="eastAsia"/>
          <w:color w:val="000000"/>
          <w:kern w:val="0"/>
          <w:sz w:val="24"/>
          <w:szCs w:val="24"/>
        </w:rPr>
        <w:t>日起进入清算程序并终止办理本基金基金份额的申购、赎回、</w:t>
      </w:r>
      <w:r>
        <w:rPr>
          <w:rFonts w:ascii="宋体" w:hAnsi="宋体" w:cs="宋体"/>
          <w:color w:val="000000"/>
          <w:kern w:val="0"/>
          <w:sz w:val="24"/>
          <w:szCs w:val="24"/>
        </w:rPr>
        <w:t>定期定额投资</w:t>
      </w:r>
      <w:r>
        <w:rPr>
          <w:rFonts w:ascii="宋体" w:hAnsi="宋体" w:cs="宋体" w:hint="eastAsia"/>
          <w:color w:val="000000"/>
          <w:kern w:val="0"/>
          <w:sz w:val="24"/>
          <w:szCs w:val="24"/>
        </w:rPr>
        <w:t>以及转换业务。本基金进入清算程序后，不再计提本基金</w:t>
      </w:r>
      <w:r>
        <w:rPr>
          <w:rFonts w:ascii="宋体" w:hAnsi="宋体" w:cs="宋体"/>
          <w:color w:val="000000"/>
          <w:kern w:val="0"/>
          <w:sz w:val="24"/>
          <w:szCs w:val="24"/>
        </w:rPr>
        <w:t>的</w:t>
      </w:r>
      <w:r>
        <w:rPr>
          <w:rFonts w:ascii="宋体" w:hAnsi="宋体" w:cs="宋体" w:hint="eastAsia"/>
          <w:color w:val="000000"/>
          <w:kern w:val="0"/>
          <w:sz w:val="24"/>
          <w:szCs w:val="24"/>
        </w:rPr>
        <w:t>基金管理费和基金托管费。</w:t>
      </w:r>
    </w:p>
    <w:p w:rsidR="000239D5" w:rsidRDefault="0066264B">
      <w:pPr>
        <w:spacing w:line="360" w:lineRule="auto"/>
        <w:ind w:firstLine="420"/>
        <w:rPr>
          <w:rFonts w:ascii="宋体" w:hAnsi="宋体" w:cs="宋体"/>
          <w:color w:val="000000"/>
          <w:kern w:val="0"/>
          <w:sz w:val="24"/>
          <w:szCs w:val="24"/>
        </w:rPr>
      </w:pPr>
      <w:bookmarkStart w:id="2" w:name="_Hlk49789001"/>
      <w:r>
        <w:rPr>
          <w:rFonts w:ascii="宋体" w:hAnsi="宋体" w:cs="宋体" w:hint="eastAsia"/>
          <w:color w:val="000000"/>
          <w:kern w:val="0"/>
          <w:sz w:val="24"/>
          <w:szCs w:val="24"/>
        </w:rPr>
        <w:t>2、基金管理人将组织基金财产清算小组并在中国证监会的监督下进行基金清算。基金财产清算小组成员由基金管理人、基金托管人、</w:t>
      </w:r>
      <w:r w:rsidR="00D43363">
        <w:rPr>
          <w:rFonts w:ascii="宋体" w:hAnsi="宋体" w:cs="宋体" w:hint="eastAsia"/>
          <w:color w:val="000000"/>
          <w:kern w:val="0"/>
          <w:sz w:val="24"/>
          <w:szCs w:val="24"/>
        </w:rPr>
        <w:t>符合《中华人民共和国证券法》规定</w:t>
      </w:r>
      <w:r w:rsidR="009F6F27">
        <w:rPr>
          <w:rFonts w:ascii="宋体" w:hAnsi="宋体"/>
          <w:bCs/>
          <w:sz w:val="24"/>
        </w:rPr>
        <w:t>的</w:t>
      </w:r>
      <w:r>
        <w:rPr>
          <w:rFonts w:ascii="宋体" w:hAnsi="宋体" w:cs="宋体" w:hint="eastAsia"/>
          <w:color w:val="000000"/>
          <w:kern w:val="0"/>
          <w:sz w:val="24"/>
          <w:szCs w:val="24"/>
        </w:rPr>
        <w:t>注册会计师、律师组成。基金财产清算小组可以聘用必要的工作人员。</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3、基金财产清算小组负责基金财产的保管、清理、估价、变现和分配。基金财产清算小组可以依法进行必要的民事活动。</w:t>
      </w:r>
    </w:p>
    <w:p w:rsidR="000239D5" w:rsidRDefault="0066264B">
      <w:pPr>
        <w:spacing w:line="360" w:lineRule="auto"/>
        <w:ind w:firstLine="420"/>
        <w:rPr>
          <w:rFonts w:ascii="宋体" w:hAns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、基金财产清算程序</w:t>
      </w:r>
    </w:p>
    <w:p w:rsidR="000239D5" w:rsidRDefault="0066264B">
      <w:pPr>
        <w:spacing w:line="360" w:lineRule="auto"/>
        <w:ind w:firstLine="420"/>
        <w:rPr>
          <w:rFonts w:ascii="宋体" w:hAns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）《基金合同》终止情形出现时，由基金财产清算小组统一接管基金；</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）对基金财产和债权债务进行清理和确认；</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）对基金财产进行估值和变现；</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4</w:t>
      </w:r>
      <w:r>
        <w:rPr>
          <w:rFonts w:ascii="宋体" w:hAnsi="宋体" w:cs="宋体" w:hint="eastAsia"/>
          <w:color w:val="000000"/>
          <w:kern w:val="0"/>
          <w:sz w:val="24"/>
          <w:szCs w:val="24"/>
        </w:rPr>
        <w:t>）制作清算报告；</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5</w:t>
      </w:r>
      <w:r>
        <w:rPr>
          <w:rFonts w:ascii="宋体" w:hAnsi="宋体" w:cs="宋体" w:hint="eastAsia"/>
          <w:color w:val="000000"/>
          <w:kern w:val="0"/>
          <w:sz w:val="24"/>
          <w:szCs w:val="24"/>
        </w:rPr>
        <w:t>）聘请会计师事务所对清算报告进行外部审计，聘请律师事务所对清算报告出具法律意见书；</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6</w:t>
      </w:r>
      <w:r>
        <w:rPr>
          <w:rFonts w:ascii="宋体" w:hAnsi="宋体" w:cs="宋体" w:hint="eastAsia"/>
          <w:color w:val="000000"/>
          <w:kern w:val="0"/>
          <w:sz w:val="24"/>
          <w:szCs w:val="24"/>
        </w:rPr>
        <w:t>）将清算报告报中国证监会备案并公告；</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7</w:t>
      </w:r>
      <w:r>
        <w:rPr>
          <w:rFonts w:ascii="宋体" w:hAnsi="宋体" w:cs="宋体" w:hint="eastAsia"/>
          <w:color w:val="000000"/>
          <w:kern w:val="0"/>
          <w:sz w:val="24"/>
          <w:szCs w:val="24"/>
        </w:rPr>
        <w:t>）对基金剩余财产进行分配。</w:t>
      </w:r>
    </w:p>
    <w:p w:rsidR="00D43363" w:rsidRDefault="00D43363">
      <w:pPr>
        <w:spacing w:line="360" w:lineRule="auto"/>
        <w:ind w:firstLine="420"/>
        <w:rPr>
          <w:rFonts w:ascii="宋体" w:hAnsi="宋体" w:cs="宋体"/>
          <w:color w:val="000000"/>
          <w:kern w:val="0"/>
          <w:sz w:val="24"/>
          <w:szCs w:val="24"/>
        </w:rPr>
      </w:pPr>
      <w:r>
        <w:rPr>
          <w:rFonts w:ascii="宋体" w:hAnsi="宋体" w:cs="宋体"/>
          <w:color w:val="000000"/>
          <w:kern w:val="0"/>
          <w:sz w:val="24"/>
          <w:szCs w:val="24"/>
        </w:rPr>
        <w:t>5</w:t>
      </w:r>
      <w:r w:rsidRPr="00D43363">
        <w:rPr>
          <w:rFonts w:ascii="宋体" w:hAnsi="宋体" w:cs="宋体" w:hint="eastAsia"/>
          <w:color w:val="000000"/>
          <w:kern w:val="0"/>
          <w:sz w:val="24"/>
          <w:szCs w:val="24"/>
        </w:rPr>
        <w:t>、基金财产清算的期限为6个月，因本基金所持证券的流动性受到限制而不能及时变现的，清算期限相应顺延。</w:t>
      </w:r>
    </w:p>
    <w:p w:rsidR="000239D5" w:rsidRDefault="00D43363">
      <w:pPr>
        <w:spacing w:line="360" w:lineRule="auto"/>
        <w:ind w:firstLine="420"/>
        <w:rPr>
          <w:rFonts w:ascii="宋体" w:hAnsi="宋体" w:cs="宋体"/>
          <w:color w:val="000000"/>
          <w:kern w:val="0"/>
          <w:sz w:val="24"/>
          <w:szCs w:val="24"/>
        </w:rPr>
      </w:pPr>
      <w:r>
        <w:rPr>
          <w:rFonts w:ascii="宋体" w:hAnsi="宋体" w:cs="宋体"/>
          <w:color w:val="000000"/>
          <w:kern w:val="0"/>
          <w:sz w:val="24"/>
          <w:szCs w:val="24"/>
        </w:rPr>
        <w:t>6</w:t>
      </w:r>
      <w:r w:rsidR="0066264B">
        <w:rPr>
          <w:rFonts w:ascii="宋体" w:hAnsi="宋体" w:cs="宋体" w:hint="eastAsia"/>
          <w:color w:val="000000"/>
          <w:kern w:val="0"/>
          <w:sz w:val="24"/>
          <w:szCs w:val="24"/>
        </w:rPr>
        <w:t>、清算费用</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按照《基金合同》“第十九部分 基金合同的变更、终止与基金财产的清算”的约定，清算费用是指基金财产清算小组在进行基金清算过程中发生的所有合理费用，清算费用由基金财产清算小组优先从基金剩余财产中支付。</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考虑到本基金的实际情况，从保护基金份额持有人利益的角度出发，本基金清算期间的审计费、律师费将由本基金管理人承担。</w:t>
      </w:r>
    </w:p>
    <w:p w:rsidR="000239D5" w:rsidRDefault="0066264B">
      <w:pPr>
        <w:spacing w:line="360" w:lineRule="auto"/>
        <w:ind w:firstLine="420"/>
        <w:rPr>
          <w:rFonts w:ascii="宋体" w:hAnsi="宋体" w:cs="宋体"/>
          <w:b/>
          <w:color w:val="000000"/>
          <w:kern w:val="0"/>
          <w:sz w:val="24"/>
          <w:szCs w:val="24"/>
        </w:rPr>
      </w:pPr>
      <w:r>
        <w:rPr>
          <w:rFonts w:ascii="宋体" w:hAnsi="宋体" w:cs="宋体" w:hint="eastAsia"/>
          <w:b/>
          <w:color w:val="000000"/>
          <w:kern w:val="0"/>
          <w:sz w:val="24"/>
          <w:szCs w:val="24"/>
        </w:rPr>
        <w:t>四、基金财产清算剩余资产的分配</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0239D5" w:rsidRDefault="0066264B">
      <w:pPr>
        <w:spacing w:line="360" w:lineRule="auto"/>
        <w:ind w:firstLine="420"/>
        <w:rPr>
          <w:rFonts w:ascii="宋体" w:hAnsi="宋体" w:cs="宋体"/>
          <w:b/>
          <w:color w:val="000000"/>
          <w:kern w:val="0"/>
          <w:sz w:val="24"/>
          <w:szCs w:val="24"/>
        </w:rPr>
      </w:pPr>
      <w:r>
        <w:rPr>
          <w:rFonts w:ascii="宋体" w:hAnsi="宋体" w:cs="宋体" w:hint="eastAsia"/>
          <w:b/>
          <w:color w:val="000000"/>
          <w:kern w:val="0"/>
          <w:sz w:val="24"/>
          <w:szCs w:val="24"/>
        </w:rPr>
        <w:t>五、基金财产清算公告</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清算过程中的有关重大事项须及时公告；基金财产清算报告经</w:t>
      </w:r>
      <w:r w:rsidR="00D43363">
        <w:rPr>
          <w:rFonts w:ascii="宋体" w:hAnsi="宋体" w:cs="宋体" w:hint="eastAsia"/>
          <w:color w:val="000000"/>
          <w:kern w:val="0"/>
          <w:sz w:val="24"/>
          <w:szCs w:val="24"/>
        </w:rPr>
        <w:t>符合《中华人民共和国证券法》规定</w:t>
      </w:r>
      <w:r w:rsidR="009F6F27">
        <w:rPr>
          <w:rFonts w:ascii="宋体" w:hAnsi="宋体"/>
          <w:bCs/>
          <w:sz w:val="24"/>
        </w:rPr>
        <w:t>的</w:t>
      </w:r>
      <w:r>
        <w:rPr>
          <w:rFonts w:ascii="宋体" w:hAnsi="宋体" w:cs="宋体" w:hint="eastAsia"/>
          <w:color w:val="000000"/>
          <w:kern w:val="0"/>
          <w:sz w:val="24"/>
          <w:szCs w:val="24"/>
        </w:rPr>
        <w:t>会计师事务所审计，律师事务所出具法律意见书后，由</w:t>
      </w:r>
      <w:r>
        <w:rPr>
          <w:rFonts w:ascii="宋体" w:hAnsi="宋体" w:cs="宋体"/>
          <w:color w:val="000000"/>
          <w:kern w:val="0"/>
          <w:sz w:val="24"/>
          <w:szCs w:val="24"/>
        </w:rPr>
        <w:t>基金财产清算小组</w:t>
      </w:r>
      <w:r>
        <w:rPr>
          <w:rFonts w:ascii="宋体" w:hAnsi="宋体" w:cs="宋体" w:hint="eastAsia"/>
          <w:color w:val="000000"/>
          <w:kern w:val="0"/>
          <w:sz w:val="24"/>
          <w:szCs w:val="24"/>
        </w:rPr>
        <w:t>报中国证监会备案并公告。基金财产清算小组应当将清算报告登载在规定网站上，并将清算报告提示性公告登载在规定报刊上。</w:t>
      </w:r>
    </w:p>
    <w:p w:rsidR="000239D5" w:rsidRDefault="0066264B">
      <w:pPr>
        <w:spacing w:line="360" w:lineRule="auto"/>
        <w:ind w:firstLine="420"/>
        <w:rPr>
          <w:rFonts w:ascii="宋体" w:hAnsi="宋体" w:cs="宋体"/>
          <w:b/>
          <w:color w:val="000000"/>
          <w:kern w:val="0"/>
          <w:sz w:val="24"/>
          <w:szCs w:val="24"/>
        </w:rPr>
      </w:pPr>
      <w:r>
        <w:rPr>
          <w:rFonts w:ascii="宋体" w:hAnsi="宋体" w:cs="宋体" w:hint="eastAsia"/>
          <w:b/>
          <w:color w:val="000000"/>
          <w:kern w:val="0"/>
          <w:sz w:val="24"/>
          <w:szCs w:val="24"/>
        </w:rPr>
        <w:t>六、基金财产清算账册及文件的保存</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基金财产清算账册及有关文件由基金托管人保存，保存期限不少于法律法规的规定。</w:t>
      </w:r>
    </w:p>
    <w:bookmarkEnd w:id="2"/>
    <w:p w:rsidR="000239D5" w:rsidRDefault="0066264B">
      <w:pPr>
        <w:spacing w:line="360" w:lineRule="auto"/>
        <w:ind w:firstLine="420"/>
        <w:rPr>
          <w:rFonts w:ascii="宋体" w:hAnsi="宋体" w:cs="宋体"/>
          <w:b/>
          <w:color w:val="000000"/>
          <w:kern w:val="0"/>
          <w:sz w:val="24"/>
          <w:szCs w:val="24"/>
        </w:rPr>
      </w:pPr>
      <w:r>
        <w:rPr>
          <w:rFonts w:ascii="宋体" w:hAnsi="宋体" w:cs="宋体" w:hint="eastAsia"/>
          <w:b/>
          <w:color w:val="000000"/>
          <w:kern w:val="0"/>
          <w:sz w:val="24"/>
          <w:szCs w:val="24"/>
        </w:rPr>
        <w:t>七、其他</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1、本基金进入清算程序后不再开放办理本基金份额的申购、赎回、</w:t>
      </w:r>
      <w:r>
        <w:rPr>
          <w:rFonts w:ascii="宋体" w:hAnsi="宋体" w:cs="宋体"/>
          <w:color w:val="000000"/>
          <w:kern w:val="0"/>
          <w:sz w:val="24"/>
          <w:szCs w:val="24"/>
        </w:rPr>
        <w:t>定期定额投资</w:t>
      </w:r>
      <w:r>
        <w:rPr>
          <w:rFonts w:ascii="宋体" w:hAnsi="宋体" w:cs="宋体" w:hint="eastAsia"/>
          <w:color w:val="000000"/>
          <w:kern w:val="0"/>
          <w:sz w:val="24"/>
          <w:szCs w:val="24"/>
        </w:rPr>
        <w:t>以及转换业务。敬请投资者予以关注。本公司承诺在清算过程中以诚实信用、勤勉尽责的原则履行相关职责。</w:t>
      </w:r>
    </w:p>
    <w:p w:rsidR="000239D5" w:rsidRDefault="0066264B">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2、相关法律法规关于信息披露的披露方式、登载媒介、报备方式等规定发生变化时，本基金从其最新规定。</w:t>
      </w:r>
    </w:p>
    <w:p w:rsidR="000239D5" w:rsidRDefault="0066264B">
      <w:pPr>
        <w:spacing w:line="360" w:lineRule="auto"/>
        <w:ind w:firstLine="420"/>
        <w:rPr>
          <w:rFonts w:ascii="宋体" w:hAns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、投资者可以登录基金管理人网站（www.yhfund.com.cn）或拨打客服电话400-678-3333咨询相关情况。</w:t>
      </w:r>
    </w:p>
    <w:p w:rsidR="000239D5" w:rsidRDefault="000239D5">
      <w:pPr>
        <w:spacing w:line="360" w:lineRule="auto"/>
        <w:rPr>
          <w:sz w:val="24"/>
          <w:szCs w:val="24"/>
        </w:rPr>
      </w:pPr>
    </w:p>
    <w:p w:rsidR="000239D5" w:rsidRDefault="0066264B">
      <w:pPr>
        <w:spacing w:line="360" w:lineRule="auto"/>
        <w:ind w:firstLine="420"/>
        <w:rPr>
          <w:sz w:val="24"/>
          <w:szCs w:val="24"/>
        </w:rPr>
      </w:pPr>
      <w:r>
        <w:rPr>
          <w:rFonts w:hint="eastAsia"/>
          <w:sz w:val="24"/>
          <w:szCs w:val="24"/>
        </w:rPr>
        <w:t>特此公告。</w:t>
      </w:r>
    </w:p>
    <w:p w:rsidR="000239D5" w:rsidRDefault="000239D5">
      <w:pPr>
        <w:spacing w:line="360" w:lineRule="auto"/>
        <w:ind w:firstLine="420"/>
      </w:pPr>
    </w:p>
    <w:p w:rsidR="000239D5" w:rsidRDefault="000239D5"/>
    <w:p w:rsidR="000239D5" w:rsidRDefault="0066264B">
      <w:pPr>
        <w:tabs>
          <w:tab w:val="left" w:pos="6450"/>
        </w:tabs>
        <w:spacing w:line="360" w:lineRule="auto"/>
        <w:ind w:right="105"/>
        <w:jc w:val="right"/>
        <w:rPr>
          <w:sz w:val="24"/>
          <w:szCs w:val="24"/>
        </w:rPr>
      </w:pPr>
      <w:r>
        <w:rPr>
          <w:rFonts w:hint="eastAsia"/>
          <w:sz w:val="24"/>
          <w:szCs w:val="24"/>
        </w:rPr>
        <w:t>银华基金管理股份有限公司</w:t>
      </w:r>
    </w:p>
    <w:p w:rsidR="000239D5" w:rsidRDefault="0066264B">
      <w:pPr>
        <w:tabs>
          <w:tab w:val="left" w:pos="6345"/>
        </w:tabs>
        <w:spacing w:line="360" w:lineRule="auto"/>
        <w:rPr>
          <w:sz w:val="24"/>
          <w:szCs w:val="24"/>
        </w:rPr>
      </w:pPr>
      <w:r>
        <w:rPr>
          <w:sz w:val="24"/>
          <w:szCs w:val="24"/>
        </w:rPr>
        <w:tab/>
      </w:r>
      <w:r>
        <w:rPr>
          <w:rFonts w:hint="eastAsia"/>
          <w:sz w:val="24"/>
          <w:szCs w:val="24"/>
        </w:rPr>
        <w:t>20</w:t>
      </w:r>
      <w:r>
        <w:rPr>
          <w:sz w:val="24"/>
          <w:szCs w:val="24"/>
        </w:rPr>
        <w:t>21</w:t>
      </w:r>
      <w:r>
        <w:rPr>
          <w:rFonts w:hint="eastAsia"/>
          <w:sz w:val="24"/>
          <w:szCs w:val="24"/>
        </w:rPr>
        <w:t>年</w:t>
      </w:r>
      <w:r w:rsidR="00532D36">
        <w:rPr>
          <w:sz w:val="24"/>
          <w:szCs w:val="24"/>
        </w:rPr>
        <w:t>6</w:t>
      </w:r>
      <w:r>
        <w:rPr>
          <w:rFonts w:hint="eastAsia"/>
          <w:sz w:val="24"/>
          <w:szCs w:val="24"/>
        </w:rPr>
        <w:t>月</w:t>
      </w:r>
      <w:r w:rsidR="00532D36">
        <w:rPr>
          <w:sz w:val="24"/>
          <w:szCs w:val="24"/>
        </w:rPr>
        <w:t>30</w:t>
      </w:r>
      <w:r>
        <w:rPr>
          <w:rFonts w:hint="eastAsia"/>
          <w:sz w:val="24"/>
          <w:szCs w:val="24"/>
        </w:rPr>
        <w:t>日</w:t>
      </w:r>
    </w:p>
    <w:sectPr w:rsidR="000239D5" w:rsidSect="006A153B">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C451A" w16cid:durableId="24299F51"/>
  <w16cid:commentId w16cid:paraId="31189C39" w16cid:durableId="2429A271"/>
  <w16cid:commentId w16cid:paraId="0205E4AE" w16cid:durableId="24299F5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666" w:rsidRDefault="00AE6666" w:rsidP="00446FC5">
      <w:r>
        <w:separator/>
      </w:r>
    </w:p>
  </w:endnote>
  <w:endnote w:type="continuationSeparator" w:id="0">
    <w:p w:rsidR="00AE6666" w:rsidRDefault="00AE6666" w:rsidP="00446F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666" w:rsidRDefault="00AE6666" w:rsidP="00446FC5">
      <w:r>
        <w:separator/>
      </w:r>
    </w:p>
  </w:footnote>
  <w:footnote w:type="continuationSeparator" w:id="0">
    <w:p w:rsidR="00AE6666" w:rsidRDefault="00AE6666" w:rsidP="00446F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882"/>
    <w:rsid w:val="000239D5"/>
    <w:rsid w:val="00034E86"/>
    <w:rsid w:val="00051756"/>
    <w:rsid w:val="0006421B"/>
    <w:rsid w:val="00077C72"/>
    <w:rsid w:val="00094128"/>
    <w:rsid w:val="000A3624"/>
    <w:rsid w:val="000A3B8F"/>
    <w:rsid w:val="000B15C9"/>
    <w:rsid w:val="000B5C26"/>
    <w:rsid w:val="000B71B1"/>
    <w:rsid w:val="000C185F"/>
    <w:rsid w:val="000E0606"/>
    <w:rsid w:val="000F3A2D"/>
    <w:rsid w:val="000F5BBD"/>
    <w:rsid w:val="000F63FC"/>
    <w:rsid w:val="00102219"/>
    <w:rsid w:val="00103C8D"/>
    <w:rsid w:val="00107325"/>
    <w:rsid w:val="00117BD5"/>
    <w:rsid w:val="001237B3"/>
    <w:rsid w:val="00127A11"/>
    <w:rsid w:val="001342E8"/>
    <w:rsid w:val="00150E26"/>
    <w:rsid w:val="00152949"/>
    <w:rsid w:val="001653F0"/>
    <w:rsid w:val="00180591"/>
    <w:rsid w:val="001834A2"/>
    <w:rsid w:val="0019472A"/>
    <w:rsid w:val="00196176"/>
    <w:rsid w:val="001A0FE7"/>
    <w:rsid w:val="001B38F1"/>
    <w:rsid w:val="001D3B0E"/>
    <w:rsid w:val="001D7266"/>
    <w:rsid w:val="001E29CB"/>
    <w:rsid w:val="001E7BE4"/>
    <w:rsid w:val="00222D66"/>
    <w:rsid w:val="00223E82"/>
    <w:rsid w:val="002562AB"/>
    <w:rsid w:val="00264F37"/>
    <w:rsid w:val="00265895"/>
    <w:rsid w:val="00272FF3"/>
    <w:rsid w:val="00274EAE"/>
    <w:rsid w:val="002776F4"/>
    <w:rsid w:val="0028642D"/>
    <w:rsid w:val="002901EE"/>
    <w:rsid w:val="00293070"/>
    <w:rsid w:val="002974BB"/>
    <w:rsid w:val="002B068B"/>
    <w:rsid w:val="002B15EB"/>
    <w:rsid w:val="002C69C3"/>
    <w:rsid w:val="002D4EFC"/>
    <w:rsid w:val="002E1318"/>
    <w:rsid w:val="002E3B86"/>
    <w:rsid w:val="002E5D25"/>
    <w:rsid w:val="002F767F"/>
    <w:rsid w:val="00304A4A"/>
    <w:rsid w:val="0031147A"/>
    <w:rsid w:val="00317CF6"/>
    <w:rsid w:val="0032175B"/>
    <w:rsid w:val="003278F2"/>
    <w:rsid w:val="003402B4"/>
    <w:rsid w:val="003468E3"/>
    <w:rsid w:val="003509C0"/>
    <w:rsid w:val="00355113"/>
    <w:rsid w:val="003700F5"/>
    <w:rsid w:val="0037011F"/>
    <w:rsid w:val="00370C11"/>
    <w:rsid w:val="00375C7B"/>
    <w:rsid w:val="00381028"/>
    <w:rsid w:val="0039182B"/>
    <w:rsid w:val="00397E4D"/>
    <w:rsid w:val="003A0B20"/>
    <w:rsid w:val="003B37B4"/>
    <w:rsid w:val="003C133D"/>
    <w:rsid w:val="003C1A64"/>
    <w:rsid w:val="003E1F40"/>
    <w:rsid w:val="003E2A1B"/>
    <w:rsid w:val="00410EFA"/>
    <w:rsid w:val="00420601"/>
    <w:rsid w:val="004233A3"/>
    <w:rsid w:val="0043586A"/>
    <w:rsid w:val="0044205F"/>
    <w:rsid w:val="00445A45"/>
    <w:rsid w:val="00446FC5"/>
    <w:rsid w:val="00451EF2"/>
    <w:rsid w:val="00452044"/>
    <w:rsid w:val="00461FAF"/>
    <w:rsid w:val="004650A1"/>
    <w:rsid w:val="00493A33"/>
    <w:rsid w:val="0049652E"/>
    <w:rsid w:val="004A1E59"/>
    <w:rsid w:val="004A3283"/>
    <w:rsid w:val="004A6559"/>
    <w:rsid w:val="004B4287"/>
    <w:rsid w:val="004D13EE"/>
    <w:rsid w:val="004E10DE"/>
    <w:rsid w:val="004F4FBD"/>
    <w:rsid w:val="00512157"/>
    <w:rsid w:val="005153BE"/>
    <w:rsid w:val="00532D36"/>
    <w:rsid w:val="00544EDF"/>
    <w:rsid w:val="0054778C"/>
    <w:rsid w:val="00556B54"/>
    <w:rsid w:val="00564F5D"/>
    <w:rsid w:val="00572A92"/>
    <w:rsid w:val="00580D02"/>
    <w:rsid w:val="00587A2D"/>
    <w:rsid w:val="00591FC6"/>
    <w:rsid w:val="00597F96"/>
    <w:rsid w:val="005A6423"/>
    <w:rsid w:val="005F5A89"/>
    <w:rsid w:val="0060201C"/>
    <w:rsid w:val="006214B8"/>
    <w:rsid w:val="0063299F"/>
    <w:rsid w:val="0066264B"/>
    <w:rsid w:val="00674400"/>
    <w:rsid w:val="0067499C"/>
    <w:rsid w:val="006763F8"/>
    <w:rsid w:val="00681A25"/>
    <w:rsid w:val="00681B60"/>
    <w:rsid w:val="00695A7E"/>
    <w:rsid w:val="006A153B"/>
    <w:rsid w:val="006A4B22"/>
    <w:rsid w:val="006B7B7E"/>
    <w:rsid w:val="006E0451"/>
    <w:rsid w:val="00704FF9"/>
    <w:rsid w:val="00713B7B"/>
    <w:rsid w:val="007176B9"/>
    <w:rsid w:val="007324C9"/>
    <w:rsid w:val="00735673"/>
    <w:rsid w:val="00737365"/>
    <w:rsid w:val="00743C28"/>
    <w:rsid w:val="00767C5F"/>
    <w:rsid w:val="00771A90"/>
    <w:rsid w:val="00772D06"/>
    <w:rsid w:val="0077650D"/>
    <w:rsid w:val="007859A2"/>
    <w:rsid w:val="007A2A61"/>
    <w:rsid w:val="007A4B28"/>
    <w:rsid w:val="007B084C"/>
    <w:rsid w:val="007B3746"/>
    <w:rsid w:val="007C3BA4"/>
    <w:rsid w:val="007D5A5B"/>
    <w:rsid w:val="007D6A92"/>
    <w:rsid w:val="007D7190"/>
    <w:rsid w:val="007E521F"/>
    <w:rsid w:val="007E5565"/>
    <w:rsid w:val="007F44FF"/>
    <w:rsid w:val="00803D7A"/>
    <w:rsid w:val="00804364"/>
    <w:rsid w:val="00805EBA"/>
    <w:rsid w:val="00811EC9"/>
    <w:rsid w:val="00813AD5"/>
    <w:rsid w:val="00821216"/>
    <w:rsid w:val="00833E32"/>
    <w:rsid w:val="008468B9"/>
    <w:rsid w:val="008852E5"/>
    <w:rsid w:val="0089318A"/>
    <w:rsid w:val="008933D7"/>
    <w:rsid w:val="00896DF5"/>
    <w:rsid w:val="008F10F3"/>
    <w:rsid w:val="008F4AC3"/>
    <w:rsid w:val="008F6DEC"/>
    <w:rsid w:val="009146CA"/>
    <w:rsid w:val="00914700"/>
    <w:rsid w:val="0092154D"/>
    <w:rsid w:val="009608DA"/>
    <w:rsid w:val="009628D5"/>
    <w:rsid w:val="00965C2A"/>
    <w:rsid w:val="00975190"/>
    <w:rsid w:val="009905F6"/>
    <w:rsid w:val="009934EC"/>
    <w:rsid w:val="00995227"/>
    <w:rsid w:val="009B5FC7"/>
    <w:rsid w:val="009E79C6"/>
    <w:rsid w:val="009F6F27"/>
    <w:rsid w:val="00A02787"/>
    <w:rsid w:val="00A234B7"/>
    <w:rsid w:val="00A37584"/>
    <w:rsid w:val="00A46E35"/>
    <w:rsid w:val="00A52207"/>
    <w:rsid w:val="00A57411"/>
    <w:rsid w:val="00A65FE0"/>
    <w:rsid w:val="00A719A6"/>
    <w:rsid w:val="00A76882"/>
    <w:rsid w:val="00A7708F"/>
    <w:rsid w:val="00A86D0A"/>
    <w:rsid w:val="00AB7C7B"/>
    <w:rsid w:val="00AE6666"/>
    <w:rsid w:val="00AF639E"/>
    <w:rsid w:val="00B077BD"/>
    <w:rsid w:val="00B2305F"/>
    <w:rsid w:val="00B23C7B"/>
    <w:rsid w:val="00B260B2"/>
    <w:rsid w:val="00B410C1"/>
    <w:rsid w:val="00B478B3"/>
    <w:rsid w:val="00B936BB"/>
    <w:rsid w:val="00BA4C83"/>
    <w:rsid w:val="00BB3F93"/>
    <w:rsid w:val="00BB4F2F"/>
    <w:rsid w:val="00BC006E"/>
    <w:rsid w:val="00BC3CC6"/>
    <w:rsid w:val="00BE4DE0"/>
    <w:rsid w:val="00BF5ED2"/>
    <w:rsid w:val="00C015D6"/>
    <w:rsid w:val="00C02B1F"/>
    <w:rsid w:val="00C1216D"/>
    <w:rsid w:val="00C222CB"/>
    <w:rsid w:val="00C52D25"/>
    <w:rsid w:val="00C579C0"/>
    <w:rsid w:val="00C6054B"/>
    <w:rsid w:val="00C618A1"/>
    <w:rsid w:val="00C92435"/>
    <w:rsid w:val="00CA633D"/>
    <w:rsid w:val="00CB2540"/>
    <w:rsid w:val="00CC01EA"/>
    <w:rsid w:val="00D01315"/>
    <w:rsid w:val="00D23795"/>
    <w:rsid w:val="00D414D4"/>
    <w:rsid w:val="00D43363"/>
    <w:rsid w:val="00D45963"/>
    <w:rsid w:val="00D63B36"/>
    <w:rsid w:val="00D73B54"/>
    <w:rsid w:val="00D93285"/>
    <w:rsid w:val="00D94B49"/>
    <w:rsid w:val="00DA1362"/>
    <w:rsid w:val="00DA1DAF"/>
    <w:rsid w:val="00DA7548"/>
    <w:rsid w:val="00DB25E6"/>
    <w:rsid w:val="00DE4A26"/>
    <w:rsid w:val="00DF5151"/>
    <w:rsid w:val="00DF64CF"/>
    <w:rsid w:val="00E305AC"/>
    <w:rsid w:val="00E32E67"/>
    <w:rsid w:val="00E5100B"/>
    <w:rsid w:val="00E51FC7"/>
    <w:rsid w:val="00E57BC9"/>
    <w:rsid w:val="00E73C34"/>
    <w:rsid w:val="00E772C4"/>
    <w:rsid w:val="00E80E5E"/>
    <w:rsid w:val="00E876C3"/>
    <w:rsid w:val="00E94F00"/>
    <w:rsid w:val="00EA0AE8"/>
    <w:rsid w:val="00EC2251"/>
    <w:rsid w:val="00EC5C7C"/>
    <w:rsid w:val="00ED2953"/>
    <w:rsid w:val="00EF0736"/>
    <w:rsid w:val="00EF338D"/>
    <w:rsid w:val="00EF44DC"/>
    <w:rsid w:val="00F02061"/>
    <w:rsid w:val="00F123E9"/>
    <w:rsid w:val="00F151F6"/>
    <w:rsid w:val="00F40DE5"/>
    <w:rsid w:val="00F431E1"/>
    <w:rsid w:val="00F6425A"/>
    <w:rsid w:val="00F659BE"/>
    <w:rsid w:val="00F741BA"/>
    <w:rsid w:val="00F741EE"/>
    <w:rsid w:val="00F75C9C"/>
    <w:rsid w:val="00F82EB0"/>
    <w:rsid w:val="00FB0DEB"/>
    <w:rsid w:val="00FC43CC"/>
    <w:rsid w:val="00FD4CAE"/>
    <w:rsid w:val="00FF0CAF"/>
    <w:rsid w:val="06E05CA9"/>
    <w:rsid w:val="110907A1"/>
    <w:rsid w:val="32B660CD"/>
    <w:rsid w:val="503B56A4"/>
    <w:rsid w:val="520910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A153B"/>
    <w:pPr>
      <w:jc w:val="left"/>
    </w:pPr>
  </w:style>
  <w:style w:type="paragraph" w:styleId="2">
    <w:name w:val="Body Text Indent 2"/>
    <w:basedOn w:val="a"/>
    <w:link w:val="2Char"/>
    <w:rsid w:val="006A153B"/>
    <w:pPr>
      <w:spacing w:line="360" w:lineRule="auto"/>
      <w:ind w:firstLineChars="200" w:firstLine="420"/>
    </w:pPr>
    <w:rPr>
      <w:rFonts w:ascii="宋体" w:hAnsi="宋体"/>
    </w:rPr>
  </w:style>
  <w:style w:type="paragraph" w:styleId="a4">
    <w:name w:val="Balloon Text"/>
    <w:basedOn w:val="a"/>
    <w:link w:val="Char0"/>
    <w:uiPriority w:val="99"/>
    <w:semiHidden/>
    <w:unhideWhenUsed/>
    <w:rsid w:val="006A153B"/>
    <w:rPr>
      <w:sz w:val="18"/>
      <w:szCs w:val="18"/>
    </w:rPr>
  </w:style>
  <w:style w:type="paragraph" w:styleId="a5">
    <w:name w:val="footer"/>
    <w:basedOn w:val="a"/>
    <w:link w:val="Char1"/>
    <w:uiPriority w:val="99"/>
    <w:unhideWhenUsed/>
    <w:rsid w:val="006A153B"/>
    <w:pPr>
      <w:tabs>
        <w:tab w:val="center" w:pos="4153"/>
        <w:tab w:val="right" w:pos="8306"/>
      </w:tabs>
      <w:snapToGrid w:val="0"/>
      <w:jc w:val="left"/>
    </w:pPr>
    <w:rPr>
      <w:sz w:val="18"/>
      <w:szCs w:val="18"/>
    </w:rPr>
  </w:style>
  <w:style w:type="paragraph" w:styleId="a6">
    <w:name w:val="header"/>
    <w:basedOn w:val="a"/>
    <w:link w:val="Char2"/>
    <w:uiPriority w:val="99"/>
    <w:unhideWhenUsed/>
    <w:rsid w:val="006A153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6A153B"/>
    <w:rPr>
      <w:b/>
      <w:bCs/>
    </w:rPr>
  </w:style>
  <w:style w:type="character" w:styleId="a8">
    <w:name w:val="Hyperlink"/>
    <w:basedOn w:val="a0"/>
    <w:uiPriority w:val="99"/>
    <w:unhideWhenUsed/>
    <w:rsid w:val="006A153B"/>
    <w:rPr>
      <w:color w:val="0000FF" w:themeColor="hyperlink"/>
      <w:u w:val="single"/>
    </w:rPr>
  </w:style>
  <w:style w:type="character" w:styleId="a9">
    <w:name w:val="annotation reference"/>
    <w:basedOn w:val="a0"/>
    <w:uiPriority w:val="99"/>
    <w:semiHidden/>
    <w:unhideWhenUsed/>
    <w:rsid w:val="006A153B"/>
    <w:rPr>
      <w:sz w:val="21"/>
      <w:szCs w:val="21"/>
    </w:rPr>
  </w:style>
  <w:style w:type="character" w:customStyle="1" w:styleId="Char2">
    <w:name w:val="页眉 Char"/>
    <w:basedOn w:val="a0"/>
    <w:link w:val="a6"/>
    <w:uiPriority w:val="99"/>
    <w:rsid w:val="006A153B"/>
    <w:rPr>
      <w:sz w:val="18"/>
      <w:szCs w:val="18"/>
    </w:rPr>
  </w:style>
  <w:style w:type="character" w:customStyle="1" w:styleId="Char1">
    <w:name w:val="页脚 Char"/>
    <w:basedOn w:val="a0"/>
    <w:link w:val="a5"/>
    <w:uiPriority w:val="99"/>
    <w:rsid w:val="006A153B"/>
    <w:rPr>
      <w:sz w:val="18"/>
      <w:szCs w:val="18"/>
    </w:rPr>
  </w:style>
  <w:style w:type="paragraph" w:customStyle="1" w:styleId="Default">
    <w:name w:val="Default"/>
    <w:rsid w:val="006A153B"/>
    <w:pPr>
      <w:widowControl w:val="0"/>
      <w:autoSpaceDE w:val="0"/>
      <w:autoSpaceDN w:val="0"/>
      <w:adjustRightInd w:val="0"/>
    </w:pPr>
    <w:rPr>
      <w:rFonts w:ascii="仿宋_GB2312" w:eastAsia="仿宋_GB2312" w:hAnsi="Calibri" w:cs="仿宋_GB2312"/>
      <w:color w:val="000000"/>
      <w:sz w:val="24"/>
      <w:szCs w:val="24"/>
    </w:rPr>
  </w:style>
  <w:style w:type="paragraph" w:styleId="aa">
    <w:name w:val="List Paragraph"/>
    <w:basedOn w:val="a"/>
    <w:uiPriority w:val="34"/>
    <w:qFormat/>
    <w:rsid w:val="006A153B"/>
    <w:pPr>
      <w:ind w:firstLineChars="200" w:firstLine="420"/>
    </w:pPr>
  </w:style>
  <w:style w:type="character" w:customStyle="1" w:styleId="Char0">
    <w:name w:val="批注框文本 Char"/>
    <w:basedOn w:val="a0"/>
    <w:link w:val="a4"/>
    <w:uiPriority w:val="99"/>
    <w:semiHidden/>
    <w:rsid w:val="006A153B"/>
    <w:rPr>
      <w:sz w:val="18"/>
      <w:szCs w:val="18"/>
    </w:rPr>
  </w:style>
  <w:style w:type="character" w:styleId="ab">
    <w:name w:val="Placeholder Text"/>
    <w:basedOn w:val="a0"/>
    <w:uiPriority w:val="99"/>
    <w:semiHidden/>
    <w:rsid w:val="006A153B"/>
    <w:rPr>
      <w:color w:val="808080"/>
    </w:rPr>
  </w:style>
  <w:style w:type="character" w:customStyle="1" w:styleId="Char">
    <w:name w:val="批注文字 Char"/>
    <w:basedOn w:val="a0"/>
    <w:link w:val="a3"/>
    <w:uiPriority w:val="99"/>
    <w:semiHidden/>
    <w:rsid w:val="006A153B"/>
  </w:style>
  <w:style w:type="character" w:customStyle="1" w:styleId="Char3">
    <w:name w:val="批注主题 Char"/>
    <w:basedOn w:val="Char"/>
    <w:link w:val="a7"/>
    <w:uiPriority w:val="99"/>
    <w:semiHidden/>
    <w:rsid w:val="006A153B"/>
    <w:rPr>
      <w:b/>
      <w:bCs/>
    </w:rPr>
  </w:style>
  <w:style w:type="paragraph" w:customStyle="1" w:styleId="1">
    <w:name w:val="修订1"/>
    <w:hidden/>
    <w:uiPriority w:val="99"/>
    <w:semiHidden/>
    <w:rsid w:val="006A153B"/>
    <w:rPr>
      <w:kern w:val="2"/>
      <w:sz w:val="21"/>
      <w:szCs w:val="22"/>
    </w:rPr>
  </w:style>
  <w:style w:type="paragraph" w:customStyle="1" w:styleId="20">
    <w:name w:val="产品小标题2"/>
    <w:basedOn w:val="a"/>
    <w:next w:val="a"/>
    <w:rsid w:val="006A153B"/>
    <w:pPr>
      <w:spacing w:before="120" w:line="415" w:lineRule="auto"/>
      <w:ind w:firstLineChars="200" w:firstLine="562"/>
      <w:jc w:val="left"/>
      <w:outlineLvl w:val="0"/>
    </w:pPr>
    <w:rPr>
      <w:rFonts w:ascii="仿宋_GB2312" w:eastAsia="仿宋_GB2312" w:hAnsi="Times New Roman" w:cs="Times New Roman"/>
      <w:b/>
      <w:kern w:val="0"/>
      <w:sz w:val="28"/>
      <w:szCs w:val="24"/>
    </w:rPr>
  </w:style>
  <w:style w:type="character" w:customStyle="1" w:styleId="2Char">
    <w:name w:val="正文文本缩进 2 Char"/>
    <w:link w:val="2"/>
    <w:rsid w:val="006A153B"/>
    <w:rPr>
      <w:rFonts w:ascii="宋体" w:hAnsi="宋体"/>
    </w:rPr>
  </w:style>
  <w:style w:type="character" w:customStyle="1" w:styleId="2Char1">
    <w:name w:val="正文文本缩进 2 Char1"/>
    <w:basedOn w:val="a0"/>
    <w:uiPriority w:val="99"/>
    <w:semiHidden/>
    <w:rsid w:val="006A153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797B8F-F31F-41BB-8707-948A9048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2330</Characters>
  <Application>Microsoft Office Word</Application>
  <DocSecurity>4</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ZHONGM</cp:lastModifiedBy>
  <cp:revision>2</cp:revision>
  <cp:lastPrinted>2020-09-10T00:56:00Z</cp:lastPrinted>
  <dcterms:created xsi:type="dcterms:W3CDTF">2021-06-29T16:28:00Z</dcterms:created>
  <dcterms:modified xsi:type="dcterms:W3CDTF">2021-06-29T16:28:00Z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