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5B11" w:rsidRDefault="00AF1062">
      <w:pPr>
        <w:jc w:val="center"/>
        <w:rPr>
          <w:rFonts w:ascii="宋体" w:hAnsi="宋体"/>
          <w:b/>
          <w:sz w:val="28"/>
          <w:szCs w:val="28"/>
        </w:rPr>
      </w:pPr>
      <w:r>
        <w:rPr>
          <w:rFonts w:ascii="宋体" w:hAnsi="宋体" w:hint="eastAsia"/>
          <w:b/>
          <w:sz w:val="28"/>
          <w:szCs w:val="28"/>
        </w:rPr>
        <w:t>银华基金管理股份有限公司关于旗下部分基金暂停及恢复申购、赎回、转换（如有）及定期定额投资</w:t>
      </w:r>
      <w:r>
        <w:rPr>
          <w:rFonts w:ascii="宋体" w:hAnsi="宋体" w:hint="eastAsia"/>
          <w:b/>
          <w:sz w:val="28"/>
          <w:szCs w:val="28"/>
        </w:rPr>
        <w:t>（</w:t>
      </w:r>
      <w:r>
        <w:rPr>
          <w:rFonts w:ascii="宋体" w:hAnsi="宋体" w:hint="eastAsia"/>
          <w:b/>
          <w:sz w:val="28"/>
          <w:szCs w:val="28"/>
        </w:rPr>
        <w:t>如有</w:t>
      </w:r>
      <w:r>
        <w:rPr>
          <w:rFonts w:ascii="宋体" w:hAnsi="宋体" w:hint="eastAsia"/>
          <w:b/>
          <w:sz w:val="28"/>
          <w:szCs w:val="28"/>
        </w:rPr>
        <w:t>）</w:t>
      </w:r>
      <w:r>
        <w:rPr>
          <w:rFonts w:ascii="宋体" w:hAnsi="宋体" w:hint="eastAsia"/>
          <w:b/>
          <w:sz w:val="28"/>
          <w:szCs w:val="28"/>
        </w:rPr>
        <w:t>业务的公告</w:t>
      </w:r>
    </w:p>
    <w:p w:rsidR="00415B11" w:rsidRDefault="00415B11">
      <w:pPr>
        <w:rPr>
          <w:rFonts w:ascii="宋体" w:hAnsi="宋体"/>
          <w:b/>
          <w:sz w:val="28"/>
          <w:szCs w:val="28"/>
        </w:rPr>
      </w:pPr>
    </w:p>
    <w:p w:rsidR="00415B11" w:rsidRDefault="00AF106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szCs w:val="21"/>
        </w:rPr>
        <w:t>“</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业务。鉴于</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日香港联合交易所休市且港股通服务暂停</w:t>
      </w:r>
      <w:r>
        <w:rPr>
          <w:rFonts w:ascii="宋体" w:hAnsi="宋体"/>
          <w:szCs w:val="21"/>
        </w:rPr>
        <w:t>，</w:t>
      </w:r>
      <w:r>
        <w:rPr>
          <w:rFonts w:ascii="宋体" w:hAnsi="宋体" w:hint="eastAsia"/>
          <w:szCs w:val="21"/>
        </w:rPr>
        <w:t>本基金管理人决定于</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w:t>
      </w:r>
      <w:r>
        <w:rPr>
          <w:rFonts w:ascii="宋体" w:hAnsi="宋体" w:hint="eastAsia"/>
          <w:szCs w:val="21"/>
        </w:rPr>
        <w:t>日起暂停下列基金的申购、赎回、转换（如有）及定期定额投资</w:t>
      </w:r>
      <w:r>
        <w:rPr>
          <w:rFonts w:ascii="宋体" w:hAnsi="宋体" w:hint="eastAsia"/>
          <w:szCs w:val="21"/>
        </w:rPr>
        <w:t>（</w:t>
      </w:r>
      <w:r>
        <w:rPr>
          <w:rFonts w:ascii="宋体" w:hAnsi="宋体" w:hint="eastAsia"/>
          <w:szCs w:val="21"/>
        </w:rPr>
        <w:t>如有</w:t>
      </w:r>
      <w:r>
        <w:rPr>
          <w:rFonts w:ascii="宋体" w:hAnsi="宋体" w:hint="eastAsia"/>
          <w:szCs w:val="21"/>
        </w:rPr>
        <w:t>）</w:t>
      </w:r>
      <w:r>
        <w:rPr>
          <w:rFonts w:ascii="宋体" w:hAnsi="宋体" w:hint="eastAsia"/>
          <w:szCs w:val="21"/>
        </w:rPr>
        <w:t>业务，并自</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日起恢复下列基金的申购、赎回、转换（如有）及定期定额投资</w:t>
      </w:r>
      <w:r>
        <w:rPr>
          <w:rFonts w:ascii="宋体" w:hAnsi="宋体" w:hint="eastAsia"/>
          <w:szCs w:val="21"/>
        </w:rPr>
        <w:t>（</w:t>
      </w:r>
      <w:r>
        <w:rPr>
          <w:rFonts w:ascii="宋体" w:hAnsi="宋体" w:hint="eastAsia"/>
          <w:szCs w:val="21"/>
        </w:rPr>
        <w:t>如有</w:t>
      </w:r>
      <w:bookmarkStart w:id="0" w:name="_GoBack"/>
      <w:bookmarkEnd w:id="0"/>
      <w:r>
        <w:rPr>
          <w:rFonts w:ascii="宋体" w:hAnsi="宋体" w:hint="eastAsia"/>
          <w:szCs w:val="21"/>
        </w:rPr>
        <w:t>）</w:t>
      </w:r>
      <w:r>
        <w:rPr>
          <w:rFonts w:ascii="宋体" w:hAnsi="宋体" w:hint="eastAsia"/>
          <w:szCs w:val="21"/>
        </w:rPr>
        <w:t>业务，届时本基金管理人不再另行公告。</w:t>
      </w:r>
    </w:p>
    <w:p w:rsidR="00415B11" w:rsidRDefault="00AF1062">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tblLook w:val="04A0"/>
      </w:tblPr>
      <w:tblGrid>
        <w:gridCol w:w="1555"/>
        <w:gridCol w:w="1275"/>
        <w:gridCol w:w="1134"/>
        <w:gridCol w:w="1176"/>
        <w:gridCol w:w="1262"/>
        <w:gridCol w:w="1233"/>
        <w:gridCol w:w="1199"/>
      </w:tblGrid>
      <w:tr w:rsidR="00415B11">
        <w:trPr>
          <w:trHeight w:val="411"/>
        </w:trPr>
        <w:tc>
          <w:tcPr>
            <w:tcW w:w="1555" w:type="dxa"/>
            <w:vAlign w:val="center"/>
          </w:tcPr>
          <w:p w:rsidR="00415B11" w:rsidRDefault="00AF1062">
            <w:pPr>
              <w:jc w:val="center"/>
            </w:pPr>
            <w:r>
              <w:rPr>
                <w:rFonts w:hint="eastAsia"/>
              </w:rPr>
              <w:t>基金名称</w:t>
            </w:r>
          </w:p>
        </w:tc>
        <w:tc>
          <w:tcPr>
            <w:tcW w:w="1275" w:type="dxa"/>
            <w:vAlign w:val="center"/>
          </w:tcPr>
          <w:p w:rsidR="00415B11" w:rsidRDefault="00AF1062">
            <w:pPr>
              <w:jc w:val="center"/>
            </w:pPr>
            <w:r>
              <w:rPr>
                <w:rFonts w:hint="eastAsia"/>
              </w:rPr>
              <w:t>基金</w:t>
            </w:r>
            <w:r>
              <w:t>代码</w:t>
            </w:r>
          </w:p>
        </w:tc>
        <w:tc>
          <w:tcPr>
            <w:tcW w:w="1134" w:type="dxa"/>
            <w:vAlign w:val="center"/>
          </w:tcPr>
          <w:p w:rsidR="00415B11" w:rsidRDefault="00AF1062">
            <w:pPr>
              <w:jc w:val="center"/>
            </w:pPr>
            <w:r>
              <w:rPr>
                <w:rFonts w:hint="eastAsia"/>
              </w:rPr>
              <w:t>是否暂停</w:t>
            </w:r>
            <w:r>
              <w:rPr>
                <w:rFonts w:hint="eastAsia"/>
              </w:rPr>
              <w:t>/</w:t>
            </w:r>
            <w:r>
              <w:rPr>
                <w:rFonts w:hint="eastAsia"/>
              </w:rPr>
              <w:t>恢复申购业务</w:t>
            </w:r>
          </w:p>
        </w:tc>
        <w:tc>
          <w:tcPr>
            <w:tcW w:w="1176" w:type="dxa"/>
            <w:vAlign w:val="center"/>
          </w:tcPr>
          <w:p w:rsidR="00415B11" w:rsidRDefault="00AF1062">
            <w:pPr>
              <w:jc w:val="center"/>
            </w:pPr>
            <w:r>
              <w:rPr>
                <w:rFonts w:hint="eastAsia"/>
              </w:rPr>
              <w:t>是否暂停</w:t>
            </w:r>
            <w:r>
              <w:rPr>
                <w:rFonts w:hint="eastAsia"/>
              </w:rPr>
              <w:t>/</w:t>
            </w:r>
            <w:r>
              <w:rPr>
                <w:rFonts w:hint="eastAsia"/>
              </w:rPr>
              <w:t>恢复赎回业务</w:t>
            </w:r>
          </w:p>
        </w:tc>
        <w:tc>
          <w:tcPr>
            <w:tcW w:w="1262" w:type="dxa"/>
            <w:vAlign w:val="center"/>
          </w:tcPr>
          <w:p w:rsidR="00415B11" w:rsidRDefault="00AF1062">
            <w:pPr>
              <w:jc w:val="center"/>
            </w:pPr>
            <w:r>
              <w:rPr>
                <w:rFonts w:hint="eastAsia"/>
              </w:rPr>
              <w:t>是否暂停</w:t>
            </w:r>
            <w:r>
              <w:rPr>
                <w:rFonts w:hint="eastAsia"/>
              </w:rPr>
              <w:t>/</w:t>
            </w:r>
            <w:r>
              <w:rPr>
                <w:rFonts w:hint="eastAsia"/>
              </w:rPr>
              <w:t>恢复定期定额投资业务</w:t>
            </w:r>
          </w:p>
        </w:tc>
        <w:tc>
          <w:tcPr>
            <w:tcW w:w="1233" w:type="dxa"/>
            <w:vAlign w:val="center"/>
          </w:tcPr>
          <w:p w:rsidR="00415B11" w:rsidRDefault="00AF1062">
            <w:pPr>
              <w:jc w:val="center"/>
            </w:pPr>
            <w:r>
              <w:rPr>
                <w:rFonts w:hint="eastAsia"/>
              </w:rPr>
              <w:t>是否暂停</w:t>
            </w:r>
            <w:r>
              <w:rPr>
                <w:rFonts w:hint="eastAsia"/>
              </w:rPr>
              <w:t>/</w:t>
            </w:r>
            <w:r>
              <w:rPr>
                <w:rFonts w:hint="eastAsia"/>
              </w:rPr>
              <w:t>恢复转换转入业务</w:t>
            </w:r>
          </w:p>
        </w:tc>
        <w:tc>
          <w:tcPr>
            <w:tcW w:w="1199" w:type="dxa"/>
            <w:vAlign w:val="center"/>
          </w:tcPr>
          <w:p w:rsidR="00415B11" w:rsidRDefault="00AF1062">
            <w:pPr>
              <w:jc w:val="center"/>
            </w:pPr>
            <w:r>
              <w:rPr>
                <w:rFonts w:hint="eastAsia"/>
              </w:rPr>
              <w:t>是否暂停</w:t>
            </w:r>
            <w:r>
              <w:rPr>
                <w:rFonts w:hint="eastAsia"/>
              </w:rPr>
              <w:t>/</w:t>
            </w:r>
            <w:r>
              <w:rPr>
                <w:rFonts w:hint="eastAsia"/>
              </w:rPr>
              <w:t>恢复转换转出业务</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银华全球核心优选证券投资基金</w:t>
            </w:r>
          </w:p>
        </w:tc>
        <w:tc>
          <w:tcPr>
            <w:tcW w:w="1275" w:type="dxa"/>
            <w:vAlign w:val="center"/>
          </w:tcPr>
          <w:p w:rsidR="00415B11" w:rsidRDefault="00AF1062">
            <w:pPr>
              <w:jc w:val="center"/>
            </w:pPr>
            <w:r>
              <w:rPr>
                <w:rFonts w:hint="eastAsia"/>
              </w:rPr>
              <w:t>1</w:t>
            </w:r>
            <w:r>
              <w:t>83001</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银华抗通胀主题证券投资基金</w:t>
            </w:r>
            <w:r>
              <w:rPr>
                <w:rFonts w:ascii="宋体" w:hAnsi="宋体" w:hint="eastAsia"/>
                <w:szCs w:val="21"/>
              </w:rPr>
              <w:t>(LOF)</w:t>
            </w:r>
          </w:p>
        </w:tc>
        <w:tc>
          <w:tcPr>
            <w:tcW w:w="1275" w:type="dxa"/>
            <w:vAlign w:val="center"/>
          </w:tcPr>
          <w:p w:rsidR="00415B11" w:rsidRDefault="00AF1062">
            <w:pPr>
              <w:jc w:val="center"/>
            </w:pPr>
            <w:r>
              <w:rPr>
                <w:rFonts w:hint="eastAsia"/>
              </w:rPr>
              <w:t>1</w:t>
            </w:r>
            <w:r>
              <w:t>61815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银华工银南方东英标普中国新经济行业交易型开放式指数证券投资基金（</w:t>
            </w:r>
            <w:r>
              <w:rPr>
                <w:rFonts w:ascii="宋体" w:hAnsi="宋体" w:hint="eastAsia"/>
                <w:szCs w:val="21"/>
              </w:rPr>
              <w:t>QDII</w:t>
            </w:r>
            <w:r>
              <w:rPr>
                <w:rFonts w:ascii="宋体" w:hAnsi="宋体" w:hint="eastAsia"/>
                <w:szCs w:val="21"/>
              </w:rPr>
              <w:t>）</w:t>
            </w:r>
          </w:p>
        </w:tc>
        <w:tc>
          <w:tcPr>
            <w:tcW w:w="1275" w:type="dxa"/>
            <w:vAlign w:val="center"/>
          </w:tcPr>
          <w:p w:rsidR="00415B11" w:rsidRDefault="00AF1062">
            <w:pPr>
              <w:jc w:val="center"/>
            </w:pPr>
            <w:r>
              <w:rPr>
                <w:rFonts w:hint="eastAsia"/>
              </w:rPr>
              <w:t>1</w:t>
            </w:r>
            <w:r>
              <w:t>59822</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不适用</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275" w:type="dxa"/>
            <w:vAlign w:val="center"/>
          </w:tcPr>
          <w:p w:rsidR="00415B11" w:rsidRDefault="00AF1062">
            <w:pPr>
              <w:jc w:val="center"/>
            </w:pPr>
            <w:r>
              <w:rPr>
                <w:rFonts w:hint="eastAsia"/>
              </w:rPr>
              <w:t>161831</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银华美元债精选债券型证券投资基金（</w:t>
            </w:r>
            <w:r>
              <w:rPr>
                <w:rFonts w:ascii="宋体" w:hAnsi="宋体" w:hint="eastAsia"/>
                <w:szCs w:val="21"/>
              </w:rPr>
              <w:t>QDII</w:t>
            </w:r>
            <w:r>
              <w:rPr>
                <w:rFonts w:ascii="宋体" w:hAnsi="宋体" w:hint="eastAsia"/>
                <w:szCs w:val="21"/>
              </w:rPr>
              <w:t>）</w:t>
            </w:r>
          </w:p>
        </w:tc>
        <w:tc>
          <w:tcPr>
            <w:tcW w:w="1275" w:type="dxa"/>
            <w:vAlign w:val="center"/>
          </w:tcPr>
          <w:p w:rsidR="00415B11" w:rsidRDefault="00AF1062">
            <w:pPr>
              <w:jc w:val="center"/>
            </w:pPr>
            <w:r>
              <w:rPr>
                <w:rFonts w:hint="eastAsia"/>
              </w:rPr>
              <w:t>A</w:t>
            </w:r>
            <w:r>
              <w:rPr>
                <w:rFonts w:hint="eastAsia"/>
              </w:rPr>
              <w:t>：</w:t>
            </w:r>
            <w:r>
              <w:t>007204</w:t>
            </w:r>
          </w:p>
          <w:p w:rsidR="00415B11" w:rsidRDefault="00AF1062">
            <w:pPr>
              <w:jc w:val="center"/>
            </w:pPr>
            <w:r>
              <w:t>C</w:t>
            </w:r>
            <w:r>
              <w:rPr>
                <w:rFonts w:hint="eastAsia"/>
              </w:rPr>
              <w:t>：</w:t>
            </w:r>
            <w:r>
              <w:t>007205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lastRenderedPageBreak/>
              <w:t>银华中证沪港深</w:t>
            </w:r>
            <w:r>
              <w:rPr>
                <w:rFonts w:ascii="宋体" w:hAnsi="宋体" w:hint="eastAsia"/>
                <w:szCs w:val="21"/>
              </w:rPr>
              <w:t>500</w:t>
            </w:r>
            <w:r>
              <w:rPr>
                <w:rFonts w:ascii="宋体" w:hAnsi="宋体" w:hint="eastAsia"/>
                <w:szCs w:val="21"/>
              </w:rPr>
              <w:t>交易型开放式指数证券投资基金</w:t>
            </w:r>
          </w:p>
        </w:tc>
        <w:tc>
          <w:tcPr>
            <w:tcW w:w="1275" w:type="dxa"/>
            <w:vAlign w:val="center"/>
          </w:tcPr>
          <w:p w:rsidR="00415B11" w:rsidRDefault="00AF1062">
            <w:pPr>
              <w:jc w:val="center"/>
            </w:pPr>
            <w:r>
              <w:rPr>
                <w:rFonts w:hint="eastAsia"/>
              </w:rPr>
              <w:t>517000</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不适用</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pPr>
            <w:r>
              <w:rPr>
                <w:rFonts w:ascii="宋体" w:hAnsi="宋体" w:hint="eastAsia"/>
                <w:szCs w:val="21"/>
              </w:rPr>
              <w:t>银华估值优势混合型证券投资基金</w:t>
            </w:r>
          </w:p>
        </w:tc>
        <w:tc>
          <w:tcPr>
            <w:tcW w:w="1275" w:type="dxa"/>
            <w:vAlign w:val="center"/>
          </w:tcPr>
          <w:p w:rsidR="00415B11" w:rsidRDefault="00AF1062">
            <w:pPr>
              <w:jc w:val="center"/>
            </w:pPr>
            <w:r>
              <w:rPr>
                <w:rFonts w:hint="eastAsia"/>
              </w:rPr>
              <w:t>005250</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银华沪港深增长股票型证券投资基金</w:t>
            </w:r>
          </w:p>
        </w:tc>
        <w:tc>
          <w:tcPr>
            <w:tcW w:w="1275" w:type="dxa"/>
            <w:vAlign w:val="center"/>
          </w:tcPr>
          <w:p w:rsidR="00415B11" w:rsidRDefault="00AF1062">
            <w:pPr>
              <w:jc w:val="center"/>
            </w:pPr>
            <w:r>
              <w:rPr>
                <w:rFonts w:hint="eastAsia"/>
              </w:rPr>
              <w:t>001703</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rPr>
                <w:b/>
              </w:rP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银华瑞泰灵活配置混合型证券投资基金</w:t>
            </w:r>
          </w:p>
        </w:tc>
        <w:tc>
          <w:tcPr>
            <w:tcW w:w="1275" w:type="dxa"/>
            <w:vAlign w:val="center"/>
          </w:tcPr>
          <w:p w:rsidR="00415B11" w:rsidRDefault="00AF1062">
            <w:pPr>
              <w:jc w:val="center"/>
            </w:pPr>
            <w:r>
              <w:rPr>
                <w:rFonts w:hint="eastAsia"/>
              </w:rPr>
              <w:t>005481</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rPr>
                <w:b/>
              </w:rPr>
            </w:pPr>
            <w:r>
              <w:rPr>
                <w:rFonts w:hint="eastAsia"/>
              </w:rPr>
              <w:t>不适用</w:t>
            </w:r>
          </w:p>
        </w:tc>
        <w:tc>
          <w:tcPr>
            <w:tcW w:w="1199" w:type="dxa"/>
            <w:vAlign w:val="center"/>
          </w:tcPr>
          <w:p w:rsidR="00415B11" w:rsidRDefault="00AF1062">
            <w:pPr>
              <w:jc w:val="center"/>
            </w:pPr>
            <w:r>
              <w:rPr>
                <w:rFonts w:hint="eastAsia"/>
              </w:rPr>
              <w:t>不适用</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银华盛利混合型发起式证券投资基金</w:t>
            </w:r>
          </w:p>
        </w:tc>
        <w:tc>
          <w:tcPr>
            <w:tcW w:w="1275" w:type="dxa"/>
            <w:vAlign w:val="center"/>
          </w:tcPr>
          <w:p w:rsidR="00415B11" w:rsidRDefault="00AF1062">
            <w:pPr>
              <w:jc w:val="center"/>
            </w:pPr>
            <w:r>
              <w:rPr>
                <w:rFonts w:hint="eastAsia"/>
              </w:rPr>
              <w:t>006348</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银华心诚灵活配置混合型证券投资基金</w:t>
            </w:r>
          </w:p>
        </w:tc>
        <w:tc>
          <w:tcPr>
            <w:tcW w:w="1275" w:type="dxa"/>
            <w:vAlign w:val="center"/>
          </w:tcPr>
          <w:p w:rsidR="00415B11" w:rsidRDefault="00AF1062">
            <w:pPr>
              <w:jc w:val="center"/>
            </w:pPr>
            <w:r>
              <w:rPr>
                <w:rFonts w:hint="eastAsia"/>
              </w:rPr>
              <w:t>005543</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c>
          <w:tcPr>
            <w:tcW w:w="1555" w:type="dxa"/>
            <w:vAlign w:val="center"/>
          </w:tcPr>
          <w:p w:rsidR="00415B11" w:rsidRDefault="00AF1062">
            <w:pPr>
              <w:jc w:val="center"/>
              <w:rPr>
                <w:rFonts w:ascii="宋体" w:hAnsi="宋体"/>
                <w:szCs w:val="21"/>
              </w:rPr>
            </w:pPr>
            <w:r>
              <w:rPr>
                <w:rFonts w:ascii="宋体" w:hAnsi="宋体" w:hint="eastAsia"/>
                <w:szCs w:val="21"/>
              </w:rPr>
              <w:t>银华心怡灵活配置混合型证券投资基金</w:t>
            </w:r>
          </w:p>
        </w:tc>
        <w:tc>
          <w:tcPr>
            <w:tcW w:w="1275" w:type="dxa"/>
            <w:vAlign w:val="center"/>
          </w:tcPr>
          <w:p w:rsidR="00415B11" w:rsidRDefault="00AF1062">
            <w:pPr>
              <w:jc w:val="center"/>
            </w:pPr>
            <w:r>
              <w:rPr>
                <w:rFonts w:hint="eastAsia"/>
              </w:rPr>
              <w:t>005794</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银华裕利混合型发起式证券投资基金</w:t>
            </w:r>
          </w:p>
        </w:tc>
        <w:tc>
          <w:tcPr>
            <w:tcW w:w="1275" w:type="dxa"/>
            <w:vAlign w:val="center"/>
          </w:tcPr>
          <w:p w:rsidR="00415B11" w:rsidRDefault="00AF1062">
            <w:pPr>
              <w:jc w:val="center"/>
            </w:pPr>
            <w:r>
              <w:rPr>
                <w:rFonts w:hint="eastAsia"/>
              </w:rPr>
              <w:t>005848</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szCs w:val="21"/>
              </w:rPr>
              <w:t>银华远见混合型发起式证券投资基金</w:t>
            </w:r>
          </w:p>
        </w:tc>
        <w:tc>
          <w:tcPr>
            <w:tcW w:w="1275" w:type="dxa"/>
            <w:vAlign w:val="center"/>
          </w:tcPr>
          <w:p w:rsidR="00415B11" w:rsidRDefault="00AF1062">
            <w:pPr>
              <w:jc w:val="center"/>
            </w:pPr>
            <w:r>
              <w:rPr>
                <w:rFonts w:hint="eastAsia"/>
              </w:rPr>
              <w:t>006610</w:t>
            </w:r>
          </w:p>
        </w:tc>
        <w:tc>
          <w:tcPr>
            <w:tcW w:w="1134" w:type="dxa"/>
            <w:vAlign w:val="center"/>
          </w:tcPr>
          <w:p w:rsidR="00415B11" w:rsidRDefault="00AF1062">
            <w:pPr>
              <w:jc w:val="center"/>
            </w:pPr>
            <w: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t>是</w:t>
            </w:r>
          </w:p>
        </w:tc>
        <w:tc>
          <w:tcPr>
            <w:tcW w:w="1233" w:type="dxa"/>
            <w:vAlign w:val="center"/>
          </w:tcPr>
          <w:p w:rsidR="00415B11" w:rsidRDefault="00AF1062">
            <w:pPr>
              <w:jc w:val="center"/>
            </w:pPr>
            <w:r>
              <w:t>是</w:t>
            </w:r>
          </w:p>
        </w:tc>
        <w:tc>
          <w:tcPr>
            <w:tcW w:w="1199" w:type="dxa"/>
            <w:vAlign w:val="center"/>
          </w:tcPr>
          <w:p w:rsidR="00415B11" w:rsidRDefault="00AF1062">
            <w:pPr>
              <w:jc w:val="center"/>
            </w:pPr>
            <w: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银华消费主题混合型证券投资基金</w:t>
            </w:r>
          </w:p>
        </w:tc>
        <w:tc>
          <w:tcPr>
            <w:tcW w:w="1275" w:type="dxa"/>
            <w:vAlign w:val="center"/>
          </w:tcPr>
          <w:p w:rsidR="00415B11" w:rsidRDefault="00AF1062">
            <w:pPr>
              <w:jc w:val="center"/>
            </w:pPr>
            <w:r>
              <w:rPr>
                <w:rFonts w:hint="eastAsia"/>
              </w:rPr>
              <w:t>161818</w:t>
            </w:r>
          </w:p>
        </w:tc>
        <w:tc>
          <w:tcPr>
            <w:tcW w:w="1134" w:type="dxa"/>
            <w:vAlign w:val="center"/>
          </w:tcPr>
          <w:p w:rsidR="00415B11" w:rsidRDefault="00AF1062">
            <w:pPr>
              <w:jc w:val="center"/>
            </w:pPr>
            <w: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银华港股通精选股票型发起式证券投资基金</w:t>
            </w:r>
          </w:p>
        </w:tc>
        <w:tc>
          <w:tcPr>
            <w:tcW w:w="1275" w:type="dxa"/>
            <w:vAlign w:val="center"/>
          </w:tcPr>
          <w:p w:rsidR="00415B11" w:rsidRDefault="00AF1062">
            <w:pPr>
              <w:jc w:val="center"/>
            </w:pPr>
            <w:r>
              <w:rPr>
                <w:rFonts w:hint="eastAsia"/>
              </w:rPr>
              <w:t>009017</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银华汇盈一年持有期混合型证券投资基金</w:t>
            </w:r>
          </w:p>
        </w:tc>
        <w:tc>
          <w:tcPr>
            <w:tcW w:w="1275" w:type="dxa"/>
            <w:vAlign w:val="center"/>
          </w:tcPr>
          <w:p w:rsidR="00415B11" w:rsidRDefault="00AF1062">
            <w:pPr>
              <w:jc w:val="center"/>
            </w:pPr>
            <w:r>
              <w:rPr>
                <w:rFonts w:hint="eastAsia"/>
              </w:rPr>
              <w:t>A</w:t>
            </w:r>
            <w:r>
              <w:rPr>
                <w:rFonts w:hint="eastAsia"/>
              </w:rPr>
              <w:t>：</w:t>
            </w:r>
            <w:r>
              <w:rPr>
                <w:rFonts w:hint="eastAsia"/>
              </w:rPr>
              <w:t>008833</w:t>
            </w:r>
          </w:p>
          <w:p w:rsidR="00415B11" w:rsidRDefault="00AF1062">
            <w:pPr>
              <w:jc w:val="center"/>
            </w:pPr>
            <w:r>
              <w:t>C</w:t>
            </w:r>
            <w:r>
              <w:rPr>
                <w:rFonts w:hint="eastAsia"/>
              </w:rPr>
              <w:t>：</w:t>
            </w:r>
            <w:r>
              <w:rPr>
                <w:rFonts w:hint="eastAsia"/>
              </w:rPr>
              <w:t>008834</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银华长丰混合型发起式证券投资基金</w:t>
            </w:r>
          </w:p>
        </w:tc>
        <w:tc>
          <w:tcPr>
            <w:tcW w:w="1275" w:type="dxa"/>
            <w:vAlign w:val="center"/>
          </w:tcPr>
          <w:p w:rsidR="00415B11" w:rsidRDefault="00AF1062">
            <w:pPr>
              <w:jc w:val="center"/>
            </w:pPr>
            <w:r>
              <w:rPr>
                <w:rFonts w:hint="eastAsia"/>
              </w:rPr>
              <w:t>008978</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银华丰享一年持有期混合型证券投资基金</w:t>
            </w:r>
          </w:p>
        </w:tc>
        <w:tc>
          <w:tcPr>
            <w:tcW w:w="1275" w:type="dxa"/>
            <w:vAlign w:val="center"/>
          </w:tcPr>
          <w:p w:rsidR="00415B11" w:rsidRDefault="00AF1062">
            <w:pPr>
              <w:jc w:val="center"/>
            </w:pPr>
            <w:r>
              <w:rPr>
                <w:rFonts w:hint="eastAsia"/>
              </w:rPr>
              <w:t>009085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银华富利精选混合型证券投资基金</w:t>
            </w:r>
          </w:p>
        </w:tc>
        <w:tc>
          <w:tcPr>
            <w:tcW w:w="1275" w:type="dxa"/>
            <w:vAlign w:val="center"/>
          </w:tcPr>
          <w:p w:rsidR="00415B11" w:rsidRDefault="00AF1062">
            <w:pPr>
              <w:jc w:val="center"/>
            </w:pPr>
            <w:r>
              <w:rPr>
                <w:rFonts w:hint="eastAsia"/>
              </w:rPr>
              <w:t>009542</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银华汇益一年持有期混合型证券投资基金</w:t>
            </w:r>
          </w:p>
        </w:tc>
        <w:tc>
          <w:tcPr>
            <w:tcW w:w="1275" w:type="dxa"/>
            <w:vAlign w:val="center"/>
          </w:tcPr>
          <w:p w:rsidR="00415B11" w:rsidRDefault="00AF1062">
            <w:pPr>
              <w:jc w:val="center"/>
            </w:pPr>
            <w:r>
              <w:rPr>
                <w:rFonts w:hint="eastAsia"/>
              </w:rPr>
              <w:t>A</w:t>
            </w:r>
            <w:r>
              <w:rPr>
                <w:rFonts w:hint="eastAsia"/>
              </w:rPr>
              <w:t>：</w:t>
            </w:r>
            <w:r>
              <w:rPr>
                <w:rFonts w:hint="eastAsia"/>
              </w:rPr>
              <w:t>008384</w:t>
            </w:r>
          </w:p>
          <w:p w:rsidR="00415B11" w:rsidRDefault="00AF1062">
            <w:pPr>
              <w:jc w:val="center"/>
            </w:pPr>
            <w:r>
              <w:t>C</w:t>
            </w:r>
            <w:r>
              <w:rPr>
                <w:rFonts w:hint="eastAsia"/>
              </w:rPr>
              <w:t>：</w:t>
            </w:r>
            <w:r>
              <w:rPr>
                <w:rFonts w:hint="eastAsia"/>
              </w:rPr>
              <w:t>008385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不适用</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银华多元机遇混合型证券投资基金</w:t>
            </w:r>
          </w:p>
        </w:tc>
        <w:tc>
          <w:tcPr>
            <w:tcW w:w="1275" w:type="dxa"/>
            <w:vAlign w:val="center"/>
          </w:tcPr>
          <w:p w:rsidR="00415B11" w:rsidRDefault="00AF1062">
            <w:pPr>
              <w:jc w:val="center"/>
            </w:pPr>
            <w:r>
              <w:rPr>
                <w:rFonts w:hint="eastAsia"/>
              </w:rPr>
              <w:t>009960</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银华品质消费股票型证券投资基金</w:t>
            </w:r>
          </w:p>
        </w:tc>
        <w:tc>
          <w:tcPr>
            <w:tcW w:w="1275" w:type="dxa"/>
            <w:vAlign w:val="center"/>
          </w:tcPr>
          <w:p w:rsidR="00415B11" w:rsidRDefault="00AF1062">
            <w:pPr>
              <w:jc w:val="center"/>
            </w:pPr>
            <w:r>
              <w:t>009852</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银华远兴一年持有期债券型证券投资基金</w:t>
            </w:r>
          </w:p>
        </w:tc>
        <w:tc>
          <w:tcPr>
            <w:tcW w:w="1275" w:type="dxa"/>
            <w:vAlign w:val="center"/>
          </w:tcPr>
          <w:p w:rsidR="00415B11" w:rsidRDefault="00AF1062">
            <w:pPr>
              <w:jc w:val="center"/>
            </w:pPr>
            <w:r>
              <w:t>010816</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不适用</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银华招利一年持有期混合型证券投资基金</w:t>
            </w:r>
          </w:p>
        </w:tc>
        <w:tc>
          <w:tcPr>
            <w:tcW w:w="1275" w:type="dxa"/>
            <w:vAlign w:val="center"/>
          </w:tcPr>
          <w:p w:rsidR="00415B11" w:rsidRDefault="00AF1062">
            <w:pPr>
              <w:jc w:val="center"/>
            </w:pPr>
            <w:r>
              <w:rPr>
                <w:rFonts w:hint="eastAsia"/>
              </w:rPr>
              <w:t>A</w:t>
            </w:r>
            <w:r>
              <w:rPr>
                <w:rFonts w:hint="eastAsia"/>
              </w:rPr>
              <w:t>：</w:t>
            </w:r>
            <w:r>
              <w:t>009977</w:t>
            </w:r>
          </w:p>
          <w:p w:rsidR="00415B11" w:rsidRDefault="00AF1062">
            <w:pPr>
              <w:jc w:val="center"/>
            </w:pPr>
            <w:r>
              <w:rPr>
                <w:rFonts w:hint="eastAsia"/>
              </w:rPr>
              <w:t>C</w:t>
            </w:r>
            <w:r>
              <w:rPr>
                <w:rFonts w:hint="eastAsia"/>
              </w:rPr>
              <w:t>：</w:t>
            </w:r>
            <w:r>
              <w:t>009978</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不适用</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银华乐享混合型证券投资基金</w:t>
            </w:r>
          </w:p>
        </w:tc>
        <w:tc>
          <w:tcPr>
            <w:tcW w:w="1275" w:type="dxa"/>
            <w:vAlign w:val="center"/>
          </w:tcPr>
          <w:p w:rsidR="00415B11" w:rsidRDefault="00AF1062">
            <w:pPr>
              <w:jc w:val="center"/>
            </w:pPr>
            <w:r>
              <w:t>009859</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是</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银华心佳两年持有期混合型证券投资基金</w:t>
            </w:r>
          </w:p>
        </w:tc>
        <w:tc>
          <w:tcPr>
            <w:tcW w:w="1275" w:type="dxa"/>
            <w:vAlign w:val="center"/>
          </w:tcPr>
          <w:p w:rsidR="00415B11" w:rsidRDefault="00AF1062">
            <w:pPr>
              <w:jc w:val="center"/>
            </w:pPr>
            <w:r>
              <w:t>010730</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不适用</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银华稳健增长一年持有期混合型证券投资基金</w:t>
            </w:r>
          </w:p>
        </w:tc>
        <w:tc>
          <w:tcPr>
            <w:tcW w:w="1275" w:type="dxa"/>
            <w:vAlign w:val="center"/>
          </w:tcPr>
          <w:p w:rsidR="00415B11" w:rsidRDefault="00AF1062">
            <w:pPr>
              <w:jc w:val="center"/>
            </w:pPr>
            <w:r>
              <w:t>0</w:t>
            </w:r>
            <w:r>
              <w:rPr>
                <w:rFonts w:hint="eastAsia"/>
              </w:rPr>
              <w:t>11405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不适用</w:t>
            </w:r>
          </w:p>
        </w:tc>
        <w:tc>
          <w:tcPr>
            <w:tcW w:w="1262" w:type="dxa"/>
            <w:vAlign w:val="center"/>
          </w:tcPr>
          <w:p w:rsidR="00415B11" w:rsidRDefault="00AF1062">
            <w:pPr>
              <w:jc w:val="center"/>
            </w:pPr>
            <w:r>
              <w:rPr>
                <w:rFonts w:hint="eastAsia"/>
              </w:rPr>
              <w:t>是</w:t>
            </w:r>
          </w:p>
        </w:tc>
        <w:tc>
          <w:tcPr>
            <w:tcW w:w="1233" w:type="dxa"/>
            <w:vAlign w:val="center"/>
          </w:tcPr>
          <w:p w:rsidR="00415B11" w:rsidRDefault="00AF1062">
            <w:pPr>
              <w:jc w:val="center"/>
            </w:pPr>
            <w:r>
              <w:rPr>
                <w:rFonts w:hint="eastAsia"/>
              </w:rPr>
              <w:t>是</w:t>
            </w:r>
          </w:p>
        </w:tc>
        <w:tc>
          <w:tcPr>
            <w:tcW w:w="1199" w:type="dxa"/>
            <w:vAlign w:val="center"/>
          </w:tcPr>
          <w:p w:rsidR="00415B11" w:rsidRDefault="00AF1062">
            <w:pPr>
              <w:jc w:val="center"/>
            </w:pPr>
            <w:r>
              <w:rPr>
                <w:rFonts w:hint="eastAsia"/>
              </w:rPr>
              <w:t>不适用</w:t>
            </w:r>
          </w:p>
        </w:tc>
      </w:tr>
      <w:tr w:rsidR="00415B11">
        <w:trPr>
          <w:trHeight w:val="898"/>
        </w:trPr>
        <w:tc>
          <w:tcPr>
            <w:tcW w:w="1555" w:type="dxa"/>
            <w:vAlign w:val="center"/>
          </w:tcPr>
          <w:p w:rsidR="00415B11" w:rsidRDefault="00AF1062">
            <w:pPr>
              <w:jc w:val="center"/>
              <w:rPr>
                <w:rFonts w:ascii="宋体" w:hAnsi="宋体"/>
                <w:szCs w:val="21"/>
              </w:rPr>
            </w:pPr>
            <w:r>
              <w:rPr>
                <w:rFonts w:ascii="宋体" w:hAnsi="宋体" w:hint="eastAsia"/>
                <w:szCs w:val="21"/>
              </w:rPr>
              <w:t>银华中证港股通消费主题交易型开放式指数证券投资基金</w:t>
            </w:r>
          </w:p>
        </w:tc>
        <w:tc>
          <w:tcPr>
            <w:tcW w:w="1275" w:type="dxa"/>
            <w:vAlign w:val="center"/>
          </w:tcPr>
          <w:p w:rsidR="00415B11" w:rsidRDefault="00AF1062">
            <w:pPr>
              <w:jc w:val="center"/>
            </w:pPr>
            <w:r>
              <w:rPr>
                <w:rFonts w:ascii="宋体" w:hAnsi="宋体"/>
                <w:szCs w:val="21"/>
              </w:rPr>
              <w:t>159735</w:t>
            </w:r>
          </w:p>
        </w:tc>
        <w:tc>
          <w:tcPr>
            <w:tcW w:w="1134" w:type="dxa"/>
            <w:vAlign w:val="center"/>
          </w:tcPr>
          <w:p w:rsidR="00415B11" w:rsidRDefault="00AF1062">
            <w:pPr>
              <w:jc w:val="center"/>
            </w:pPr>
            <w:r>
              <w:rPr>
                <w:rFonts w:hint="eastAsia"/>
              </w:rPr>
              <w:t>是</w:t>
            </w:r>
          </w:p>
        </w:tc>
        <w:tc>
          <w:tcPr>
            <w:tcW w:w="1176" w:type="dxa"/>
            <w:vAlign w:val="center"/>
          </w:tcPr>
          <w:p w:rsidR="00415B11" w:rsidRDefault="00AF1062">
            <w:pPr>
              <w:jc w:val="center"/>
            </w:pPr>
            <w:r>
              <w:rPr>
                <w:rFonts w:hint="eastAsia"/>
              </w:rPr>
              <w:t>是</w:t>
            </w:r>
          </w:p>
        </w:tc>
        <w:tc>
          <w:tcPr>
            <w:tcW w:w="1262" w:type="dxa"/>
            <w:vAlign w:val="center"/>
          </w:tcPr>
          <w:p w:rsidR="00415B11" w:rsidRDefault="00AF1062">
            <w:pPr>
              <w:jc w:val="center"/>
            </w:pPr>
            <w:r>
              <w:rPr>
                <w:rFonts w:hint="eastAsia"/>
              </w:rPr>
              <w:t>不适用</w:t>
            </w:r>
          </w:p>
        </w:tc>
        <w:tc>
          <w:tcPr>
            <w:tcW w:w="1233" w:type="dxa"/>
            <w:vAlign w:val="center"/>
          </w:tcPr>
          <w:p w:rsidR="00415B11" w:rsidRDefault="00AF1062">
            <w:pPr>
              <w:jc w:val="center"/>
            </w:pPr>
            <w:r>
              <w:rPr>
                <w:rFonts w:hint="eastAsia"/>
              </w:rPr>
              <w:t>不适用</w:t>
            </w:r>
          </w:p>
        </w:tc>
        <w:tc>
          <w:tcPr>
            <w:tcW w:w="1199" w:type="dxa"/>
            <w:vAlign w:val="center"/>
          </w:tcPr>
          <w:p w:rsidR="00415B11" w:rsidRDefault="00AF1062">
            <w:pPr>
              <w:jc w:val="center"/>
            </w:pPr>
            <w:r>
              <w:rPr>
                <w:rFonts w:hint="eastAsia"/>
              </w:rPr>
              <w:t>不适用</w:t>
            </w:r>
          </w:p>
        </w:tc>
      </w:tr>
    </w:tbl>
    <w:p w:rsidR="00415B11" w:rsidRDefault="00AF1062" w:rsidP="00AF1062">
      <w:pPr>
        <w:pStyle w:val="2"/>
        <w:spacing w:beforeLines="50" w:afterLines="50" w:line="240" w:lineRule="auto"/>
        <w:jc w:val="left"/>
        <w:rPr>
          <w:rFonts w:ascii="宋体" w:eastAsia="宋体" w:hAnsi="宋体"/>
          <w:bCs/>
          <w:sz w:val="24"/>
          <w:szCs w:val="24"/>
        </w:rPr>
      </w:pPr>
      <w:bookmarkStart w:id="1" w:name="t_3_2_table"/>
      <w:bookmarkEnd w:id="1"/>
      <w:r>
        <w:rPr>
          <w:rFonts w:ascii="宋体" w:eastAsia="宋体" w:hAnsi="宋体" w:hint="eastAsia"/>
          <w:bCs/>
          <w:sz w:val="24"/>
          <w:szCs w:val="24"/>
        </w:rPr>
        <w:t>其他需要提示的事项</w:t>
      </w:r>
    </w:p>
    <w:p w:rsidR="00415B11" w:rsidRDefault="00AF1062">
      <w:pPr>
        <w:pStyle w:val="aa"/>
        <w:numPr>
          <w:ilvl w:val="0"/>
          <w:numId w:val="1"/>
        </w:numPr>
        <w:spacing w:line="360" w:lineRule="auto"/>
        <w:ind w:firstLineChars="0"/>
        <w:rPr>
          <w:rFonts w:ascii="宋体" w:hAnsi="宋体"/>
          <w:szCs w:val="21"/>
        </w:rPr>
      </w:pPr>
      <w:bookmarkStart w:id="2" w:name="t_3_2_2646_a1_fm1"/>
      <w:bookmarkEnd w:id="2"/>
      <w:r>
        <w:rPr>
          <w:rFonts w:ascii="宋体" w:hAnsi="宋体" w:hint="eastAsia"/>
          <w:szCs w:val="21"/>
        </w:rPr>
        <w:t>根据本基金管理人于</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9</w:t>
      </w:r>
      <w:r>
        <w:rPr>
          <w:rFonts w:ascii="宋体" w:hAnsi="宋体" w:hint="eastAsia"/>
          <w:szCs w:val="21"/>
        </w:rPr>
        <w:t>日发布的《银华全球核心优选证券投资基金恢复办理</w:t>
      </w:r>
      <w:r>
        <w:rPr>
          <w:rFonts w:ascii="宋体" w:hAnsi="宋体" w:hint="eastAsia"/>
          <w:szCs w:val="21"/>
        </w:rPr>
        <w:t>10</w:t>
      </w:r>
      <w:r>
        <w:rPr>
          <w:rFonts w:ascii="宋体" w:hAnsi="宋体" w:hint="eastAsia"/>
          <w:szCs w:val="21"/>
        </w:rPr>
        <w:t>万元以下（含</w:t>
      </w:r>
      <w:r>
        <w:rPr>
          <w:rFonts w:ascii="宋体" w:hAnsi="宋体" w:hint="eastAsia"/>
          <w:szCs w:val="21"/>
        </w:rPr>
        <w:t>10</w:t>
      </w:r>
      <w:r>
        <w:rPr>
          <w:rFonts w:ascii="宋体" w:hAnsi="宋体" w:hint="eastAsia"/>
          <w:szCs w:val="21"/>
        </w:rPr>
        <w:t>万元）申购（含定期定额投资）业务的公告》，银华全球核心优选证券投资基金（基金代码：</w:t>
      </w:r>
      <w:r>
        <w:rPr>
          <w:rFonts w:ascii="宋体" w:hAnsi="宋体" w:hint="eastAsia"/>
          <w:szCs w:val="21"/>
        </w:rPr>
        <w:t>183001</w:t>
      </w: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日起继续暂停</w:t>
      </w:r>
      <w:r>
        <w:rPr>
          <w:rFonts w:ascii="宋体" w:hAnsi="宋体" w:hint="eastAsia"/>
          <w:szCs w:val="21"/>
        </w:rPr>
        <w:t>10</w:t>
      </w:r>
      <w:r>
        <w:rPr>
          <w:rFonts w:ascii="宋体" w:hAnsi="宋体" w:hint="eastAsia"/>
          <w:szCs w:val="21"/>
        </w:rPr>
        <w:t>万元以上的大额申购（含定期定额投资）业务。届时不再另行公告，敬请投资者留意。</w:t>
      </w:r>
    </w:p>
    <w:p w:rsidR="00415B11" w:rsidRDefault="00AF1062">
      <w:pPr>
        <w:pStyle w:val="aa"/>
        <w:numPr>
          <w:ilvl w:val="0"/>
          <w:numId w:val="1"/>
        </w:numPr>
        <w:spacing w:line="360" w:lineRule="auto"/>
        <w:ind w:firstLineChars="0"/>
        <w:rPr>
          <w:rFonts w:ascii="宋体" w:hAnsi="宋体"/>
          <w:szCs w:val="21"/>
        </w:rPr>
      </w:pPr>
      <w:r>
        <w:rPr>
          <w:rFonts w:ascii="宋体" w:hAnsi="宋体" w:hint="eastAsia"/>
          <w:szCs w:val="21"/>
        </w:rPr>
        <w:t>本基金管理人已于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415B11" w:rsidRDefault="00AF1062">
      <w:pPr>
        <w:pStyle w:val="aa"/>
        <w:numPr>
          <w:ilvl w:val="0"/>
          <w:numId w:val="1"/>
        </w:numPr>
        <w:spacing w:line="360" w:lineRule="auto"/>
        <w:ind w:firstLineChars="0"/>
        <w:rPr>
          <w:rFonts w:ascii="宋体" w:hAnsi="宋体"/>
          <w:szCs w:val="21"/>
        </w:rPr>
      </w:pPr>
      <w:r>
        <w:rPr>
          <w:rFonts w:ascii="宋体" w:hAnsi="宋体" w:hint="eastAsia"/>
          <w:szCs w:val="21"/>
        </w:rPr>
        <w:t>本基金管理人已于</w:t>
      </w:r>
      <w:r>
        <w:rPr>
          <w:rFonts w:ascii="宋体" w:hAnsi="宋体" w:hint="eastAsia"/>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7</w:t>
      </w:r>
      <w:r>
        <w:rPr>
          <w:rFonts w:ascii="宋体" w:hAnsi="宋体" w:hint="eastAsia"/>
          <w:szCs w:val="21"/>
        </w:rPr>
        <w:t>日发布公告，银华消费主题混合型证券投资基金（基金代码：</w:t>
      </w:r>
      <w:r>
        <w:rPr>
          <w:rFonts w:ascii="宋体" w:hAnsi="宋体" w:hint="eastAsia"/>
          <w:szCs w:val="21"/>
        </w:rPr>
        <w:t>161818</w:t>
      </w: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8</w:t>
      </w:r>
      <w:r>
        <w:rPr>
          <w:rFonts w:ascii="宋体" w:hAnsi="宋体" w:hint="eastAsia"/>
          <w:szCs w:val="21"/>
        </w:rPr>
        <w:t>日起</w:t>
      </w:r>
      <w:r>
        <w:rPr>
          <w:rFonts w:ascii="宋体" w:hAnsi="宋体" w:hint="eastAsia"/>
          <w:szCs w:val="21"/>
        </w:rPr>
        <w:t>暂停</w:t>
      </w:r>
      <w:r>
        <w:rPr>
          <w:rFonts w:ascii="宋体" w:hAnsi="宋体" w:hint="eastAsia"/>
          <w:szCs w:val="21"/>
        </w:rPr>
        <w:t>100</w:t>
      </w:r>
      <w:r>
        <w:rPr>
          <w:rFonts w:ascii="宋体" w:hAnsi="宋体" w:hint="eastAsia"/>
          <w:szCs w:val="21"/>
        </w:rPr>
        <w:t>万元以上的大额申购（含定期定额投资）业务，详情请参见相关公告。自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日起银华消费主题混合型证券投资基金继续暂停</w:t>
      </w:r>
      <w:r>
        <w:rPr>
          <w:rFonts w:ascii="宋体" w:hAnsi="宋体" w:hint="eastAsia"/>
          <w:szCs w:val="21"/>
        </w:rPr>
        <w:t>100</w:t>
      </w:r>
      <w:r>
        <w:rPr>
          <w:rFonts w:ascii="宋体" w:hAnsi="宋体" w:hint="eastAsia"/>
          <w:szCs w:val="21"/>
        </w:rPr>
        <w:t>万元以上的大额申购（含定期定额投资）业务。届时不再另行公告，敬请投资者留意。</w:t>
      </w:r>
    </w:p>
    <w:p w:rsidR="00415B11" w:rsidRDefault="00AF1062">
      <w:pPr>
        <w:pStyle w:val="aa"/>
        <w:numPr>
          <w:ilvl w:val="0"/>
          <w:numId w:val="1"/>
        </w:numPr>
        <w:spacing w:line="360" w:lineRule="auto"/>
        <w:ind w:firstLineChars="0"/>
        <w:rPr>
          <w:rFonts w:ascii="宋体" w:hAnsi="宋体"/>
          <w:szCs w:val="21"/>
        </w:rPr>
      </w:pPr>
      <w:r>
        <w:rPr>
          <w:rFonts w:ascii="宋体" w:hAnsi="宋体" w:hint="eastAsia"/>
          <w:szCs w:val="21"/>
        </w:rPr>
        <w:t>本基金管理人已于</w:t>
      </w:r>
      <w:r>
        <w:rPr>
          <w:rFonts w:ascii="宋体" w:hAnsi="宋体" w:hint="eastAsia"/>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21</w:t>
      </w:r>
      <w:r>
        <w:rPr>
          <w:rFonts w:ascii="宋体" w:hAnsi="宋体" w:hint="eastAsia"/>
          <w:szCs w:val="21"/>
        </w:rPr>
        <w:t>日发布公告，银华心诚灵活配置混合型证券投资基金（基金代码：</w:t>
      </w:r>
      <w:r>
        <w:rPr>
          <w:rFonts w:ascii="宋体" w:hAnsi="宋体" w:hint="eastAsia"/>
          <w:szCs w:val="21"/>
        </w:rPr>
        <w:t>005543</w:t>
      </w: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22</w:t>
      </w:r>
      <w:r>
        <w:rPr>
          <w:rFonts w:ascii="宋体" w:hAnsi="宋体" w:hint="eastAsia"/>
          <w:szCs w:val="21"/>
        </w:rPr>
        <w:t>日起暂停</w:t>
      </w:r>
      <w:r>
        <w:rPr>
          <w:rFonts w:ascii="宋体" w:hAnsi="宋体" w:hint="eastAsia"/>
          <w:szCs w:val="21"/>
        </w:rPr>
        <w:t>100</w:t>
      </w:r>
      <w:r>
        <w:rPr>
          <w:rFonts w:ascii="宋体" w:hAnsi="宋体" w:hint="eastAsia"/>
          <w:szCs w:val="21"/>
        </w:rPr>
        <w:t>万元以上的大额申购（</w:t>
      </w:r>
      <w:r>
        <w:rPr>
          <w:rFonts w:ascii="宋体" w:hAnsi="宋体" w:hint="eastAsia"/>
          <w:szCs w:val="21"/>
        </w:rPr>
        <w:t>含定期定额投资及转换转入</w:t>
      </w:r>
      <w:r>
        <w:rPr>
          <w:rFonts w:ascii="宋体" w:hAnsi="宋体" w:hint="eastAsia"/>
          <w:szCs w:val="21"/>
        </w:rPr>
        <w:t>）业务，详情请参见相关公告。自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日起银华心诚灵活配置混合型证券投资基金继续暂停</w:t>
      </w:r>
      <w:r>
        <w:rPr>
          <w:rFonts w:ascii="宋体" w:hAnsi="宋体" w:hint="eastAsia"/>
          <w:szCs w:val="21"/>
        </w:rPr>
        <w:t>100</w:t>
      </w:r>
      <w:r>
        <w:rPr>
          <w:rFonts w:ascii="宋体" w:hAnsi="宋体" w:hint="eastAsia"/>
          <w:szCs w:val="21"/>
        </w:rPr>
        <w:t>万元以上的大额</w:t>
      </w:r>
      <w:r>
        <w:rPr>
          <w:rFonts w:ascii="宋体" w:hAnsi="宋体" w:hint="eastAsia"/>
          <w:szCs w:val="21"/>
        </w:rPr>
        <w:t>申购（含定期定额投资及转换转入）业务。届时不再另行公告，敬请投资者留意。</w:t>
      </w:r>
    </w:p>
    <w:p w:rsidR="00415B11" w:rsidRDefault="00AF1062">
      <w:pPr>
        <w:pStyle w:val="aa"/>
        <w:numPr>
          <w:ilvl w:val="0"/>
          <w:numId w:val="1"/>
        </w:numPr>
        <w:spacing w:line="360" w:lineRule="auto"/>
        <w:ind w:firstLineChars="0"/>
        <w:rPr>
          <w:rFonts w:ascii="宋体" w:hAnsi="宋体"/>
          <w:szCs w:val="21"/>
        </w:rPr>
      </w:pPr>
      <w:r>
        <w:rPr>
          <w:rFonts w:ascii="宋体" w:hAnsi="宋体" w:hint="eastAsia"/>
          <w:szCs w:val="21"/>
        </w:rPr>
        <w:t>在银华工银南方东英标普中国新经济行业交易型开放式指数证券投资基金（</w:t>
      </w:r>
      <w:r>
        <w:rPr>
          <w:rFonts w:ascii="宋体" w:hAnsi="宋体" w:hint="eastAsia"/>
          <w:szCs w:val="21"/>
        </w:rPr>
        <w:t>QDII</w:t>
      </w: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暂停申购及赎回业务期间，银华工银南方东英标普中国新经济行业交易型开放式指数证券投资基金（</w:t>
      </w:r>
      <w:r>
        <w:rPr>
          <w:rFonts w:ascii="宋体" w:hAnsi="宋体" w:hint="eastAsia"/>
          <w:szCs w:val="21"/>
        </w:rPr>
        <w:t>QDII</w:t>
      </w: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的二级市场交易业务将正常进行。</w:t>
      </w:r>
    </w:p>
    <w:p w:rsidR="00415B11" w:rsidRDefault="00AF1062">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w:t>
      </w:r>
      <w:r>
        <w:rPr>
          <w:rFonts w:ascii="宋体" w:hAnsi="宋体" w:hint="eastAsia"/>
          <w:szCs w:val="21"/>
        </w:rPr>
        <w:t>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415B11" w:rsidRDefault="00AF1062">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415B11" w:rsidRDefault="00415B11">
      <w:pPr>
        <w:pStyle w:val="aa"/>
        <w:spacing w:line="360" w:lineRule="auto"/>
        <w:ind w:left="420" w:firstLineChars="0" w:firstLine="0"/>
        <w:rPr>
          <w:rFonts w:ascii="宋体" w:hAnsi="宋体"/>
          <w:szCs w:val="21"/>
        </w:rPr>
      </w:pPr>
    </w:p>
    <w:p w:rsidR="00415B11" w:rsidRDefault="00AF1062">
      <w:pPr>
        <w:spacing w:line="360" w:lineRule="auto"/>
        <w:ind w:firstLineChars="200" w:firstLine="420"/>
        <w:jc w:val="left"/>
        <w:rPr>
          <w:rFonts w:ascii="宋体" w:hAnsi="宋体"/>
          <w:szCs w:val="21"/>
        </w:rPr>
      </w:pPr>
      <w:r>
        <w:rPr>
          <w:rFonts w:ascii="宋体" w:hAnsi="宋体" w:hint="eastAsia"/>
          <w:szCs w:val="21"/>
        </w:rPr>
        <w:t>特此公告。</w:t>
      </w:r>
    </w:p>
    <w:p w:rsidR="00415B11" w:rsidRDefault="00AF106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415B11" w:rsidRDefault="00AF1062">
      <w:pPr>
        <w:spacing w:line="360" w:lineRule="auto"/>
        <w:jc w:val="right"/>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28</w:t>
      </w:r>
      <w:r>
        <w:rPr>
          <w:rFonts w:ascii="宋体" w:hAnsi="宋体" w:hint="eastAsia"/>
          <w:szCs w:val="21"/>
        </w:rPr>
        <w:t>日</w:t>
      </w:r>
    </w:p>
    <w:sectPr w:rsidR="00415B11" w:rsidSect="00415B11">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11" w:rsidRDefault="00415B11" w:rsidP="00415B11">
      <w:r>
        <w:separator/>
      </w:r>
    </w:p>
  </w:endnote>
  <w:endnote w:type="continuationSeparator" w:id="0">
    <w:p w:rsidR="00415B11" w:rsidRDefault="00415B11" w:rsidP="00415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415B11" w:rsidRDefault="00415B11">
        <w:pPr>
          <w:pStyle w:val="a5"/>
          <w:jc w:val="center"/>
        </w:pPr>
        <w:r>
          <w:fldChar w:fldCharType="begin"/>
        </w:r>
        <w:r w:rsidR="00AF1062">
          <w:instrText>PAGE   \* MERGEFORMAT</w:instrText>
        </w:r>
        <w:r>
          <w:fldChar w:fldCharType="separate"/>
        </w:r>
        <w:r w:rsidR="00AF1062" w:rsidRPr="00AF106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11" w:rsidRDefault="00415B11" w:rsidP="00415B11">
      <w:r>
        <w:separator/>
      </w:r>
    </w:p>
  </w:footnote>
  <w:footnote w:type="continuationSeparator" w:id="0">
    <w:p w:rsidR="00415B11" w:rsidRDefault="00415B11" w:rsidP="0041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11" w:rsidRDefault="00AF106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2BD8"/>
    <w:rsid w:val="001749F7"/>
    <w:rsid w:val="001848BD"/>
    <w:rsid w:val="00185F50"/>
    <w:rsid w:val="001922DF"/>
    <w:rsid w:val="00192994"/>
    <w:rsid w:val="00193CAA"/>
    <w:rsid w:val="001A3FA7"/>
    <w:rsid w:val="001A6706"/>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C6345"/>
    <w:rsid w:val="002D5470"/>
    <w:rsid w:val="002E7667"/>
    <w:rsid w:val="002F7F14"/>
    <w:rsid w:val="003061CE"/>
    <w:rsid w:val="00312AAA"/>
    <w:rsid w:val="003159D5"/>
    <w:rsid w:val="003607D0"/>
    <w:rsid w:val="00374525"/>
    <w:rsid w:val="00377204"/>
    <w:rsid w:val="00377509"/>
    <w:rsid w:val="003870B4"/>
    <w:rsid w:val="00394608"/>
    <w:rsid w:val="00396C1B"/>
    <w:rsid w:val="003A0B28"/>
    <w:rsid w:val="003A18A1"/>
    <w:rsid w:val="003A7F9B"/>
    <w:rsid w:val="003C1C76"/>
    <w:rsid w:val="003D3274"/>
    <w:rsid w:val="003E2900"/>
    <w:rsid w:val="003F4851"/>
    <w:rsid w:val="003F62BA"/>
    <w:rsid w:val="00402BA4"/>
    <w:rsid w:val="0040599E"/>
    <w:rsid w:val="00412CB7"/>
    <w:rsid w:val="00415B11"/>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77F9"/>
    <w:rsid w:val="004D7BF3"/>
    <w:rsid w:val="004F0D6F"/>
    <w:rsid w:val="004F1804"/>
    <w:rsid w:val="004F364D"/>
    <w:rsid w:val="004F433D"/>
    <w:rsid w:val="0051518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7359"/>
    <w:rsid w:val="007543A6"/>
    <w:rsid w:val="0079053C"/>
    <w:rsid w:val="007A45AF"/>
    <w:rsid w:val="007B4293"/>
    <w:rsid w:val="007B644F"/>
    <w:rsid w:val="007D5BB3"/>
    <w:rsid w:val="007E5F9B"/>
    <w:rsid w:val="007E789F"/>
    <w:rsid w:val="007E78AE"/>
    <w:rsid w:val="00811F11"/>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B0CE1"/>
    <w:rsid w:val="008B3B82"/>
    <w:rsid w:val="008B422B"/>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A599B"/>
    <w:rsid w:val="009B413F"/>
    <w:rsid w:val="009C007C"/>
    <w:rsid w:val="009C1154"/>
    <w:rsid w:val="009C172C"/>
    <w:rsid w:val="009D72AA"/>
    <w:rsid w:val="009E48B7"/>
    <w:rsid w:val="00A03DBD"/>
    <w:rsid w:val="00A115B5"/>
    <w:rsid w:val="00A21443"/>
    <w:rsid w:val="00A24CD2"/>
    <w:rsid w:val="00A24DAC"/>
    <w:rsid w:val="00A40442"/>
    <w:rsid w:val="00A42C0C"/>
    <w:rsid w:val="00A42C0D"/>
    <w:rsid w:val="00A50BD9"/>
    <w:rsid w:val="00A5549A"/>
    <w:rsid w:val="00A61884"/>
    <w:rsid w:val="00A746D7"/>
    <w:rsid w:val="00A83507"/>
    <w:rsid w:val="00A9257D"/>
    <w:rsid w:val="00A977BC"/>
    <w:rsid w:val="00AA295B"/>
    <w:rsid w:val="00AC1061"/>
    <w:rsid w:val="00AC7BB8"/>
    <w:rsid w:val="00AE29DB"/>
    <w:rsid w:val="00AF1062"/>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476E0"/>
    <w:rsid w:val="00C47B38"/>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2532F"/>
    <w:rsid w:val="00D31978"/>
    <w:rsid w:val="00D34FF0"/>
    <w:rsid w:val="00D356CF"/>
    <w:rsid w:val="00D469D7"/>
    <w:rsid w:val="00D675A6"/>
    <w:rsid w:val="00D911D8"/>
    <w:rsid w:val="00DA00EC"/>
    <w:rsid w:val="00DB6E0E"/>
    <w:rsid w:val="00DB7C9F"/>
    <w:rsid w:val="00DC0698"/>
    <w:rsid w:val="00DE0389"/>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147E3"/>
    <w:rsid w:val="00F25701"/>
    <w:rsid w:val="00F278FF"/>
    <w:rsid w:val="00F326AF"/>
    <w:rsid w:val="00F3423C"/>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 w:val="0F5B5E20"/>
    <w:rsid w:val="38721BCD"/>
    <w:rsid w:val="4FBF36E3"/>
    <w:rsid w:val="6C8679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11"/>
    <w:pPr>
      <w:widowControl w:val="0"/>
      <w:jc w:val="both"/>
    </w:pPr>
    <w:rPr>
      <w:kern w:val="2"/>
      <w:sz w:val="21"/>
      <w:szCs w:val="22"/>
    </w:rPr>
  </w:style>
  <w:style w:type="paragraph" w:styleId="2">
    <w:name w:val="heading 2"/>
    <w:basedOn w:val="a"/>
    <w:next w:val="a"/>
    <w:link w:val="2Char"/>
    <w:qFormat/>
    <w:rsid w:val="00415B11"/>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415B11"/>
    <w:pPr>
      <w:shd w:val="clear" w:color="auto" w:fill="000080"/>
    </w:pPr>
  </w:style>
  <w:style w:type="paragraph" w:styleId="a4">
    <w:name w:val="Balloon Text"/>
    <w:basedOn w:val="a"/>
    <w:semiHidden/>
    <w:qFormat/>
    <w:rsid w:val="00415B11"/>
    <w:rPr>
      <w:sz w:val="18"/>
      <w:szCs w:val="18"/>
    </w:rPr>
  </w:style>
  <w:style w:type="paragraph" w:styleId="a5">
    <w:name w:val="footer"/>
    <w:basedOn w:val="a"/>
    <w:link w:val="Char"/>
    <w:uiPriority w:val="99"/>
    <w:qFormat/>
    <w:rsid w:val="00415B11"/>
    <w:pPr>
      <w:tabs>
        <w:tab w:val="center" w:pos="4153"/>
        <w:tab w:val="right" w:pos="8306"/>
      </w:tabs>
      <w:snapToGrid w:val="0"/>
      <w:jc w:val="left"/>
    </w:pPr>
    <w:rPr>
      <w:sz w:val="18"/>
      <w:szCs w:val="18"/>
    </w:rPr>
  </w:style>
  <w:style w:type="paragraph" w:styleId="a6">
    <w:name w:val="header"/>
    <w:basedOn w:val="a"/>
    <w:link w:val="Char0"/>
    <w:qFormat/>
    <w:rsid w:val="00415B1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415B11"/>
    <w:pPr>
      <w:snapToGrid w:val="0"/>
      <w:jc w:val="left"/>
    </w:pPr>
    <w:rPr>
      <w:rFonts w:ascii="Times New Roman" w:hAnsi="Times New Roman"/>
      <w:sz w:val="18"/>
      <w:szCs w:val="20"/>
    </w:rPr>
  </w:style>
  <w:style w:type="table" w:styleId="a8">
    <w:name w:val="Table Grid"/>
    <w:basedOn w:val="a1"/>
    <w:qFormat/>
    <w:rsid w:val="0041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415B11"/>
    <w:rPr>
      <w:vertAlign w:val="superscript"/>
    </w:rPr>
  </w:style>
  <w:style w:type="character" w:customStyle="1" w:styleId="2Char">
    <w:name w:val="标题 2 Char"/>
    <w:link w:val="2"/>
    <w:qFormat/>
    <w:rsid w:val="00415B11"/>
    <w:rPr>
      <w:rFonts w:ascii="Arial" w:eastAsia="黑体" w:hAnsi="Arial"/>
      <w:b/>
      <w:kern w:val="2"/>
      <w:sz w:val="32"/>
    </w:rPr>
  </w:style>
  <w:style w:type="character" w:customStyle="1" w:styleId="Char">
    <w:name w:val="页脚 Char"/>
    <w:link w:val="a5"/>
    <w:uiPriority w:val="99"/>
    <w:qFormat/>
    <w:rsid w:val="00415B11"/>
    <w:rPr>
      <w:kern w:val="2"/>
      <w:sz w:val="18"/>
      <w:szCs w:val="18"/>
    </w:rPr>
  </w:style>
  <w:style w:type="character" w:customStyle="1" w:styleId="Char0">
    <w:name w:val="页眉 Char"/>
    <w:link w:val="a6"/>
    <w:qFormat/>
    <w:rsid w:val="00415B11"/>
    <w:rPr>
      <w:kern w:val="2"/>
      <w:sz w:val="18"/>
      <w:szCs w:val="18"/>
    </w:rPr>
  </w:style>
  <w:style w:type="character" w:customStyle="1" w:styleId="Char1">
    <w:name w:val="脚注文本 Char"/>
    <w:link w:val="a7"/>
    <w:qFormat/>
    <w:rsid w:val="00415B11"/>
    <w:rPr>
      <w:rFonts w:ascii="Times New Roman" w:hAnsi="Times New Roman"/>
      <w:kern w:val="2"/>
      <w:sz w:val="18"/>
    </w:rPr>
  </w:style>
  <w:style w:type="paragraph" w:customStyle="1" w:styleId="Char2">
    <w:name w:val="Char"/>
    <w:basedOn w:val="a"/>
    <w:qFormat/>
    <w:rsid w:val="00415B11"/>
    <w:rPr>
      <w:rFonts w:ascii="Times New Roman" w:hAnsi="Times New Roman"/>
      <w:szCs w:val="24"/>
    </w:rPr>
  </w:style>
  <w:style w:type="paragraph" w:styleId="aa">
    <w:name w:val="List Paragraph"/>
    <w:basedOn w:val="a"/>
    <w:uiPriority w:val="34"/>
    <w:qFormat/>
    <w:rsid w:val="00415B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9D4CE-9C4C-483B-9D83-3D2DE72D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4</DocSecurity>
  <Lines>19</Lines>
  <Paragraphs>5</Paragraphs>
  <ScaleCrop>false</ScaleCrop>
  <Company>CNSTOCK</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2021-06-27T16:04:00Z</dcterms:created>
  <dcterms:modified xsi:type="dcterms:W3CDTF">2021-06-27T16:04:00Z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E94F0DF3CA7E412BBE90D4C320C7D00F</vt:lpwstr>
  </property>
</Properties>
</file>