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E" w:rsidRDefault="00C21F1B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bookmarkStart w:id="0" w:name="OLE_LINK13"/>
      <w:bookmarkStart w:id="1" w:name="OLE_LINK14"/>
      <w:r>
        <w:rPr>
          <w:rFonts w:ascii="Times New Roman" w:hAnsi="Times New Roman" w:hint="eastAsia"/>
          <w:b/>
          <w:sz w:val="32"/>
          <w:szCs w:val="30"/>
        </w:rPr>
        <w:t>先锋基金管理有限公司</w:t>
      </w:r>
    </w:p>
    <w:p w:rsidR="00012920" w:rsidRDefault="00C21F1B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 w:hint="eastAsia"/>
          <w:b/>
          <w:sz w:val="32"/>
          <w:szCs w:val="30"/>
        </w:rPr>
        <w:t>关于</w:t>
      </w:r>
      <w:r w:rsidR="006C0570" w:rsidRPr="006C0570">
        <w:rPr>
          <w:rFonts w:ascii="Times New Roman" w:hAnsi="Times New Roman" w:hint="eastAsia"/>
          <w:b/>
          <w:sz w:val="32"/>
          <w:szCs w:val="30"/>
        </w:rPr>
        <w:t>北京虹点基金销售有限公司</w:t>
      </w:r>
      <w:r>
        <w:rPr>
          <w:rFonts w:ascii="Times New Roman" w:hAnsi="Times New Roman"/>
          <w:b/>
          <w:sz w:val="32"/>
          <w:szCs w:val="30"/>
        </w:rPr>
        <w:t>增加为</w:t>
      </w:r>
      <w:r>
        <w:rPr>
          <w:rFonts w:ascii="Times New Roman" w:hAnsi="Times New Roman" w:hint="eastAsia"/>
          <w:b/>
          <w:sz w:val="32"/>
          <w:szCs w:val="30"/>
        </w:rPr>
        <w:t>销售机构及</w:t>
      </w:r>
    </w:p>
    <w:p w:rsidR="006B026E" w:rsidRDefault="00C21F1B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开通</w:t>
      </w:r>
      <w:r>
        <w:rPr>
          <w:rFonts w:ascii="Times New Roman" w:hAnsi="Times New Roman" w:hint="eastAsia"/>
          <w:b/>
          <w:sz w:val="32"/>
          <w:szCs w:val="30"/>
        </w:rPr>
        <w:t>定投</w:t>
      </w:r>
      <w:r>
        <w:rPr>
          <w:rFonts w:ascii="Times New Roman" w:hAnsi="Times New Roman"/>
          <w:b/>
          <w:sz w:val="32"/>
          <w:szCs w:val="30"/>
        </w:rPr>
        <w:t>和转换业务</w:t>
      </w:r>
      <w:r>
        <w:rPr>
          <w:rFonts w:ascii="Times New Roman" w:hAnsi="Times New Roman" w:hint="eastAsia"/>
          <w:b/>
          <w:sz w:val="32"/>
          <w:szCs w:val="30"/>
        </w:rPr>
        <w:t>的公告</w:t>
      </w:r>
    </w:p>
    <w:bookmarkEnd w:id="0"/>
    <w:bookmarkEnd w:id="1"/>
    <w:p w:rsidR="006B026E" w:rsidRDefault="006B026E">
      <w:pPr>
        <w:spacing w:line="300" w:lineRule="auto"/>
        <w:jc w:val="center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6B026E" w:rsidRDefault="00C21F1B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根据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管理有限公司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以下简称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“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本公司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”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）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与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北京虹点基金销售有限公司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</w:t>
      </w:r>
      <w:r>
        <w:rPr>
          <w:rFonts w:ascii="Times New Roman" w:hAnsi="Times New Roman" w:hint="eastAsia"/>
          <w:sz w:val="24"/>
        </w:rPr>
        <w:t>下简称</w:t>
      </w:r>
      <w:r>
        <w:rPr>
          <w:rFonts w:asciiTheme="minorEastAsia" w:hAnsiTheme="minorEastAsia"/>
          <w:sz w:val="24"/>
        </w:rPr>
        <w:t>“</w:t>
      </w:r>
      <w:r w:rsidR="006C0570">
        <w:rPr>
          <w:rFonts w:asciiTheme="minorEastAsia" w:hAnsiTheme="minorEastAsia" w:hint="eastAsia"/>
          <w:sz w:val="24"/>
        </w:rPr>
        <w:t>虹点</w:t>
      </w:r>
      <w:r w:rsidR="002F7CD2">
        <w:rPr>
          <w:rFonts w:asciiTheme="minorEastAsia" w:hAnsiTheme="minorEastAsia" w:hint="eastAsia"/>
          <w:sz w:val="24"/>
        </w:rPr>
        <w:t>基金</w:t>
      </w:r>
      <w:r>
        <w:rPr>
          <w:rFonts w:asciiTheme="minorEastAsia" w:hAnsiTheme="minorEastAsia"/>
          <w:sz w:val="24"/>
        </w:rPr>
        <w:t>”</w:t>
      </w:r>
      <w:r>
        <w:rPr>
          <w:rFonts w:ascii="Times New Roman" w:hAnsi="Times New Roman"/>
          <w:sz w:val="24"/>
        </w:rPr>
        <w:t>）</w:t>
      </w:r>
      <w:r w:rsidRPr="00D540EF">
        <w:rPr>
          <w:rFonts w:ascii="Times New Roman" w:hAnsi="Times New Roman" w:hint="eastAsia"/>
          <w:sz w:val="24"/>
        </w:rPr>
        <w:t>自</w:t>
      </w:r>
      <w:r w:rsidRPr="00D540EF">
        <w:rPr>
          <w:rFonts w:ascii="Times New Roman" w:hAnsi="Times New Roman" w:hint="eastAsia"/>
          <w:sz w:val="24"/>
        </w:rPr>
        <w:t>20</w:t>
      </w:r>
      <w:r w:rsidRPr="00D540EF">
        <w:rPr>
          <w:rFonts w:ascii="Times New Roman" w:hAnsi="Times New Roman"/>
          <w:sz w:val="24"/>
        </w:rPr>
        <w:t>21</w:t>
      </w:r>
      <w:r w:rsidRPr="00D540EF">
        <w:rPr>
          <w:rFonts w:ascii="Times New Roman" w:hAnsi="Times New Roman" w:hint="eastAsia"/>
          <w:sz w:val="24"/>
        </w:rPr>
        <w:t>年</w:t>
      </w:r>
      <w:r w:rsidR="002F7CD2" w:rsidRPr="005875BA">
        <w:rPr>
          <w:rFonts w:ascii="Times New Roman" w:hAnsi="Times New Roman" w:hint="eastAsia"/>
          <w:sz w:val="24"/>
        </w:rPr>
        <w:t>6</w:t>
      </w:r>
      <w:bookmarkStart w:id="2" w:name="_GoBack"/>
      <w:bookmarkEnd w:id="2"/>
      <w:r w:rsidRPr="005875BA">
        <w:rPr>
          <w:rFonts w:ascii="Times New Roman" w:hAnsi="Times New Roman" w:hint="eastAsia"/>
          <w:sz w:val="24"/>
        </w:rPr>
        <w:t>月</w:t>
      </w:r>
      <w:r w:rsidR="005875BA" w:rsidRPr="005875BA">
        <w:rPr>
          <w:rFonts w:ascii="Times New Roman" w:hAnsi="Times New Roman"/>
          <w:sz w:val="24"/>
        </w:rPr>
        <w:t>25</w:t>
      </w:r>
      <w:r w:rsidRPr="005875BA">
        <w:rPr>
          <w:rFonts w:ascii="Times New Roman" w:hAnsi="Times New Roman" w:hint="eastAsia"/>
          <w:sz w:val="24"/>
        </w:rPr>
        <w:t>日</w:t>
      </w:r>
      <w:r w:rsidRPr="00D540EF">
        <w:rPr>
          <w:rFonts w:ascii="Times New Roman" w:hAnsi="Times New Roman" w:hint="eastAsia"/>
          <w:sz w:val="24"/>
        </w:rPr>
        <w:t>起销售本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公司旗下基金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。现将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有关事项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公告如下：</w:t>
      </w:r>
    </w:p>
    <w:p w:rsidR="006B026E" w:rsidRDefault="00C21F1B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一、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新增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销售机构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名单</w:t>
      </w:r>
    </w:p>
    <w:p w:rsidR="006B026E" w:rsidRDefault="006C0570">
      <w:pPr>
        <w:spacing w:line="360" w:lineRule="auto"/>
        <w:ind w:firstLineChars="200"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 w:rsidRPr="006C0570"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北京虹点基金销售有限公司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住所：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北京市朝阳区东三环北路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17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10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层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1015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室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办公地址：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北京市朝阳区东三环北路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17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号恒安大厦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9</w:t>
      </w:r>
      <w:r w:rsidR="006C0570"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层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法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定代表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人：</w:t>
      </w:r>
      <w:r w:rsid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何静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联系人：</w:t>
      </w:r>
      <w:r w:rsid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王重阳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电话：</w:t>
      </w:r>
      <w:r w:rsidR="006C0570" w:rsidRPr="006C0570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010-85643600</w:t>
      </w:r>
    </w:p>
    <w:p w:rsidR="006C0570" w:rsidRPr="006C0570" w:rsidRDefault="006C0570" w:rsidP="006C0570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客服电话：</w:t>
      </w:r>
      <w:r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400-618-0707</w:t>
      </w:r>
    </w:p>
    <w:p w:rsidR="006C0570" w:rsidRDefault="006C0570" w:rsidP="006C0570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网址：</w:t>
      </w:r>
      <w:r w:rsidRP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www.hongdianfund.com</w:t>
      </w:r>
    </w:p>
    <w:p w:rsidR="006B026E" w:rsidRDefault="006B026E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6B026E" w:rsidRDefault="00C21F1B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二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、</w:t>
      </w:r>
      <w:r w:rsidRPr="009B35DE"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适用</w:t>
      </w:r>
      <w:r w:rsidRPr="009B35DE"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基金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及业务范围</w:t>
      </w:r>
    </w:p>
    <w:p w:rsidR="006B026E" w:rsidRDefault="00C21F1B" w:rsidP="00012920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自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20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年</w:t>
      </w:r>
      <w:r w:rsidR="002F7CD2" w:rsidRPr="005875BA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6</w:t>
      </w:r>
      <w:r w:rsidRPr="005875BA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月</w:t>
      </w:r>
      <w:r w:rsidR="005875BA" w:rsidRPr="005875BA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25</w:t>
      </w:r>
      <w:r w:rsidRPr="005875BA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日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起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，投资者可通过</w:t>
      </w:r>
      <w:r w:rsidR="006C057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虹点</w:t>
      </w:r>
      <w:r w:rsidR="002F7CD2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基金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办理</w:t>
      </w:r>
      <w:bookmarkStart w:id="3" w:name="OLE_LINK3"/>
      <w:bookmarkStart w:id="4" w:name="OLE_LINK1"/>
      <w:bookmarkStart w:id="5" w:name="OLE_LINK2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先锋博盈纯债债券型证券投资基金</w:t>
      </w:r>
      <w:bookmarkEnd w:id="3"/>
      <w:bookmarkEnd w:id="4"/>
      <w:bookmarkEnd w:id="5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先锋汇盈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纯债债券型证券投资基金、</w: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"https://etrade.xf-fund.com/downloadFile?url=/mall/2021/01/23/664654106969.PDF" \t "_blank" </w:instrTex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先锋精一灵活配置混合型发起式证券投资基金、</w: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"https://etrade.xf-fund.com/downloadFile?url=/mall/2021/01/23/664654108534.PDF" \t "_blank" </w:instrTex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先锋聚元灵活配置混合型证券投资基金、</w: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"https://etrade.xf-fund.com/downloadFile?url=/mall/2021/01/22/664568689282.PDF" \t "_blank" </w:instrTex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先锋聚优灵活配置混合型证券投资基金、</w: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"https://etrade.xf-fund.com/downloadFile?url=/mall/2021/01/22/664568688766.PDF" \t "_blank" </w:instrText>
      </w:r>
      <w:r w:rsidR="00E05AA8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先锋聚利灵活配置混合型证券投资基金、先锋量化优选灵活配置混合型证券投资基金、先锋日添利货币市场基金、先锋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现金宝货币市场基金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的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开户、申购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赎回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定投及转换等业务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。上述基金</w:t>
      </w:r>
      <w:r w:rsidR="00F67DF3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申（认）购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费率折扣以销售机构公告为准。</w:t>
      </w:r>
    </w:p>
    <w:p w:rsidR="006B026E" w:rsidRDefault="00E05AA8" w:rsidP="00012920">
      <w:pPr>
        <w:spacing w:line="360" w:lineRule="auto"/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</w:p>
    <w:p w:rsidR="006B026E" w:rsidRDefault="00C21F1B">
      <w:pPr>
        <w:spacing w:line="360" w:lineRule="auto"/>
        <w:ind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三、重要提示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、上述业务</w:t>
      </w:r>
      <w:r>
        <w:rPr>
          <w:rFonts w:ascii="Times New Roman" w:hAnsi="Times New Roman"/>
          <w:sz w:val="24"/>
        </w:rPr>
        <w:t>仅适用于处于正常</w:t>
      </w:r>
      <w:r>
        <w:rPr>
          <w:rFonts w:ascii="Times New Roman" w:hAnsi="Times New Roman" w:hint="eastAsia"/>
          <w:sz w:val="24"/>
        </w:rPr>
        <w:t>申购</w:t>
      </w:r>
      <w:r>
        <w:rPr>
          <w:rFonts w:ascii="Times New Roman" w:hAnsi="Times New Roman"/>
          <w:sz w:val="24"/>
        </w:rPr>
        <w:t>赎回期的基金。基金</w:t>
      </w:r>
      <w:r>
        <w:rPr>
          <w:rFonts w:ascii="Times New Roman" w:hAnsi="Times New Roman" w:hint="eastAsia"/>
          <w:sz w:val="24"/>
        </w:rPr>
        <w:t>封闭期</w:t>
      </w:r>
      <w:r>
        <w:rPr>
          <w:rFonts w:ascii="Times New Roman" w:hAnsi="Times New Roman"/>
          <w:sz w:val="24"/>
        </w:rPr>
        <w:t>等特殊期间</w:t>
      </w:r>
      <w:r>
        <w:rPr>
          <w:rFonts w:ascii="Times New Roman" w:hAnsi="Times New Roman" w:hint="eastAsia"/>
          <w:sz w:val="24"/>
        </w:rPr>
        <w:t>的</w:t>
      </w:r>
      <w:r>
        <w:rPr>
          <w:rFonts w:ascii="Times New Roman" w:hAnsi="Times New Roman"/>
          <w:sz w:val="24"/>
        </w:rPr>
        <w:t>有关规定详见对应基金的基金合同和招募说明书等法律文件，以及本</w:t>
      </w:r>
      <w:r>
        <w:rPr>
          <w:rFonts w:ascii="Times New Roman" w:hAnsi="Times New Roman" w:hint="eastAsia"/>
          <w:sz w:val="24"/>
        </w:rPr>
        <w:t>公司</w:t>
      </w:r>
      <w:r>
        <w:rPr>
          <w:rFonts w:ascii="Times New Roman" w:hAnsi="Times New Roman"/>
          <w:sz w:val="24"/>
        </w:rPr>
        <w:t>发布</w:t>
      </w:r>
      <w:r>
        <w:rPr>
          <w:rFonts w:ascii="Times New Roman" w:hAnsi="Times New Roman"/>
          <w:sz w:val="24"/>
        </w:rPr>
        <w:lastRenderedPageBreak/>
        <w:t>的最新业务公告。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、投资者</w:t>
      </w:r>
      <w:r>
        <w:rPr>
          <w:rFonts w:ascii="Times New Roman" w:hAnsi="Times New Roman"/>
          <w:sz w:val="24"/>
        </w:rPr>
        <w:t>应认真阅读拟投资基金的《</w:t>
      </w:r>
      <w:r>
        <w:rPr>
          <w:rFonts w:ascii="Times New Roman" w:hAnsi="Times New Roman" w:hint="eastAsia"/>
          <w:sz w:val="24"/>
        </w:rPr>
        <w:t>基金合同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招募说明书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 w:hint="eastAsia"/>
          <w:sz w:val="24"/>
        </w:rPr>
        <w:t>等</w:t>
      </w:r>
      <w:r>
        <w:rPr>
          <w:rFonts w:ascii="Times New Roman" w:hAnsi="Times New Roman"/>
          <w:sz w:val="24"/>
        </w:rPr>
        <w:t>法律文件，了解所投资基金的风险收益特征，并根据自身情况购买与本人风险承受能力相匹配的产品。</w:t>
      </w:r>
    </w:p>
    <w:p w:rsidR="006B026E" w:rsidRDefault="00C21F1B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四、投资者可通过以下途径了解或咨询相关情况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、先锋基金管理有限公司客户服务电话：</w:t>
      </w:r>
      <w:r>
        <w:rPr>
          <w:rFonts w:ascii="Times New Roman" w:hAnsi="Times New Roman" w:hint="eastAsia"/>
          <w:sz w:val="24"/>
        </w:rPr>
        <w:t>400-815-9998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、先锋基金管理有限公司网址：</w:t>
      </w:r>
      <w:r>
        <w:rPr>
          <w:rFonts w:ascii="Times New Roman" w:hAnsi="Times New Roman" w:hint="eastAsia"/>
          <w:sz w:val="24"/>
        </w:rPr>
        <w:t>www.xf-fund.com</w:t>
      </w:r>
    </w:p>
    <w:p w:rsidR="006B026E" w:rsidRDefault="00C21F1B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</w:t>
      </w:r>
      <w:r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风险提示</w:t>
      </w:r>
    </w:p>
    <w:p w:rsidR="006B026E" w:rsidRDefault="00C21F1B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基金管理人承诺以诚实信用、勤勉尽责的原则管理和运用基金资产，但不保证基金一定盈利，也不保证最低收益。敬请投资者留意投资风险。</w:t>
      </w:r>
    </w:p>
    <w:p w:rsidR="006B026E" w:rsidRDefault="00C21F1B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特此公告。</w:t>
      </w:r>
    </w:p>
    <w:p w:rsidR="006B026E" w:rsidRDefault="006B026E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6B026E" w:rsidRDefault="00C21F1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先锋基金管理有限公司</w:t>
      </w:r>
    </w:p>
    <w:p w:rsidR="006B026E" w:rsidRDefault="00C21F1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 w:hint="eastAsia"/>
          <w:sz w:val="24"/>
        </w:rPr>
        <w:t>二○二一年</w:t>
      </w:r>
      <w:r w:rsidR="006C0570" w:rsidRPr="005875BA">
        <w:rPr>
          <w:rFonts w:ascii="Times New Roman" w:hAnsi="Times New Roman" w:hint="eastAsia"/>
          <w:sz w:val="24"/>
        </w:rPr>
        <w:t>六月</w:t>
      </w:r>
      <w:r w:rsidR="005875BA" w:rsidRPr="005875BA">
        <w:rPr>
          <w:rFonts w:ascii="Times New Roman" w:hAnsi="Times New Roman" w:hint="eastAsia"/>
          <w:sz w:val="24"/>
        </w:rPr>
        <w:t>二十五</w:t>
      </w:r>
      <w:r w:rsidRPr="005875BA">
        <w:rPr>
          <w:rFonts w:ascii="Times New Roman" w:hAnsi="Times New Roman" w:hint="eastAsia"/>
          <w:sz w:val="24"/>
        </w:rPr>
        <w:t>日</w:t>
      </w:r>
    </w:p>
    <w:sectPr w:rsidR="006B026E" w:rsidSect="00E05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DC" w:rsidRDefault="00426CDC" w:rsidP="00012920">
      <w:r>
        <w:separator/>
      </w:r>
    </w:p>
  </w:endnote>
  <w:endnote w:type="continuationSeparator" w:id="0">
    <w:p w:rsidR="00426CDC" w:rsidRDefault="00426CDC" w:rsidP="0001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DC" w:rsidRDefault="00426CDC" w:rsidP="00012920">
      <w:r>
        <w:separator/>
      </w:r>
    </w:p>
  </w:footnote>
  <w:footnote w:type="continuationSeparator" w:id="0">
    <w:p w:rsidR="00426CDC" w:rsidRDefault="00426CDC" w:rsidP="00012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D56C5"/>
    <w:rsid w:val="00012920"/>
    <w:rsid w:val="00016697"/>
    <w:rsid w:val="000174F8"/>
    <w:rsid w:val="00032EF6"/>
    <w:rsid w:val="00037E7D"/>
    <w:rsid w:val="0004090F"/>
    <w:rsid w:val="000458AD"/>
    <w:rsid w:val="000A7009"/>
    <w:rsid w:val="000C2047"/>
    <w:rsid w:val="000F1235"/>
    <w:rsid w:val="00122DC5"/>
    <w:rsid w:val="001276CA"/>
    <w:rsid w:val="00150FE4"/>
    <w:rsid w:val="001520E1"/>
    <w:rsid w:val="001728CC"/>
    <w:rsid w:val="0017711F"/>
    <w:rsid w:val="00181D36"/>
    <w:rsid w:val="001A394D"/>
    <w:rsid w:val="001A6ADB"/>
    <w:rsid w:val="001C732A"/>
    <w:rsid w:val="001E36B8"/>
    <w:rsid w:val="001E4DE3"/>
    <w:rsid w:val="001F3084"/>
    <w:rsid w:val="001F5AF6"/>
    <w:rsid w:val="00212CB3"/>
    <w:rsid w:val="002147D1"/>
    <w:rsid w:val="00216B0E"/>
    <w:rsid w:val="0023516E"/>
    <w:rsid w:val="00246AEF"/>
    <w:rsid w:val="00296C84"/>
    <w:rsid w:val="002B5898"/>
    <w:rsid w:val="002D1CD7"/>
    <w:rsid w:val="002E26E7"/>
    <w:rsid w:val="002E6FB8"/>
    <w:rsid w:val="002F7CD2"/>
    <w:rsid w:val="00316438"/>
    <w:rsid w:val="003243FB"/>
    <w:rsid w:val="00324A13"/>
    <w:rsid w:val="00372BD7"/>
    <w:rsid w:val="00382409"/>
    <w:rsid w:val="00384A29"/>
    <w:rsid w:val="00396BF9"/>
    <w:rsid w:val="003A75F4"/>
    <w:rsid w:val="003B4D61"/>
    <w:rsid w:val="003B6572"/>
    <w:rsid w:val="003C6FE8"/>
    <w:rsid w:val="003D7F1A"/>
    <w:rsid w:val="004116C1"/>
    <w:rsid w:val="00416DAA"/>
    <w:rsid w:val="00426CDC"/>
    <w:rsid w:val="004455EB"/>
    <w:rsid w:val="004471F4"/>
    <w:rsid w:val="004674A6"/>
    <w:rsid w:val="0047096A"/>
    <w:rsid w:val="00476F50"/>
    <w:rsid w:val="004A121C"/>
    <w:rsid w:val="004C146A"/>
    <w:rsid w:val="004C4E09"/>
    <w:rsid w:val="004E15B1"/>
    <w:rsid w:val="004E3F16"/>
    <w:rsid w:val="004F147B"/>
    <w:rsid w:val="005018C4"/>
    <w:rsid w:val="005064DB"/>
    <w:rsid w:val="00551693"/>
    <w:rsid w:val="005556B8"/>
    <w:rsid w:val="0055587F"/>
    <w:rsid w:val="00564736"/>
    <w:rsid w:val="005752A7"/>
    <w:rsid w:val="005875BA"/>
    <w:rsid w:val="005B2A89"/>
    <w:rsid w:val="005C271E"/>
    <w:rsid w:val="005D56C5"/>
    <w:rsid w:val="005F05D8"/>
    <w:rsid w:val="0060329D"/>
    <w:rsid w:val="0060606D"/>
    <w:rsid w:val="00622422"/>
    <w:rsid w:val="00646DBA"/>
    <w:rsid w:val="00682FC3"/>
    <w:rsid w:val="00694CC8"/>
    <w:rsid w:val="00695FD9"/>
    <w:rsid w:val="006A0C9E"/>
    <w:rsid w:val="006B026E"/>
    <w:rsid w:val="006C0570"/>
    <w:rsid w:val="006C3831"/>
    <w:rsid w:val="006C6EF2"/>
    <w:rsid w:val="006D6DD8"/>
    <w:rsid w:val="006E4EB2"/>
    <w:rsid w:val="00705CF3"/>
    <w:rsid w:val="00725ABA"/>
    <w:rsid w:val="00765E4D"/>
    <w:rsid w:val="00787AE6"/>
    <w:rsid w:val="00792327"/>
    <w:rsid w:val="0079569E"/>
    <w:rsid w:val="007B73E0"/>
    <w:rsid w:val="007C04BC"/>
    <w:rsid w:val="007E4099"/>
    <w:rsid w:val="007E6F7A"/>
    <w:rsid w:val="007F0DCE"/>
    <w:rsid w:val="008142E4"/>
    <w:rsid w:val="008235F7"/>
    <w:rsid w:val="00824A9F"/>
    <w:rsid w:val="00831B6F"/>
    <w:rsid w:val="0084782C"/>
    <w:rsid w:val="008537C3"/>
    <w:rsid w:val="00855D24"/>
    <w:rsid w:val="00881A7D"/>
    <w:rsid w:val="008B1748"/>
    <w:rsid w:val="008B66E8"/>
    <w:rsid w:val="008E46E0"/>
    <w:rsid w:val="008E6FF7"/>
    <w:rsid w:val="008F6C60"/>
    <w:rsid w:val="0091017E"/>
    <w:rsid w:val="0091768C"/>
    <w:rsid w:val="009200BD"/>
    <w:rsid w:val="00942BA3"/>
    <w:rsid w:val="00992DAA"/>
    <w:rsid w:val="009A2DC6"/>
    <w:rsid w:val="009A71E1"/>
    <w:rsid w:val="009B35DE"/>
    <w:rsid w:val="009D02E4"/>
    <w:rsid w:val="009D5D92"/>
    <w:rsid w:val="009E1148"/>
    <w:rsid w:val="00A15186"/>
    <w:rsid w:val="00A5298F"/>
    <w:rsid w:val="00A54DAD"/>
    <w:rsid w:val="00A56995"/>
    <w:rsid w:val="00A57CA1"/>
    <w:rsid w:val="00A6044D"/>
    <w:rsid w:val="00A6615C"/>
    <w:rsid w:val="00A66FA1"/>
    <w:rsid w:val="00A7109E"/>
    <w:rsid w:val="00A74984"/>
    <w:rsid w:val="00A859AD"/>
    <w:rsid w:val="00A9422C"/>
    <w:rsid w:val="00AA0CAB"/>
    <w:rsid w:val="00AB0D34"/>
    <w:rsid w:val="00B03ED8"/>
    <w:rsid w:val="00B31A97"/>
    <w:rsid w:val="00B33B78"/>
    <w:rsid w:val="00B41814"/>
    <w:rsid w:val="00B44BB4"/>
    <w:rsid w:val="00B655DC"/>
    <w:rsid w:val="00B824E4"/>
    <w:rsid w:val="00BA412E"/>
    <w:rsid w:val="00BE5EAB"/>
    <w:rsid w:val="00C0555A"/>
    <w:rsid w:val="00C15D33"/>
    <w:rsid w:val="00C21F1B"/>
    <w:rsid w:val="00C51B1E"/>
    <w:rsid w:val="00C72314"/>
    <w:rsid w:val="00C76A13"/>
    <w:rsid w:val="00C814FC"/>
    <w:rsid w:val="00C91236"/>
    <w:rsid w:val="00CA6A6A"/>
    <w:rsid w:val="00CB284F"/>
    <w:rsid w:val="00CB2907"/>
    <w:rsid w:val="00CF7CC1"/>
    <w:rsid w:val="00D26EB1"/>
    <w:rsid w:val="00D540EF"/>
    <w:rsid w:val="00D64F5D"/>
    <w:rsid w:val="00D667A3"/>
    <w:rsid w:val="00D82848"/>
    <w:rsid w:val="00DA34A1"/>
    <w:rsid w:val="00DB2198"/>
    <w:rsid w:val="00DC2353"/>
    <w:rsid w:val="00E02321"/>
    <w:rsid w:val="00E05AA8"/>
    <w:rsid w:val="00E4191C"/>
    <w:rsid w:val="00E43EC4"/>
    <w:rsid w:val="00E52089"/>
    <w:rsid w:val="00E54594"/>
    <w:rsid w:val="00E601F2"/>
    <w:rsid w:val="00E84228"/>
    <w:rsid w:val="00EB075B"/>
    <w:rsid w:val="00EE2B35"/>
    <w:rsid w:val="00EF671C"/>
    <w:rsid w:val="00F03A04"/>
    <w:rsid w:val="00F11B37"/>
    <w:rsid w:val="00F35F06"/>
    <w:rsid w:val="00F43959"/>
    <w:rsid w:val="00F46BC5"/>
    <w:rsid w:val="00F62A50"/>
    <w:rsid w:val="00F62FC3"/>
    <w:rsid w:val="00F67DF3"/>
    <w:rsid w:val="00F72537"/>
    <w:rsid w:val="00F8362D"/>
    <w:rsid w:val="00F853EF"/>
    <w:rsid w:val="00F911C9"/>
    <w:rsid w:val="00FC4069"/>
    <w:rsid w:val="00FD1CC0"/>
    <w:rsid w:val="00FF7097"/>
    <w:rsid w:val="02547A70"/>
    <w:rsid w:val="034312A8"/>
    <w:rsid w:val="06842E94"/>
    <w:rsid w:val="07B0532A"/>
    <w:rsid w:val="0A013DB9"/>
    <w:rsid w:val="0C9F2A52"/>
    <w:rsid w:val="0EAC4E0C"/>
    <w:rsid w:val="0F843807"/>
    <w:rsid w:val="111F1E00"/>
    <w:rsid w:val="12227893"/>
    <w:rsid w:val="126359A9"/>
    <w:rsid w:val="12C6543C"/>
    <w:rsid w:val="1727141B"/>
    <w:rsid w:val="190A5377"/>
    <w:rsid w:val="196C13EA"/>
    <w:rsid w:val="1B0D5520"/>
    <w:rsid w:val="1B47342D"/>
    <w:rsid w:val="1B797C86"/>
    <w:rsid w:val="1FD41C91"/>
    <w:rsid w:val="212B3CEE"/>
    <w:rsid w:val="21AC3994"/>
    <w:rsid w:val="21CC5F9B"/>
    <w:rsid w:val="21ED7134"/>
    <w:rsid w:val="22E608E7"/>
    <w:rsid w:val="23113D77"/>
    <w:rsid w:val="26C86AAF"/>
    <w:rsid w:val="290A460F"/>
    <w:rsid w:val="290D6C49"/>
    <w:rsid w:val="2BBC7716"/>
    <w:rsid w:val="2CF329C3"/>
    <w:rsid w:val="2E941B60"/>
    <w:rsid w:val="2EC4464B"/>
    <w:rsid w:val="3A053EFB"/>
    <w:rsid w:val="3A20640B"/>
    <w:rsid w:val="3C40762B"/>
    <w:rsid w:val="3D095A5B"/>
    <w:rsid w:val="3D2E3327"/>
    <w:rsid w:val="3D8C269E"/>
    <w:rsid w:val="3DD46841"/>
    <w:rsid w:val="3E2E37F4"/>
    <w:rsid w:val="40BF4BB1"/>
    <w:rsid w:val="43B47F8B"/>
    <w:rsid w:val="4A253615"/>
    <w:rsid w:val="4A8B761B"/>
    <w:rsid w:val="4B78243F"/>
    <w:rsid w:val="4E573545"/>
    <w:rsid w:val="50523E84"/>
    <w:rsid w:val="508B66E1"/>
    <w:rsid w:val="526277FB"/>
    <w:rsid w:val="56210B83"/>
    <w:rsid w:val="57B0788A"/>
    <w:rsid w:val="5A890A14"/>
    <w:rsid w:val="5A975F4C"/>
    <w:rsid w:val="5ADB30CF"/>
    <w:rsid w:val="5C660ACF"/>
    <w:rsid w:val="5DA5493B"/>
    <w:rsid w:val="5DC20864"/>
    <w:rsid w:val="5EA4794D"/>
    <w:rsid w:val="607651AE"/>
    <w:rsid w:val="60BC3D87"/>
    <w:rsid w:val="614D2AE6"/>
    <w:rsid w:val="616608D5"/>
    <w:rsid w:val="638A1ADF"/>
    <w:rsid w:val="64AE31EA"/>
    <w:rsid w:val="68BB1B96"/>
    <w:rsid w:val="69745355"/>
    <w:rsid w:val="6CB6096E"/>
    <w:rsid w:val="70550C29"/>
    <w:rsid w:val="70D3537E"/>
    <w:rsid w:val="724A08C2"/>
    <w:rsid w:val="730437F5"/>
    <w:rsid w:val="754A30CE"/>
    <w:rsid w:val="75FE43C8"/>
    <w:rsid w:val="78343784"/>
    <w:rsid w:val="7864429A"/>
    <w:rsid w:val="7A4400A9"/>
    <w:rsid w:val="7A5E4D8E"/>
    <w:rsid w:val="7AE23BEF"/>
    <w:rsid w:val="7CBB3351"/>
    <w:rsid w:val="7EE2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E05AA8"/>
    <w:pPr>
      <w:jc w:val="left"/>
    </w:pPr>
  </w:style>
  <w:style w:type="paragraph" w:styleId="a4">
    <w:name w:val="Balloon Text"/>
    <w:basedOn w:val="a"/>
    <w:link w:val="Char0"/>
    <w:semiHidden/>
    <w:unhideWhenUsed/>
    <w:rsid w:val="00E05AA8"/>
    <w:rPr>
      <w:sz w:val="18"/>
      <w:szCs w:val="18"/>
    </w:rPr>
  </w:style>
  <w:style w:type="paragraph" w:styleId="a5">
    <w:name w:val="footer"/>
    <w:basedOn w:val="a"/>
    <w:link w:val="Char1"/>
    <w:rsid w:val="00E0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E0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05A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rsid w:val="00E05AA8"/>
    <w:rPr>
      <w:b/>
      <w:bCs/>
    </w:rPr>
  </w:style>
  <w:style w:type="character" w:styleId="a9">
    <w:name w:val="Hyperlink"/>
    <w:basedOn w:val="a0"/>
    <w:unhideWhenUsed/>
    <w:rsid w:val="00E05AA8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rsid w:val="00E05AA8"/>
    <w:rPr>
      <w:sz w:val="21"/>
      <w:szCs w:val="21"/>
    </w:rPr>
  </w:style>
  <w:style w:type="character" w:customStyle="1" w:styleId="Char2">
    <w:name w:val="页眉 Char"/>
    <w:basedOn w:val="a0"/>
    <w:link w:val="a6"/>
    <w:rsid w:val="00E05A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E05AA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sid w:val="00E05AA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E05AA8"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rsid w:val="00E05AA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rsid w:val="00E05AA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rsid w:val="00E05A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4</DocSecurity>
  <Lines>9</Lines>
  <Paragraphs>2</Paragraphs>
  <ScaleCrop>false</ScaleCrop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2021-06-24T16:16:00Z</dcterms:created>
  <dcterms:modified xsi:type="dcterms:W3CDTF">2021-06-24T16:16:00Z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