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EA" w:rsidRDefault="00FF3334" w:rsidP="001C2156">
      <w:pPr>
        <w:spacing w:line="288" w:lineRule="auto"/>
        <w:ind w:leftChars="0" w:left="0" w:rightChars="0" w:right="0" w:firstLineChars="0" w:firstLine="0"/>
        <w:jc w:val="center"/>
        <w:rPr>
          <w:b/>
          <w:sz w:val="32"/>
          <w:szCs w:val="32"/>
        </w:rPr>
      </w:pPr>
      <w:r w:rsidRPr="00FF3334">
        <w:rPr>
          <w:rFonts w:hint="eastAsia"/>
          <w:b/>
          <w:sz w:val="32"/>
          <w:szCs w:val="32"/>
        </w:rPr>
        <w:t>关于中金</w:t>
      </w:r>
      <w:r w:rsidR="00410BEA">
        <w:rPr>
          <w:rFonts w:hint="eastAsia"/>
          <w:b/>
          <w:sz w:val="32"/>
          <w:szCs w:val="32"/>
        </w:rPr>
        <w:t>衡利</w:t>
      </w:r>
      <w:r w:rsidRPr="00FF3334">
        <w:rPr>
          <w:b/>
          <w:sz w:val="32"/>
          <w:szCs w:val="32"/>
        </w:rPr>
        <w:t>1</w:t>
      </w:r>
      <w:r w:rsidRPr="00FF3334">
        <w:rPr>
          <w:b/>
          <w:sz w:val="32"/>
          <w:szCs w:val="32"/>
        </w:rPr>
        <w:t>年定期开放债券型证券投资基金</w:t>
      </w:r>
    </w:p>
    <w:p w:rsidR="003C60CC" w:rsidRPr="00B82E30" w:rsidRDefault="00FF3334" w:rsidP="001C2156">
      <w:pPr>
        <w:spacing w:line="288" w:lineRule="auto"/>
        <w:ind w:leftChars="0" w:left="0" w:rightChars="0" w:right="0" w:firstLineChars="0" w:firstLine="0"/>
        <w:jc w:val="center"/>
        <w:rPr>
          <w:b/>
          <w:sz w:val="32"/>
          <w:szCs w:val="32"/>
        </w:rPr>
      </w:pPr>
      <w:r w:rsidRPr="00FF3334">
        <w:rPr>
          <w:b/>
          <w:sz w:val="32"/>
          <w:szCs w:val="32"/>
        </w:rPr>
        <w:t>延长开放期的公告</w:t>
      </w:r>
    </w:p>
    <w:p w:rsidR="003C60CC" w:rsidRPr="00DF780D" w:rsidRDefault="003C60CC" w:rsidP="00861D77">
      <w:pPr>
        <w:spacing w:line="360" w:lineRule="auto"/>
        <w:ind w:left="210" w:right="210" w:firstLine="420"/>
      </w:pPr>
    </w:p>
    <w:p w:rsidR="001133AF" w:rsidRPr="00861D77" w:rsidRDefault="000B7D90" w:rsidP="00861D77">
      <w:pPr>
        <w:spacing w:line="360" w:lineRule="auto"/>
        <w:ind w:leftChars="0" w:rightChars="0" w:right="0"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根据</w:t>
      </w:r>
      <w:r w:rsidR="006C7D55">
        <w:rPr>
          <w:rFonts w:ascii="Arial" w:hAnsi="Arial" w:cs="Arial" w:hint="eastAsia"/>
          <w:sz w:val="24"/>
          <w:szCs w:val="24"/>
        </w:rPr>
        <w:t>《</w:t>
      </w:r>
      <w:r w:rsidR="00F37AF2">
        <w:rPr>
          <w:rFonts w:ascii="Arial" w:hAnsi="Arial" w:cs="Arial" w:hint="eastAsia"/>
          <w:sz w:val="24"/>
          <w:szCs w:val="24"/>
        </w:rPr>
        <w:t>中金</w:t>
      </w:r>
      <w:r w:rsidR="00410BEA">
        <w:rPr>
          <w:rFonts w:ascii="Arial" w:hAnsi="Arial" w:cs="Arial" w:hint="eastAsia"/>
          <w:sz w:val="24"/>
          <w:szCs w:val="24"/>
        </w:rPr>
        <w:t>衡利</w:t>
      </w:r>
      <w:r w:rsidR="00F37AF2">
        <w:rPr>
          <w:rFonts w:ascii="Arial" w:hAnsi="Arial" w:cs="Arial" w:hint="eastAsia"/>
          <w:sz w:val="24"/>
          <w:szCs w:val="24"/>
        </w:rPr>
        <w:t>1</w:t>
      </w:r>
      <w:r w:rsidR="00F37AF2">
        <w:rPr>
          <w:rFonts w:ascii="Arial" w:hAnsi="Arial" w:cs="Arial" w:hint="eastAsia"/>
          <w:sz w:val="24"/>
          <w:szCs w:val="24"/>
        </w:rPr>
        <w:t>年定期开放债券型证券投资基金</w:t>
      </w:r>
      <w:r w:rsidR="008759AC" w:rsidRPr="008759AC">
        <w:rPr>
          <w:rFonts w:ascii="Arial" w:hAnsi="Arial" w:cs="Arial"/>
          <w:sz w:val="24"/>
          <w:szCs w:val="24"/>
        </w:rPr>
        <w:t>基金合同</w:t>
      </w:r>
      <w:r w:rsidR="006C7D55">
        <w:rPr>
          <w:rFonts w:ascii="Arial" w:hAnsi="Arial" w:cs="Arial" w:hint="eastAsia"/>
          <w:sz w:val="24"/>
          <w:szCs w:val="24"/>
        </w:rPr>
        <w:t>》</w:t>
      </w:r>
      <w:r w:rsidR="000063C4">
        <w:rPr>
          <w:rFonts w:ascii="Arial" w:hAnsi="Arial" w:cs="Arial" w:hint="eastAsia"/>
          <w:sz w:val="24"/>
          <w:szCs w:val="24"/>
        </w:rPr>
        <w:t>、《中金衡利</w:t>
      </w:r>
      <w:r w:rsidR="000063C4">
        <w:rPr>
          <w:rFonts w:ascii="Arial" w:hAnsi="Arial" w:cs="Arial" w:hint="eastAsia"/>
          <w:sz w:val="24"/>
          <w:szCs w:val="24"/>
        </w:rPr>
        <w:t>1</w:t>
      </w:r>
      <w:r w:rsidR="000063C4">
        <w:rPr>
          <w:rFonts w:ascii="Arial" w:hAnsi="Arial" w:cs="Arial" w:hint="eastAsia"/>
          <w:sz w:val="24"/>
          <w:szCs w:val="24"/>
        </w:rPr>
        <w:t>年定期开放债券型证券投资基金招募说明书》</w:t>
      </w:r>
      <w:r w:rsidR="006C7D55">
        <w:rPr>
          <w:rFonts w:ascii="Arial" w:hAnsi="Arial" w:cs="Arial"/>
          <w:sz w:val="24"/>
          <w:szCs w:val="24"/>
        </w:rPr>
        <w:t>的</w:t>
      </w:r>
      <w:r w:rsidR="008759AC" w:rsidRPr="008759AC">
        <w:rPr>
          <w:rFonts w:ascii="Arial" w:hAnsi="Arial" w:cs="Arial"/>
          <w:sz w:val="24"/>
          <w:szCs w:val="24"/>
        </w:rPr>
        <w:t>约定</w:t>
      </w:r>
      <w:r w:rsidR="000063C4">
        <w:rPr>
          <w:rFonts w:ascii="Arial" w:hAnsi="Arial" w:cs="Arial"/>
          <w:sz w:val="24"/>
          <w:szCs w:val="24"/>
        </w:rPr>
        <w:t>以及</w:t>
      </w:r>
      <w:r w:rsidR="000063C4" w:rsidRPr="008759AC">
        <w:rPr>
          <w:rFonts w:ascii="Arial" w:hAnsi="Arial" w:cs="Arial"/>
          <w:sz w:val="24"/>
          <w:szCs w:val="24"/>
        </w:rPr>
        <w:t>20</w:t>
      </w:r>
      <w:r w:rsidR="000063C4">
        <w:rPr>
          <w:rFonts w:ascii="Arial" w:hAnsi="Arial" w:cs="Arial" w:hint="eastAsia"/>
          <w:sz w:val="24"/>
          <w:szCs w:val="24"/>
        </w:rPr>
        <w:t>21</w:t>
      </w:r>
      <w:r w:rsidR="000063C4" w:rsidRPr="008759AC">
        <w:rPr>
          <w:rFonts w:ascii="Arial" w:hAnsi="Arial" w:cs="Arial"/>
          <w:sz w:val="24"/>
          <w:szCs w:val="24"/>
        </w:rPr>
        <w:t>年</w:t>
      </w:r>
      <w:r w:rsidR="000063C4" w:rsidRPr="008759AC">
        <w:rPr>
          <w:rFonts w:ascii="Arial" w:hAnsi="Arial" w:cs="Arial"/>
          <w:sz w:val="24"/>
          <w:szCs w:val="24"/>
        </w:rPr>
        <w:t>6</w:t>
      </w:r>
      <w:r w:rsidR="000063C4" w:rsidRPr="008759AC">
        <w:rPr>
          <w:rFonts w:ascii="Arial" w:hAnsi="Arial" w:cs="Arial"/>
          <w:sz w:val="24"/>
          <w:szCs w:val="24"/>
        </w:rPr>
        <w:t>月</w:t>
      </w:r>
      <w:r w:rsidR="000063C4">
        <w:rPr>
          <w:rFonts w:ascii="Arial" w:hAnsi="Arial" w:cs="Arial" w:hint="eastAsia"/>
          <w:sz w:val="24"/>
          <w:szCs w:val="24"/>
        </w:rPr>
        <w:t>1</w:t>
      </w:r>
      <w:r w:rsidR="000063C4" w:rsidRPr="008759AC">
        <w:rPr>
          <w:rFonts w:ascii="Arial" w:hAnsi="Arial" w:cs="Arial"/>
          <w:sz w:val="24"/>
          <w:szCs w:val="24"/>
        </w:rPr>
        <w:t>日发布的《</w:t>
      </w:r>
      <w:r w:rsidR="000063C4" w:rsidRPr="00410BEA">
        <w:rPr>
          <w:rFonts w:ascii="Arial" w:hAnsi="Arial" w:cs="Arial" w:hint="eastAsia"/>
          <w:sz w:val="24"/>
          <w:szCs w:val="24"/>
        </w:rPr>
        <w:t>关于中金衡利</w:t>
      </w:r>
      <w:r w:rsidR="000063C4" w:rsidRPr="00410BEA">
        <w:rPr>
          <w:rFonts w:ascii="Arial" w:hAnsi="Arial" w:cs="Arial"/>
          <w:sz w:val="24"/>
          <w:szCs w:val="24"/>
        </w:rPr>
        <w:t>1</w:t>
      </w:r>
      <w:r w:rsidR="000063C4" w:rsidRPr="00410BEA">
        <w:rPr>
          <w:rFonts w:ascii="Arial" w:hAnsi="Arial" w:cs="Arial"/>
          <w:sz w:val="24"/>
          <w:szCs w:val="24"/>
        </w:rPr>
        <w:t>年定期开放债券型证券投资基金开放申购、赎回和转换相关业务的公告</w:t>
      </w:r>
      <w:r w:rsidR="000063C4" w:rsidRPr="008759AC">
        <w:rPr>
          <w:rFonts w:ascii="Arial" w:hAnsi="Arial" w:cs="Arial" w:hint="eastAsia"/>
          <w:sz w:val="24"/>
          <w:szCs w:val="24"/>
        </w:rPr>
        <w:t>》</w:t>
      </w:r>
      <w:r w:rsidR="000063C4">
        <w:rPr>
          <w:rFonts w:ascii="Arial" w:hAnsi="Arial" w:cs="Arial" w:hint="eastAsia"/>
          <w:sz w:val="24"/>
          <w:szCs w:val="24"/>
        </w:rPr>
        <w:t>，现因中金衡利</w:t>
      </w:r>
      <w:r w:rsidR="000063C4">
        <w:rPr>
          <w:rFonts w:ascii="Arial" w:hAnsi="Arial" w:cs="Arial" w:hint="eastAsia"/>
          <w:sz w:val="24"/>
          <w:szCs w:val="24"/>
        </w:rPr>
        <w:t>1</w:t>
      </w:r>
      <w:r w:rsidR="000063C4">
        <w:rPr>
          <w:rFonts w:ascii="Arial" w:hAnsi="Arial" w:cs="Arial" w:hint="eastAsia"/>
          <w:sz w:val="24"/>
          <w:szCs w:val="24"/>
        </w:rPr>
        <w:t>年定期开放债券型证券投资基金（基金简称：</w:t>
      </w:r>
      <w:r w:rsidR="00B81F34">
        <w:rPr>
          <w:rFonts w:ascii="Arial" w:hAnsi="Arial" w:cs="Arial" w:hint="eastAsia"/>
          <w:sz w:val="24"/>
          <w:szCs w:val="24"/>
        </w:rPr>
        <w:t>中金衡利</w:t>
      </w:r>
      <w:r w:rsidR="00B81F34">
        <w:rPr>
          <w:rFonts w:ascii="Arial" w:hAnsi="Arial" w:cs="Arial" w:hint="eastAsia"/>
          <w:sz w:val="24"/>
          <w:szCs w:val="24"/>
        </w:rPr>
        <w:t>1</w:t>
      </w:r>
      <w:r w:rsidR="00B81F34">
        <w:rPr>
          <w:rFonts w:ascii="Arial" w:hAnsi="Arial" w:cs="Arial" w:hint="eastAsia"/>
          <w:sz w:val="24"/>
          <w:szCs w:val="24"/>
        </w:rPr>
        <w:t>年</w:t>
      </w:r>
      <w:r w:rsidR="000063C4">
        <w:rPr>
          <w:rFonts w:ascii="Arial" w:hAnsi="Arial" w:cs="Arial" w:hint="eastAsia"/>
          <w:sz w:val="24"/>
          <w:szCs w:val="24"/>
        </w:rPr>
        <w:t>，基金代码：</w:t>
      </w:r>
      <w:r w:rsidR="00B81F34">
        <w:rPr>
          <w:rFonts w:ascii="Arial" w:hAnsi="Arial" w:cs="Arial" w:hint="eastAsia"/>
          <w:sz w:val="24"/>
          <w:szCs w:val="24"/>
        </w:rPr>
        <w:t>009158</w:t>
      </w:r>
      <w:r w:rsidR="000063C4">
        <w:rPr>
          <w:rFonts w:ascii="Arial" w:hAnsi="Arial" w:cs="Arial" w:hint="eastAsia"/>
          <w:sz w:val="24"/>
          <w:szCs w:val="24"/>
        </w:rPr>
        <w:t>，以下简称“本基金”）的运作需要，本基金本次开放期由</w:t>
      </w:r>
      <w:r w:rsidR="00410BEA" w:rsidRPr="00EB3490">
        <w:rPr>
          <w:rFonts w:ascii="Arial" w:hAnsi="Arial" w:cs="Arial"/>
          <w:sz w:val="24"/>
          <w:szCs w:val="24"/>
        </w:rPr>
        <w:t>2021</w:t>
      </w:r>
      <w:r w:rsidR="00410BEA" w:rsidRPr="00EB3490">
        <w:rPr>
          <w:rFonts w:ascii="Arial" w:hAnsi="Arial" w:cs="Arial"/>
          <w:sz w:val="24"/>
          <w:szCs w:val="24"/>
        </w:rPr>
        <w:t>年</w:t>
      </w:r>
      <w:r w:rsidR="00410BEA" w:rsidRPr="00EB3490">
        <w:rPr>
          <w:rFonts w:ascii="Arial" w:hAnsi="Arial" w:cs="Arial"/>
          <w:sz w:val="24"/>
          <w:szCs w:val="24"/>
        </w:rPr>
        <w:t>6</w:t>
      </w:r>
      <w:r w:rsidR="00410BEA" w:rsidRPr="00EB3490">
        <w:rPr>
          <w:rFonts w:ascii="Arial" w:hAnsi="Arial" w:cs="Arial"/>
          <w:sz w:val="24"/>
          <w:szCs w:val="24"/>
        </w:rPr>
        <w:t>月</w:t>
      </w:r>
      <w:r w:rsidR="00410BEA">
        <w:rPr>
          <w:rFonts w:ascii="Arial" w:hAnsi="Arial" w:cs="Arial" w:hint="eastAsia"/>
          <w:sz w:val="24"/>
          <w:szCs w:val="24"/>
        </w:rPr>
        <w:t>3</w:t>
      </w:r>
      <w:r w:rsidR="00EB3490" w:rsidRPr="00EB3490">
        <w:rPr>
          <w:rFonts w:ascii="Arial" w:hAnsi="Arial" w:cs="Arial"/>
          <w:sz w:val="24"/>
          <w:szCs w:val="24"/>
        </w:rPr>
        <w:t>日（含该日）至</w:t>
      </w:r>
      <w:r w:rsidR="00EB3490" w:rsidRPr="00EB3490">
        <w:rPr>
          <w:rFonts w:ascii="Arial" w:hAnsi="Arial" w:cs="Arial"/>
          <w:sz w:val="24"/>
          <w:szCs w:val="24"/>
        </w:rPr>
        <w:t>2021</w:t>
      </w:r>
      <w:r w:rsidR="00EB3490" w:rsidRPr="00EB3490">
        <w:rPr>
          <w:rFonts w:ascii="Arial" w:hAnsi="Arial" w:cs="Arial"/>
          <w:sz w:val="24"/>
          <w:szCs w:val="24"/>
        </w:rPr>
        <w:t>年</w:t>
      </w:r>
      <w:r w:rsidR="00EB3490" w:rsidRPr="00EB3490">
        <w:rPr>
          <w:rFonts w:ascii="Arial" w:hAnsi="Arial" w:cs="Arial"/>
          <w:sz w:val="24"/>
          <w:szCs w:val="24"/>
        </w:rPr>
        <w:t>6</w:t>
      </w:r>
      <w:r w:rsidR="00EB3490" w:rsidRPr="00EB3490">
        <w:rPr>
          <w:rFonts w:ascii="Arial" w:hAnsi="Arial" w:cs="Arial"/>
          <w:sz w:val="24"/>
          <w:szCs w:val="24"/>
        </w:rPr>
        <w:t>月</w:t>
      </w:r>
      <w:r w:rsidR="00EB3490" w:rsidRPr="00EB3490">
        <w:rPr>
          <w:rFonts w:ascii="Arial" w:hAnsi="Arial" w:cs="Arial"/>
          <w:sz w:val="24"/>
          <w:szCs w:val="24"/>
        </w:rPr>
        <w:t>25</w:t>
      </w:r>
      <w:r w:rsidR="00EB3490" w:rsidRPr="00EB3490">
        <w:rPr>
          <w:rFonts w:ascii="Arial" w:hAnsi="Arial" w:cs="Arial"/>
          <w:sz w:val="24"/>
          <w:szCs w:val="24"/>
        </w:rPr>
        <w:t>日（含该日）</w:t>
      </w:r>
      <w:r w:rsidR="000063C4">
        <w:rPr>
          <w:rFonts w:ascii="Arial" w:hAnsi="Arial" w:cs="Arial" w:hint="eastAsia"/>
          <w:sz w:val="24"/>
          <w:szCs w:val="24"/>
        </w:rPr>
        <w:t>，</w:t>
      </w:r>
      <w:r w:rsidR="000063C4">
        <w:rPr>
          <w:rFonts w:ascii="Arial" w:hAnsi="Arial" w:cs="Arial"/>
          <w:sz w:val="24"/>
          <w:szCs w:val="24"/>
        </w:rPr>
        <w:t>延长至</w:t>
      </w:r>
      <w:r w:rsidR="000063C4">
        <w:rPr>
          <w:rFonts w:ascii="Arial" w:hAnsi="Arial" w:cs="Arial" w:hint="eastAsia"/>
          <w:sz w:val="24"/>
          <w:szCs w:val="24"/>
        </w:rPr>
        <w:t>2021</w:t>
      </w:r>
      <w:r w:rsidR="000063C4">
        <w:rPr>
          <w:rFonts w:ascii="Arial" w:hAnsi="Arial" w:cs="Arial" w:hint="eastAsia"/>
          <w:sz w:val="24"/>
          <w:szCs w:val="24"/>
        </w:rPr>
        <w:t>年</w:t>
      </w:r>
      <w:r w:rsidR="00760B3B">
        <w:rPr>
          <w:rFonts w:ascii="Arial" w:hAnsi="Arial" w:cs="Arial" w:hint="eastAsia"/>
          <w:sz w:val="24"/>
          <w:szCs w:val="24"/>
        </w:rPr>
        <w:t>6</w:t>
      </w:r>
      <w:r w:rsidR="000063C4">
        <w:rPr>
          <w:rFonts w:ascii="Arial" w:hAnsi="Arial" w:cs="Arial" w:hint="eastAsia"/>
          <w:sz w:val="24"/>
          <w:szCs w:val="24"/>
        </w:rPr>
        <w:t>月</w:t>
      </w:r>
      <w:r w:rsidR="00E76268">
        <w:rPr>
          <w:rFonts w:ascii="Arial" w:hAnsi="Arial" w:cs="Arial" w:hint="eastAsia"/>
          <w:sz w:val="24"/>
          <w:szCs w:val="24"/>
        </w:rPr>
        <w:t>28</w:t>
      </w:r>
      <w:r w:rsidR="000063C4">
        <w:rPr>
          <w:rFonts w:ascii="Arial" w:hAnsi="Arial" w:cs="Arial" w:hint="eastAsia"/>
          <w:sz w:val="24"/>
          <w:szCs w:val="24"/>
        </w:rPr>
        <w:t>日（含该日）</w:t>
      </w:r>
      <w:r w:rsidR="00760B3B">
        <w:rPr>
          <w:rFonts w:ascii="Arial" w:hAnsi="Arial" w:cs="Arial" w:hint="eastAsia"/>
          <w:sz w:val="24"/>
          <w:szCs w:val="24"/>
        </w:rPr>
        <w:t>。</w:t>
      </w:r>
      <w:r w:rsidR="00760B3B" w:rsidRPr="00BB66F6">
        <w:rPr>
          <w:rFonts w:ascii="Arial" w:hAnsi="Arial" w:cs="Arial"/>
          <w:sz w:val="24"/>
          <w:szCs w:val="24"/>
        </w:rPr>
        <w:t>自</w:t>
      </w:r>
      <w:r w:rsidR="00760B3B" w:rsidRPr="00BB66F6">
        <w:rPr>
          <w:rFonts w:ascii="Arial" w:hAnsi="Arial" w:cs="Arial"/>
          <w:sz w:val="24"/>
          <w:szCs w:val="24"/>
        </w:rPr>
        <w:t>20</w:t>
      </w:r>
      <w:r w:rsidR="00760B3B" w:rsidRPr="00BB66F6">
        <w:rPr>
          <w:rFonts w:ascii="Arial" w:hAnsi="Arial" w:cs="Arial" w:hint="eastAsia"/>
          <w:sz w:val="24"/>
          <w:szCs w:val="24"/>
        </w:rPr>
        <w:t>21</w:t>
      </w:r>
      <w:r w:rsidR="00760B3B" w:rsidRPr="00BB66F6">
        <w:rPr>
          <w:rFonts w:ascii="Arial" w:hAnsi="Arial" w:cs="Arial"/>
          <w:sz w:val="24"/>
          <w:szCs w:val="24"/>
        </w:rPr>
        <w:t>年</w:t>
      </w:r>
      <w:r w:rsidR="00760B3B" w:rsidRPr="00BB66F6">
        <w:rPr>
          <w:rFonts w:ascii="Arial" w:hAnsi="Arial" w:cs="Arial" w:hint="eastAsia"/>
          <w:sz w:val="24"/>
          <w:szCs w:val="24"/>
        </w:rPr>
        <w:t>6</w:t>
      </w:r>
      <w:r w:rsidR="00760B3B" w:rsidRPr="00BB66F6">
        <w:rPr>
          <w:rFonts w:ascii="Arial" w:hAnsi="Arial" w:cs="Arial"/>
          <w:sz w:val="24"/>
          <w:szCs w:val="24"/>
        </w:rPr>
        <w:t>月</w:t>
      </w:r>
      <w:r w:rsidR="00E76268" w:rsidRPr="00861D77">
        <w:rPr>
          <w:rFonts w:ascii="Arial" w:hAnsi="Arial" w:cs="Arial"/>
          <w:sz w:val="24"/>
          <w:szCs w:val="24"/>
        </w:rPr>
        <w:t>2</w:t>
      </w:r>
      <w:r w:rsidR="00B81F34">
        <w:rPr>
          <w:rFonts w:ascii="Arial" w:hAnsi="Arial" w:cs="Arial" w:hint="eastAsia"/>
          <w:sz w:val="24"/>
          <w:szCs w:val="24"/>
        </w:rPr>
        <w:t>9</w:t>
      </w:r>
      <w:r w:rsidR="00760B3B" w:rsidRPr="00BB66F6">
        <w:rPr>
          <w:rFonts w:ascii="Arial" w:hAnsi="Arial" w:cs="Arial"/>
          <w:sz w:val="24"/>
          <w:szCs w:val="24"/>
        </w:rPr>
        <w:t>日</w:t>
      </w:r>
      <w:r w:rsidR="00BB66F6">
        <w:rPr>
          <w:rFonts w:ascii="Arial" w:hAnsi="Arial" w:cs="Arial" w:hint="eastAsia"/>
          <w:sz w:val="24"/>
          <w:szCs w:val="24"/>
        </w:rPr>
        <w:t>（含该日）</w:t>
      </w:r>
      <w:r w:rsidR="00760B3B" w:rsidRPr="00BB66F6">
        <w:rPr>
          <w:rFonts w:ascii="Arial" w:hAnsi="Arial" w:cs="Arial"/>
          <w:sz w:val="24"/>
          <w:szCs w:val="24"/>
        </w:rPr>
        <w:t>起，</w:t>
      </w:r>
      <w:r w:rsidR="00760B3B" w:rsidRPr="00BB66F6">
        <w:rPr>
          <w:rFonts w:ascii="Arial" w:hAnsi="Arial" w:cs="Arial" w:hint="eastAsia"/>
          <w:sz w:val="24"/>
          <w:szCs w:val="24"/>
        </w:rPr>
        <w:t>本基金将进入下一个封闭期，封闭期内不接受申购、赎回及转换申请。</w:t>
      </w:r>
      <w:r w:rsidR="000063C4" w:rsidRPr="000063C4">
        <w:rPr>
          <w:rFonts w:ascii="Arial" w:hAnsi="Arial" w:cs="Arial" w:hint="eastAsia"/>
          <w:sz w:val="24"/>
          <w:szCs w:val="24"/>
        </w:rPr>
        <w:t>敬请投资者关注上述业务办理时间调整情况，妥善并合理进行资金及</w:t>
      </w:r>
      <w:r w:rsidR="000063C4">
        <w:rPr>
          <w:rFonts w:ascii="Arial" w:hAnsi="Arial" w:cs="Arial" w:hint="eastAsia"/>
          <w:sz w:val="24"/>
          <w:szCs w:val="24"/>
        </w:rPr>
        <w:t>投资安排。</w:t>
      </w:r>
    </w:p>
    <w:p w:rsidR="00993B90" w:rsidRPr="00993B90" w:rsidRDefault="00993B90" w:rsidP="00861D77">
      <w:pPr>
        <w:spacing w:line="360" w:lineRule="auto"/>
        <w:ind w:leftChars="0" w:left="0" w:rightChars="0" w:right="0" w:firstLine="480"/>
        <w:jc w:val="both"/>
        <w:rPr>
          <w:rFonts w:ascii="Arial" w:hAnsi="Arial" w:cs="Arial"/>
          <w:sz w:val="24"/>
          <w:szCs w:val="24"/>
        </w:rPr>
      </w:pPr>
      <w:r w:rsidRPr="00993B90">
        <w:rPr>
          <w:rFonts w:ascii="Arial" w:hAnsi="Arial" w:cs="Arial"/>
          <w:sz w:val="24"/>
          <w:szCs w:val="24"/>
        </w:rPr>
        <w:t>投资者可以通过以下途径咨询其他有关信息：</w:t>
      </w:r>
    </w:p>
    <w:p w:rsidR="00993B90" w:rsidRPr="00993B90" w:rsidRDefault="00993B90" w:rsidP="00861D77">
      <w:pPr>
        <w:spacing w:line="360" w:lineRule="auto"/>
        <w:ind w:leftChars="0" w:left="0" w:rightChars="0" w:right="0" w:firstLine="480"/>
        <w:jc w:val="both"/>
        <w:rPr>
          <w:rFonts w:ascii="Arial" w:hAnsi="Arial" w:cs="Arial"/>
          <w:sz w:val="24"/>
          <w:szCs w:val="24"/>
        </w:rPr>
      </w:pPr>
      <w:r w:rsidRPr="00993B90">
        <w:rPr>
          <w:rFonts w:ascii="Arial" w:hAnsi="Arial" w:cs="Arial"/>
          <w:sz w:val="24"/>
          <w:szCs w:val="24"/>
        </w:rPr>
        <w:t>1</w:t>
      </w:r>
      <w:r w:rsidRPr="00993B90">
        <w:rPr>
          <w:rFonts w:ascii="Arial" w:hAnsi="Arial" w:cs="Arial"/>
          <w:sz w:val="24"/>
          <w:szCs w:val="24"/>
        </w:rPr>
        <w:t>、中</w:t>
      </w:r>
      <w:r w:rsidRPr="00993B90">
        <w:rPr>
          <w:rFonts w:ascii="Arial" w:hAnsi="Arial" w:cs="Arial" w:hint="eastAsia"/>
          <w:sz w:val="24"/>
          <w:szCs w:val="24"/>
        </w:rPr>
        <w:t>金</w:t>
      </w:r>
      <w:r w:rsidRPr="00993B90">
        <w:rPr>
          <w:rFonts w:ascii="Arial" w:hAnsi="Arial" w:cs="Arial"/>
          <w:sz w:val="24"/>
          <w:szCs w:val="24"/>
        </w:rPr>
        <w:t>基金管理有限公司客户服务电话：</w:t>
      </w:r>
      <w:r w:rsidRPr="00993B90">
        <w:rPr>
          <w:rFonts w:ascii="Arial" w:hAnsi="Arial" w:cs="Arial"/>
          <w:sz w:val="24"/>
          <w:szCs w:val="24"/>
        </w:rPr>
        <w:t>400-868-1166</w:t>
      </w:r>
      <w:r w:rsidRPr="00993B90">
        <w:rPr>
          <w:rFonts w:ascii="Arial" w:hAnsi="Arial" w:cs="Arial" w:hint="eastAsia"/>
          <w:bCs/>
          <w:sz w:val="24"/>
          <w:szCs w:val="24"/>
        </w:rPr>
        <w:t>（免长途话费）</w:t>
      </w:r>
    </w:p>
    <w:p w:rsidR="00993B90" w:rsidRPr="00993B90" w:rsidRDefault="00993B90" w:rsidP="00861D77">
      <w:pPr>
        <w:spacing w:line="360" w:lineRule="auto"/>
        <w:ind w:leftChars="0" w:left="0" w:rightChars="0" w:right="0" w:firstLine="480"/>
        <w:jc w:val="both"/>
        <w:rPr>
          <w:rFonts w:ascii="Arial" w:hAnsi="Arial" w:cs="Arial"/>
          <w:sz w:val="24"/>
          <w:szCs w:val="24"/>
        </w:rPr>
      </w:pPr>
      <w:r w:rsidRPr="00993B90">
        <w:rPr>
          <w:rFonts w:ascii="Arial" w:hAnsi="Arial" w:cs="Arial"/>
          <w:sz w:val="24"/>
          <w:szCs w:val="24"/>
        </w:rPr>
        <w:t>2</w:t>
      </w:r>
      <w:r w:rsidRPr="00993B90">
        <w:rPr>
          <w:rFonts w:ascii="Arial" w:hAnsi="Arial" w:cs="Arial"/>
          <w:sz w:val="24"/>
          <w:szCs w:val="24"/>
        </w:rPr>
        <w:t>、中</w:t>
      </w:r>
      <w:r w:rsidRPr="00993B90">
        <w:rPr>
          <w:rFonts w:ascii="Arial" w:hAnsi="Arial" w:cs="Arial" w:hint="eastAsia"/>
          <w:sz w:val="24"/>
          <w:szCs w:val="24"/>
        </w:rPr>
        <w:t>金</w:t>
      </w:r>
      <w:r w:rsidRPr="00993B90">
        <w:rPr>
          <w:rFonts w:ascii="Arial" w:hAnsi="Arial" w:cs="Arial"/>
          <w:sz w:val="24"/>
          <w:szCs w:val="24"/>
        </w:rPr>
        <w:t>基金管理有限公司网站：</w:t>
      </w:r>
      <w:r w:rsidRPr="00551ECD">
        <w:rPr>
          <w:rFonts w:ascii="Arial" w:hAnsi="Arial" w:cs="Arial"/>
          <w:sz w:val="24"/>
          <w:szCs w:val="24"/>
        </w:rPr>
        <w:t>www.ciccfund.com</w:t>
      </w:r>
    </w:p>
    <w:p w:rsidR="00993B90" w:rsidRDefault="00993B90" w:rsidP="00861D77">
      <w:pPr>
        <w:spacing w:line="360" w:lineRule="auto"/>
        <w:ind w:leftChars="0" w:left="0" w:rightChars="0" w:right="0" w:firstLine="480"/>
        <w:jc w:val="both"/>
        <w:rPr>
          <w:rFonts w:ascii="Arial" w:hAnsi="Arial" w:cs="Arial"/>
          <w:sz w:val="24"/>
          <w:szCs w:val="24"/>
        </w:rPr>
      </w:pPr>
      <w:r w:rsidRPr="00993B90">
        <w:rPr>
          <w:rFonts w:ascii="Arial" w:hAnsi="Arial" w:cs="Arial"/>
          <w:sz w:val="24"/>
          <w:szCs w:val="24"/>
        </w:rPr>
        <w:t>3</w:t>
      </w:r>
      <w:r w:rsidRPr="00993B90">
        <w:rPr>
          <w:rFonts w:ascii="Arial" w:hAnsi="Arial" w:cs="Arial"/>
          <w:sz w:val="24"/>
          <w:szCs w:val="24"/>
        </w:rPr>
        <w:t>、</w:t>
      </w:r>
      <w:r w:rsidR="00ED68D6" w:rsidRPr="00C502AD">
        <w:rPr>
          <w:rFonts w:ascii="Arial" w:hAnsi="Arial" w:cs="Arial"/>
          <w:sz w:val="24"/>
          <w:szCs w:val="24"/>
        </w:rPr>
        <w:t>投资</w:t>
      </w:r>
      <w:r w:rsidR="00ED68D6">
        <w:rPr>
          <w:rFonts w:ascii="Arial" w:hAnsi="Arial" w:cs="Arial" w:hint="eastAsia"/>
          <w:sz w:val="24"/>
          <w:szCs w:val="24"/>
        </w:rPr>
        <w:t>者</w:t>
      </w:r>
      <w:r w:rsidR="00ED68D6" w:rsidRPr="00C502AD">
        <w:rPr>
          <w:rFonts w:ascii="Arial" w:hAnsi="Arial" w:cs="Arial"/>
          <w:sz w:val="24"/>
          <w:szCs w:val="24"/>
        </w:rPr>
        <w:t>欲了解本基金的详细情况，请认真阅读本基金《基金合同》及《招募说明书》等法律文件。</w:t>
      </w:r>
    </w:p>
    <w:p w:rsidR="00760B3B" w:rsidRPr="00993B90" w:rsidRDefault="00760B3B" w:rsidP="00861D77">
      <w:pPr>
        <w:spacing w:line="360" w:lineRule="auto"/>
        <w:ind w:leftChars="0" w:left="0" w:rightChars="0" w:right="0" w:firstLine="480"/>
        <w:jc w:val="both"/>
        <w:rPr>
          <w:rFonts w:ascii="Arial" w:hAnsi="Arial" w:cs="Arial"/>
          <w:sz w:val="24"/>
          <w:szCs w:val="24"/>
        </w:rPr>
      </w:pPr>
    </w:p>
    <w:p w:rsidR="00760B3B" w:rsidRPr="00BB66F6" w:rsidRDefault="00993B90" w:rsidP="00861D77">
      <w:pPr>
        <w:spacing w:line="360" w:lineRule="auto"/>
        <w:ind w:leftChars="0" w:left="0" w:right="210" w:firstLine="482"/>
        <w:rPr>
          <w:rFonts w:ascii="Arial" w:hAnsi="Arial" w:cs="Arial"/>
          <w:sz w:val="24"/>
          <w:szCs w:val="24"/>
        </w:rPr>
      </w:pPr>
      <w:r w:rsidRPr="00861D77">
        <w:rPr>
          <w:rFonts w:ascii="Arial" w:hAnsi="Arial" w:cs="Arial" w:hint="eastAsia"/>
          <w:b/>
          <w:sz w:val="24"/>
          <w:szCs w:val="24"/>
        </w:rPr>
        <w:t>风险提示：</w:t>
      </w:r>
      <w:r w:rsidR="00E76268" w:rsidRPr="00BB66F6">
        <w:rPr>
          <w:rFonts w:ascii="Arial" w:hAnsi="Arial" w:cs="Arial"/>
          <w:sz w:val="24"/>
          <w:szCs w:val="24"/>
        </w:rPr>
        <w:t>根据</w:t>
      </w:r>
      <w:r w:rsidR="00E76268" w:rsidRPr="00BB66F6">
        <w:rPr>
          <w:rFonts w:ascii="Arial" w:hAnsi="Arial" w:cs="Arial" w:hint="eastAsia"/>
          <w:sz w:val="24"/>
          <w:szCs w:val="24"/>
        </w:rPr>
        <w:t>《中金衡利</w:t>
      </w:r>
      <w:r w:rsidR="00E76268" w:rsidRPr="00BB66F6">
        <w:rPr>
          <w:rFonts w:ascii="Arial" w:hAnsi="Arial" w:cs="Arial" w:hint="eastAsia"/>
          <w:sz w:val="24"/>
          <w:szCs w:val="24"/>
        </w:rPr>
        <w:t>1</w:t>
      </w:r>
      <w:r w:rsidR="00E76268" w:rsidRPr="00BB66F6">
        <w:rPr>
          <w:rFonts w:ascii="Arial" w:hAnsi="Arial" w:cs="Arial" w:hint="eastAsia"/>
          <w:sz w:val="24"/>
          <w:szCs w:val="24"/>
        </w:rPr>
        <w:t>年定期开放债券型证券投资基金</w:t>
      </w:r>
      <w:r w:rsidR="00E76268" w:rsidRPr="00BB66F6">
        <w:rPr>
          <w:rFonts w:ascii="Arial" w:hAnsi="Arial" w:cs="Arial"/>
          <w:sz w:val="24"/>
          <w:szCs w:val="24"/>
        </w:rPr>
        <w:t>基金合同</w:t>
      </w:r>
      <w:r w:rsidR="00E76268" w:rsidRPr="00BB66F6">
        <w:rPr>
          <w:rFonts w:ascii="Arial" w:hAnsi="Arial" w:cs="Arial" w:hint="eastAsia"/>
          <w:sz w:val="24"/>
          <w:szCs w:val="24"/>
        </w:rPr>
        <w:t>》“第五部分</w:t>
      </w:r>
      <w:r w:rsidR="00E76268" w:rsidRPr="00BB66F6">
        <w:rPr>
          <w:rFonts w:ascii="Arial" w:hAnsi="Arial" w:cs="Arial"/>
          <w:sz w:val="24"/>
          <w:szCs w:val="24"/>
        </w:rPr>
        <w:t xml:space="preserve"> </w:t>
      </w:r>
      <w:r w:rsidR="00E76268" w:rsidRPr="00BB66F6">
        <w:rPr>
          <w:rFonts w:ascii="Arial" w:hAnsi="Arial" w:cs="Arial"/>
          <w:sz w:val="24"/>
          <w:szCs w:val="24"/>
        </w:rPr>
        <w:t>基金备案</w:t>
      </w:r>
      <w:r w:rsidR="00E76268" w:rsidRPr="00BB66F6">
        <w:rPr>
          <w:rFonts w:ascii="Arial" w:hAnsi="Arial" w:cs="Arial"/>
          <w:sz w:val="24"/>
          <w:szCs w:val="24"/>
        </w:rPr>
        <w:t>”</w:t>
      </w:r>
      <w:r w:rsidR="00E76268" w:rsidRPr="00BB66F6">
        <w:rPr>
          <w:rFonts w:ascii="Arial" w:hAnsi="Arial" w:cs="Arial"/>
          <w:sz w:val="24"/>
          <w:szCs w:val="24"/>
        </w:rPr>
        <w:t>中</w:t>
      </w:r>
      <w:r w:rsidR="00E76268" w:rsidRPr="00BB66F6">
        <w:rPr>
          <w:rFonts w:ascii="Arial" w:hAnsi="Arial" w:cs="Arial"/>
          <w:sz w:val="24"/>
          <w:szCs w:val="24"/>
        </w:rPr>
        <w:t>“</w:t>
      </w:r>
      <w:r w:rsidR="00E76268" w:rsidRPr="00BB66F6">
        <w:rPr>
          <w:rFonts w:ascii="Arial" w:hAnsi="Arial" w:cs="Arial"/>
          <w:sz w:val="24"/>
          <w:szCs w:val="24"/>
        </w:rPr>
        <w:t>三、基金存续期内的基金份额</w:t>
      </w:r>
      <w:r w:rsidR="00E76268" w:rsidRPr="00BB66F6">
        <w:rPr>
          <w:rFonts w:ascii="Arial" w:hAnsi="Arial" w:cs="Arial" w:hint="eastAsia"/>
          <w:sz w:val="24"/>
          <w:szCs w:val="24"/>
        </w:rPr>
        <w:t>持有人数量和资产规模</w:t>
      </w:r>
      <w:r w:rsidR="00E76268" w:rsidRPr="00BB66F6">
        <w:rPr>
          <w:rFonts w:ascii="Arial" w:hAnsi="Arial" w:cs="Arial"/>
          <w:sz w:val="24"/>
          <w:szCs w:val="24"/>
        </w:rPr>
        <w:t xml:space="preserve"> </w:t>
      </w:r>
      <w:r w:rsidR="00E76268" w:rsidRPr="00BB66F6">
        <w:rPr>
          <w:rFonts w:ascii="Arial" w:hAnsi="Arial" w:cs="Arial"/>
          <w:sz w:val="24"/>
          <w:szCs w:val="24"/>
        </w:rPr>
        <w:t>的约定：</w:t>
      </w:r>
      <w:r w:rsidR="00E76268" w:rsidRPr="00BB66F6">
        <w:rPr>
          <w:rFonts w:ascii="Arial" w:hAnsi="Arial" w:cs="Arial" w:hint="eastAsia"/>
          <w:sz w:val="24"/>
          <w:szCs w:val="24"/>
        </w:rPr>
        <w:t>《基金合同》生效后，连续</w:t>
      </w:r>
      <w:r w:rsidR="00E76268" w:rsidRPr="00BB66F6">
        <w:rPr>
          <w:rFonts w:ascii="Arial" w:hAnsi="Arial" w:cs="Arial"/>
          <w:sz w:val="24"/>
          <w:szCs w:val="24"/>
        </w:rPr>
        <w:t xml:space="preserve"> 20 </w:t>
      </w:r>
      <w:r w:rsidR="00E76268" w:rsidRPr="00BB66F6">
        <w:rPr>
          <w:rFonts w:ascii="Arial" w:hAnsi="Arial" w:cs="Arial"/>
          <w:sz w:val="24"/>
          <w:szCs w:val="24"/>
        </w:rPr>
        <w:t>个工作日出现基金份额持有人数量不满</w:t>
      </w:r>
      <w:r w:rsidR="00E76268" w:rsidRPr="00BB66F6">
        <w:rPr>
          <w:rFonts w:ascii="Arial" w:hAnsi="Arial" w:cs="Arial"/>
          <w:sz w:val="24"/>
          <w:szCs w:val="24"/>
        </w:rPr>
        <w:t xml:space="preserve"> 200</w:t>
      </w:r>
      <w:r w:rsidR="00E76268" w:rsidRPr="00BB66F6">
        <w:rPr>
          <w:rFonts w:ascii="Arial" w:hAnsi="Arial" w:cs="Arial" w:hint="eastAsia"/>
          <w:sz w:val="24"/>
          <w:szCs w:val="24"/>
        </w:rPr>
        <w:t>人或者基金资产净值低于</w:t>
      </w:r>
      <w:r w:rsidR="00E76268" w:rsidRPr="00BB66F6">
        <w:rPr>
          <w:rFonts w:ascii="Arial" w:hAnsi="Arial" w:cs="Arial"/>
          <w:sz w:val="24"/>
          <w:szCs w:val="24"/>
        </w:rPr>
        <w:t xml:space="preserve"> 5000 </w:t>
      </w:r>
      <w:r w:rsidR="00E76268" w:rsidRPr="00BB66F6">
        <w:rPr>
          <w:rFonts w:ascii="Arial" w:hAnsi="Arial" w:cs="Arial"/>
          <w:sz w:val="24"/>
          <w:szCs w:val="24"/>
        </w:rPr>
        <w:t>万元情形的，基金管理人应当在定期报告中予以</w:t>
      </w:r>
      <w:r w:rsidR="00E76268" w:rsidRPr="00BB66F6">
        <w:rPr>
          <w:rFonts w:ascii="Arial" w:hAnsi="Arial" w:cs="Arial" w:hint="eastAsia"/>
          <w:sz w:val="24"/>
          <w:szCs w:val="24"/>
        </w:rPr>
        <w:t>披露；开放期最后一</w:t>
      </w:r>
      <w:r w:rsidR="00E76268" w:rsidRPr="00BB66F6">
        <w:rPr>
          <w:rFonts w:ascii="Arial" w:hAnsi="Arial" w:cs="Arial"/>
          <w:sz w:val="24"/>
          <w:szCs w:val="24"/>
        </w:rPr>
        <w:t>日终，若本基金的基金资产净值加上基金开放期最后一日交</w:t>
      </w:r>
      <w:r w:rsidR="00E76268" w:rsidRPr="00BB66F6">
        <w:rPr>
          <w:rFonts w:ascii="Arial" w:hAnsi="Arial" w:cs="Arial" w:hint="eastAsia"/>
          <w:sz w:val="24"/>
          <w:szCs w:val="24"/>
        </w:rPr>
        <w:t>易申请确认的申购确认金额及转换转入确认金额，扣除赎回确认金额及转换转出确认金额后的余额低于</w:t>
      </w:r>
      <w:r w:rsidR="00E76268" w:rsidRPr="00BB66F6">
        <w:rPr>
          <w:rFonts w:ascii="Arial" w:hAnsi="Arial" w:cs="Arial"/>
          <w:sz w:val="24"/>
          <w:szCs w:val="24"/>
        </w:rPr>
        <w:t xml:space="preserve"> 5000 </w:t>
      </w:r>
      <w:r w:rsidR="00E76268" w:rsidRPr="00BB66F6">
        <w:rPr>
          <w:rFonts w:ascii="Arial" w:hAnsi="Arial" w:cs="Arial"/>
          <w:sz w:val="24"/>
          <w:szCs w:val="24"/>
        </w:rPr>
        <w:t>万元或基金份额持有人数量不满</w:t>
      </w:r>
      <w:r w:rsidR="00E76268" w:rsidRPr="00BB66F6">
        <w:rPr>
          <w:rFonts w:ascii="Arial" w:hAnsi="Arial" w:cs="Arial"/>
          <w:sz w:val="24"/>
          <w:szCs w:val="24"/>
        </w:rPr>
        <w:t xml:space="preserve"> 200 </w:t>
      </w:r>
      <w:r w:rsidR="00E76268" w:rsidRPr="00BB66F6">
        <w:rPr>
          <w:rFonts w:ascii="Arial" w:hAnsi="Arial" w:cs="Arial"/>
          <w:sz w:val="24"/>
          <w:szCs w:val="24"/>
        </w:rPr>
        <w:t>人的，本基金</w:t>
      </w:r>
      <w:r w:rsidR="00E76268" w:rsidRPr="00BB66F6">
        <w:rPr>
          <w:rFonts w:ascii="Arial" w:hAnsi="Arial" w:cs="Arial" w:hint="eastAsia"/>
          <w:sz w:val="24"/>
          <w:szCs w:val="24"/>
        </w:rPr>
        <w:t>将根据基金合同的约定清算并终止，无需召开基金份额持有人大会。法律法规或中国证监会另有规定时，从其规定。”</w:t>
      </w:r>
    </w:p>
    <w:p w:rsidR="00E76268" w:rsidRPr="00861D77" w:rsidRDefault="00E76268" w:rsidP="00861D77">
      <w:pPr>
        <w:spacing w:line="360" w:lineRule="auto"/>
        <w:ind w:leftChars="0" w:left="0" w:right="210" w:firstLine="480"/>
        <w:rPr>
          <w:rFonts w:ascii="Arial" w:hAnsi="Arial" w:cs="Arial"/>
          <w:kern w:val="0"/>
          <w:sz w:val="24"/>
          <w:szCs w:val="24"/>
        </w:rPr>
      </w:pPr>
      <w:r w:rsidRPr="00BB66F6">
        <w:rPr>
          <w:rFonts w:ascii="Arial" w:hAnsi="Arial" w:cs="Arial" w:hint="eastAsia"/>
          <w:kern w:val="0"/>
          <w:sz w:val="24"/>
          <w:szCs w:val="24"/>
        </w:rPr>
        <w:t>本基金处于第一个开放期，即</w:t>
      </w:r>
      <w:r w:rsidRPr="00BB66F6">
        <w:rPr>
          <w:rFonts w:ascii="Arial" w:hAnsi="Arial" w:cs="Arial"/>
          <w:kern w:val="0"/>
          <w:sz w:val="24"/>
          <w:szCs w:val="24"/>
        </w:rPr>
        <w:t>2021</w:t>
      </w:r>
      <w:r w:rsidRPr="00BB66F6">
        <w:rPr>
          <w:rFonts w:ascii="Arial" w:hAnsi="Arial" w:cs="Arial" w:hint="eastAsia"/>
          <w:kern w:val="0"/>
          <w:sz w:val="24"/>
          <w:szCs w:val="24"/>
        </w:rPr>
        <w:t>年</w:t>
      </w:r>
      <w:r w:rsidRPr="00BB66F6">
        <w:rPr>
          <w:rFonts w:ascii="Arial" w:hAnsi="Arial" w:cs="Arial"/>
          <w:kern w:val="0"/>
          <w:sz w:val="24"/>
          <w:szCs w:val="24"/>
        </w:rPr>
        <w:t>6</w:t>
      </w:r>
      <w:r w:rsidRPr="00BB66F6">
        <w:rPr>
          <w:rFonts w:ascii="Arial" w:hAnsi="Arial" w:cs="Arial" w:hint="eastAsia"/>
          <w:kern w:val="0"/>
          <w:sz w:val="24"/>
          <w:szCs w:val="24"/>
        </w:rPr>
        <w:t>月</w:t>
      </w:r>
      <w:r w:rsidRPr="00BB66F6">
        <w:rPr>
          <w:rFonts w:ascii="Arial" w:hAnsi="Arial" w:cs="Arial"/>
          <w:kern w:val="0"/>
          <w:sz w:val="24"/>
          <w:szCs w:val="24"/>
        </w:rPr>
        <w:t>3</w:t>
      </w:r>
      <w:r w:rsidRPr="00BB66F6">
        <w:rPr>
          <w:rFonts w:ascii="Arial" w:hAnsi="Arial" w:cs="Arial" w:hint="eastAsia"/>
          <w:kern w:val="0"/>
          <w:sz w:val="24"/>
          <w:szCs w:val="24"/>
        </w:rPr>
        <w:t>日（含该日）至</w:t>
      </w:r>
      <w:r w:rsidRPr="00BB66F6">
        <w:rPr>
          <w:rFonts w:ascii="Arial" w:hAnsi="Arial" w:cs="Arial"/>
          <w:kern w:val="0"/>
          <w:sz w:val="24"/>
          <w:szCs w:val="24"/>
        </w:rPr>
        <w:t>2021</w:t>
      </w:r>
      <w:r w:rsidRPr="00BB66F6">
        <w:rPr>
          <w:rFonts w:ascii="Arial" w:hAnsi="Arial" w:cs="Arial" w:hint="eastAsia"/>
          <w:kern w:val="0"/>
          <w:sz w:val="24"/>
          <w:szCs w:val="24"/>
        </w:rPr>
        <w:t>年</w:t>
      </w:r>
      <w:r w:rsidRPr="00BB66F6">
        <w:rPr>
          <w:rFonts w:ascii="Arial" w:hAnsi="Arial" w:cs="Arial"/>
          <w:kern w:val="0"/>
          <w:sz w:val="24"/>
          <w:szCs w:val="24"/>
        </w:rPr>
        <w:t>6</w:t>
      </w:r>
      <w:r w:rsidRPr="00BB66F6">
        <w:rPr>
          <w:rFonts w:ascii="Arial" w:hAnsi="Arial" w:cs="Arial" w:hint="eastAsia"/>
          <w:kern w:val="0"/>
          <w:sz w:val="24"/>
          <w:szCs w:val="24"/>
        </w:rPr>
        <w:lastRenderedPageBreak/>
        <w:t>月</w:t>
      </w:r>
      <w:r w:rsidRPr="00BB66F6">
        <w:rPr>
          <w:rFonts w:ascii="Arial" w:hAnsi="Arial" w:cs="Arial"/>
          <w:kern w:val="0"/>
          <w:sz w:val="24"/>
          <w:szCs w:val="24"/>
        </w:rPr>
        <w:t>2</w:t>
      </w:r>
      <w:r w:rsidRPr="00BB66F6">
        <w:rPr>
          <w:rFonts w:ascii="Arial" w:hAnsi="Arial" w:cs="Arial" w:hint="eastAsia"/>
          <w:kern w:val="0"/>
          <w:sz w:val="24"/>
          <w:szCs w:val="24"/>
        </w:rPr>
        <w:t>8</w:t>
      </w:r>
      <w:r w:rsidRPr="00BB66F6">
        <w:rPr>
          <w:rFonts w:ascii="Arial" w:hAnsi="Arial" w:cs="Arial" w:hint="eastAsia"/>
          <w:kern w:val="0"/>
          <w:sz w:val="24"/>
          <w:szCs w:val="24"/>
        </w:rPr>
        <w:t>日（含该日），共</w:t>
      </w:r>
      <w:r w:rsidRPr="00BB66F6">
        <w:rPr>
          <w:rFonts w:ascii="Arial" w:hAnsi="Arial" w:cs="Arial"/>
          <w:kern w:val="0"/>
          <w:sz w:val="24"/>
          <w:szCs w:val="24"/>
        </w:rPr>
        <w:t>1</w:t>
      </w:r>
      <w:r w:rsidRPr="00BB66F6">
        <w:rPr>
          <w:rFonts w:ascii="Arial" w:hAnsi="Arial" w:cs="Arial" w:hint="eastAsia"/>
          <w:kern w:val="0"/>
          <w:sz w:val="24"/>
          <w:szCs w:val="24"/>
        </w:rPr>
        <w:t>7</w:t>
      </w:r>
      <w:r w:rsidRPr="00BB66F6">
        <w:rPr>
          <w:rFonts w:ascii="Arial" w:hAnsi="Arial" w:cs="Arial" w:hint="eastAsia"/>
          <w:kern w:val="0"/>
          <w:sz w:val="24"/>
          <w:szCs w:val="24"/>
        </w:rPr>
        <w:t>个工作日。若截至本次开放期的最后一日（</w:t>
      </w:r>
      <w:r w:rsidRPr="00BB66F6">
        <w:rPr>
          <w:rFonts w:ascii="Arial" w:hAnsi="Arial" w:cs="Arial"/>
          <w:kern w:val="0"/>
          <w:sz w:val="24"/>
          <w:szCs w:val="24"/>
        </w:rPr>
        <w:t>2021</w:t>
      </w:r>
      <w:r w:rsidRPr="00BB66F6">
        <w:rPr>
          <w:rFonts w:ascii="Arial" w:hAnsi="Arial" w:cs="Arial" w:hint="eastAsia"/>
          <w:kern w:val="0"/>
          <w:sz w:val="24"/>
          <w:szCs w:val="24"/>
        </w:rPr>
        <w:t>年</w:t>
      </w:r>
      <w:r w:rsidRPr="00BB66F6">
        <w:rPr>
          <w:rFonts w:ascii="Arial" w:hAnsi="Arial" w:cs="Arial"/>
          <w:kern w:val="0"/>
          <w:sz w:val="24"/>
          <w:szCs w:val="24"/>
        </w:rPr>
        <w:t>6</w:t>
      </w:r>
      <w:r w:rsidRPr="00BB66F6">
        <w:rPr>
          <w:rFonts w:ascii="Arial" w:hAnsi="Arial" w:cs="Arial" w:hint="eastAsia"/>
          <w:kern w:val="0"/>
          <w:sz w:val="24"/>
          <w:szCs w:val="24"/>
        </w:rPr>
        <w:t>月</w:t>
      </w:r>
      <w:r w:rsidRPr="00BB66F6">
        <w:rPr>
          <w:rFonts w:ascii="Arial" w:hAnsi="Arial" w:cs="Arial"/>
          <w:kern w:val="0"/>
          <w:sz w:val="24"/>
          <w:szCs w:val="24"/>
        </w:rPr>
        <w:t>2</w:t>
      </w:r>
      <w:r w:rsidRPr="00BB66F6">
        <w:rPr>
          <w:rFonts w:ascii="Arial" w:hAnsi="Arial" w:cs="Arial" w:hint="eastAsia"/>
          <w:kern w:val="0"/>
          <w:sz w:val="24"/>
          <w:szCs w:val="24"/>
        </w:rPr>
        <w:t>8</w:t>
      </w:r>
      <w:r w:rsidRPr="00BB66F6">
        <w:rPr>
          <w:rFonts w:ascii="Arial" w:hAnsi="Arial" w:cs="Arial" w:hint="eastAsia"/>
          <w:kern w:val="0"/>
          <w:sz w:val="24"/>
          <w:szCs w:val="24"/>
        </w:rPr>
        <w:t>日）日终（登记机构完成最后一日申购、赎回业务申请的确认以后），本基金出现触发《基金合同》终止的上述情形，本基金将根据《基金合同》约定进入基金财产清算程序，无需召开基金份额持有人大会，具体安排详见届时公告。</w:t>
      </w:r>
    </w:p>
    <w:p w:rsidR="00993B90" w:rsidRDefault="00993B90" w:rsidP="00861D77">
      <w:pPr>
        <w:spacing w:line="360" w:lineRule="auto"/>
        <w:ind w:leftChars="0" w:left="0" w:right="210" w:firstLine="480"/>
      </w:pPr>
      <w:r w:rsidRPr="00993B90">
        <w:rPr>
          <w:rFonts w:ascii="Arial" w:hAnsi="Arial" w:cs="Arial"/>
          <w:sz w:val="24"/>
          <w:szCs w:val="24"/>
        </w:rPr>
        <w:t>本公司承诺以诚实信用、勤勉尽责的原则管理和运用基金资产，但不保证基金一定盈利，也不保证最低收益。</w:t>
      </w:r>
      <w:r w:rsidRPr="005D6F1A">
        <w:rPr>
          <w:rFonts w:ascii="Arial" w:hAnsi="Arial" w:cs="Arial" w:hint="eastAsia"/>
          <w:sz w:val="24"/>
          <w:szCs w:val="24"/>
        </w:rPr>
        <w:t>基金投资有风险，请投资者正确认识和对待本基金未来可能的收益和风险</w:t>
      </w:r>
      <w:r>
        <w:rPr>
          <w:rFonts w:ascii="Arial" w:hAnsi="Arial" w:cs="Arial" w:hint="eastAsia"/>
          <w:sz w:val="24"/>
          <w:szCs w:val="24"/>
        </w:rPr>
        <w:t>，投资前仔细阅读本基金基金合同、招募说明书</w:t>
      </w:r>
      <w:bookmarkStart w:id="0" w:name="_GoBack"/>
      <w:bookmarkEnd w:id="0"/>
      <w:r>
        <w:rPr>
          <w:rFonts w:ascii="Arial" w:hAnsi="Arial" w:cs="Arial" w:hint="eastAsia"/>
          <w:sz w:val="24"/>
          <w:szCs w:val="24"/>
        </w:rPr>
        <w:t>等相关文件</w:t>
      </w:r>
      <w:r w:rsidRPr="005D6F1A">
        <w:rPr>
          <w:rFonts w:ascii="Arial" w:hAnsi="Arial" w:cs="Arial" w:hint="eastAsia"/>
          <w:sz w:val="24"/>
          <w:szCs w:val="24"/>
        </w:rPr>
        <w:t>。</w:t>
      </w:r>
    </w:p>
    <w:p w:rsidR="00993B90" w:rsidRPr="00993B90" w:rsidRDefault="00993B90" w:rsidP="00861D77">
      <w:pPr>
        <w:spacing w:line="360" w:lineRule="auto"/>
        <w:ind w:leftChars="0" w:left="0" w:rightChars="0" w:right="0" w:firstLine="480"/>
        <w:jc w:val="both"/>
        <w:rPr>
          <w:rFonts w:ascii="Arial" w:hAnsi="Arial" w:cs="Arial"/>
          <w:sz w:val="24"/>
          <w:szCs w:val="24"/>
        </w:rPr>
      </w:pPr>
      <w:r w:rsidRPr="00993B90">
        <w:rPr>
          <w:rFonts w:ascii="Arial" w:hAnsi="Arial" w:cs="Arial"/>
          <w:sz w:val="24"/>
          <w:szCs w:val="24"/>
        </w:rPr>
        <w:t>本公告解释权归本公司</w:t>
      </w:r>
      <w:r>
        <w:rPr>
          <w:rFonts w:ascii="Arial" w:hAnsi="Arial" w:cs="Arial" w:hint="eastAsia"/>
          <w:sz w:val="24"/>
          <w:szCs w:val="24"/>
        </w:rPr>
        <w:t>所有</w:t>
      </w:r>
      <w:r w:rsidRPr="00993B90">
        <w:rPr>
          <w:rFonts w:ascii="Arial" w:hAnsi="Arial" w:cs="Arial"/>
          <w:sz w:val="24"/>
          <w:szCs w:val="24"/>
        </w:rPr>
        <w:t>。</w:t>
      </w:r>
    </w:p>
    <w:p w:rsidR="00B056E2" w:rsidRPr="005D6F1A" w:rsidRDefault="00B056E2" w:rsidP="00861D77">
      <w:pPr>
        <w:spacing w:line="360" w:lineRule="auto"/>
        <w:ind w:leftChars="0" w:left="0" w:rightChars="0" w:right="0" w:firstLine="480"/>
        <w:jc w:val="both"/>
        <w:rPr>
          <w:rFonts w:ascii="Arial" w:hAnsi="Arial" w:cs="Arial"/>
          <w:sz w:val="24"/>
          <w:szCs w:val="24"/>
        </w:rPr>
      </w:pPr>
    </w:p>
    <w:p w:rsidR="003C60CC" w:rsidRPr="005D6F1A" w:rsidRDefault="003C60CC" w:rsidP="00861D77">
      <w:pPr>
        <w:spacing w:line="360" w:lineRule="auto"/>
        <w:ind w:leftChars="0" w:left="0" w:rightChars="0" w:right="0" w:firstLine="480"/>
        <w:jc w:val="both"/>
        <w:rPr>
          <w:rFonts w:ascii="Arial" w:hAnsi="Arial" w:cs="Arial"/>
          <w:sz w:val="24"/>
          <w:szCs w:val="24"/>
        </w:rPr>
      </w:pPr>
      <w:r w:rsidRPr="005D6F1A">
        <w:rPr>
          <w:rFonts w:ascii="Arial" w:hAnsi="Arial" w:cs="Arial" w:hint="eastAsia"/>
          <w:sz w:val="24"/>
          <w:szCs w:val="24"/>
        </w:rPr>
        <w:t>特此公告。</w:t>
      </w:r>
    </w:p>
    <w:p w:rsidR="003C60CC" w:rsidRPr="005D6F1A" w:rsidRDefault="003C60CC" w:rsidP="00861D77">
      <w:pPr>
        <w:spacing w:line="360" w:lineRule="auto"/>
        <w:ind w:leftChars="0" w:left="0" w:rightChars="0" w:right="0" w:firstLine="480"/>
        <w:jc w:val="both"/>
        <w:rPr>
          <w:rFonts w:ascii="Arial" w:hAnsi="Arial" w:cs="Arial"/>
          <w:sz w:val="24"/>
          <w:szCs w:val="24"/>
        </w:rPr>
      </w:pPr>
    </w:p>
    <w:p w:rsidR="003C60CC" w:rsidRDefault="00B056E2" w:rsidP="00861D77">
      <w:pPr>
        <w:spacing w:line="360" w:lineRule="auto"/>
        <w:ind w:left="210" w:right="210" w:firstLine="480"/>
        <w:jc w:val="right"/>
      </w:pPr>
      <w:r w:rsidRPr="005D6F1A">
        <w:rPr>
          <w:rFonts w:ascii="Arial" w:hAnsi="Arial" w:cs="Arial" w:hint="eastAsia"/>
          <w:sz w:val="24"/>
          <w:szCs w:val="24"/>
        </w:rPr>
        <w:t>中金</w:t>
      </w:r>
      <w:r w:rsidR="003C60CC" w:rsidRPr="005D6F1A">
        <w:rPr>
          <w:rFonts w:ascii="Arial" w:hAnsi="Arial" w:cs="Arial" w:hint="eastAsia"/>
          <w:sz w:val="24"/>
          <w:szCs w:val="24"/>
        </w:rPr>
        <w:t>基金管理有限公司</w:t>
      </w:r>
    </w:p>
    <w:p w:rsidR="00B056E2" w:rsidRPr="005D6F1A" w:rsidRDefault="00410BEA" w:rsidP="00861D77">
      <w:pPr>
        <w:spacing w:line="360" w:lineRule="auto"/>
        <w:ind w:leftChars="0" w:left="0" w:rightChars="0" w:right="240" w:firstLineChars="250" w:firstLine="600"/>
        <w:jc w:val="right"/>
        <w:rPr>
          <w:rFonts w:ascii="Arial" w:hAnsi="Arial" w:cs="Arial"/>
          <w:sz w:val="24"/>
          <w:szCs w:val="24"/>
        </w:rPr>
      </w:pPr>
      <w:r w:rsidRPr="005D6F1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 w:hint="eastAsia"/>
          <w:sz w:val="24"/>
          <w:szCs w:val="24"/>
        </w:rPr>
        <w:t>21</w:t>
      </w:r>
      <w:r w:rsidRPr="005D6F1A">
        <w:rPr>
          <w:rFonts w:ascii="Arial" w:hAnsi="Arial" w:cs="Arial" w:hint="eastAsia"/>
          <w:sz w:val="24"/>
          <w:szCs w:val="24"/>
        </w:rPr>
        <w:t>年</w:t>
      </w:r>
      <w:r>
        <w:rPr>
          <w:rFonts w:ascii="Arial" w:hAnsi="Arial" w:cs="Arial" w:hint="eastAsia"/>
          <w:sz w:val="24"/>
          <w:szCs w:val="24"/>
        </w:rPr>
        <w:t>6</w:t>
      </w:r>
      <w:r w:rsidRPr="005D6F1A">
        <w:rPr>
          <w:rFonts w:ascii="Arial" w:hAnsi="Arial" w:cs="Arial" w:hint="eastAsia"/>
          <w:sz w:val="24"/>
          <w:szCs w:val="24"/>
        </w:rPr>
        <w:t>月</w:t>
      </w:r>
      <w:r w:rsidR="00615E9C">
        <w:rPr>
          <w:rFonts w:ascii="Arial" w:hAnsi="Arial" w:cs="Arial" w:hint="eastAsia"/>
          <w:sz w:val="24"/>
          <w:szCs w:val="24"/>
        </w:rPr>
        <w:t>25</w:t>
      </w:r>
      <w:r w:rsidR="003C60CC" w:rsidRPr="005D6F1A">
        <w:rPr>
          <w:rFonts w:ascii="Arial" w:hAnsi="Arial" w:cs="Arial" w:hint="eastAsia"/>
          <w:sz w:val="24"/>
          <w:szCs w:val="24"/>
        </w:rPr>
        <w:t>日</w:t>
      </w:r>
    </w:p>
    <w:sectPr w:rsidR="00B056E2" w:rsidRPr="005D6F1A" w:rsidSect="00954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C2EE6F" w15:done="0"/>
  <w15:commentEx w15:paraId="4C41E81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26" w:rsidRDefault="00FA6F26" w:rsidP="004839FF">
      <w:pPr>
        <w:ind w:left="210" w:right="210" w:firstLine="420"/>
      </w:pPr>
      <w:r>
        <w:separator/>
      </w:r>
    </w:p>
  </w:endnote>
  <w:endnote w:type="continuationSeparator" w:id="0">
    <w:p w:rsidR="00FA6F26" w:rsidRDefault="00FA6F26" w:rsidP="004839FF">
      <w:pPr>
        <w:ind w:left="210" w:right="210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F6" w:rsidRDefault="00BB66F6" w:rsidP="004839FF">
    <w:pPr>
      <w:pStyle w:val="a5"/>
      <w:ind w:left="210" w:right="21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9803"/>
      <w:docPartObj>
        <w:docPartGallery w:val="Page Numbers (Bottom of Page)"/>
        <w:docPartUnique/>
      </w:docPartObj>
    </w:sdtPr>
    <w:sdtContent>
      <w:p w:rsidR="00BB66F6" w:rsidRDefault="00954ECA" w:rsidP="00861D77">
        <w:pPr>
          <w:pStyle w:val="a5"/>
          <w:ind w:left="210" w:right="210" w:firstLine="360"/>
          <w:jc w:val="center"/>
        </w:pPr>
        <w:r>
          <w:fldChar w:fldCharType="begin"/>
        </w:r>
        <w:r w:rsidR="00861D77">
          <w:instrText>PAGE   \* MERGEFORMAT</w:instrText>
        </w:r>
        <w:r>
          <w:fldChar w:fldCharType="separate"/>
        </w:r>
        <w:r w:rsidR="00970C19" w:rsidRPr="00970C19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F6" w:rsidRDefault="00BB66F6" w:rsidP="004839FF">
    <w:pPr>
      <w:pStyle w:val="a5"/>
      <w:ind w:left="210" w:right="21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26" w:rsidRDefault="00FA6F26" w:rsidP="004839FF">
      <w:pPr>
        <w:ind w:left="210" w:right="210" w:firstLine="420"/>
      </w:pPr>
      <w:r>
        <w:separator/>
      </w:r>
    </w:p>
  </w:footnote>
  <w:footnote w:type="continuationSeparator" w:id="0">
    <w:p w:rsidR="00FA6F26" w:rsidRDefault="00FA6F26" w:rsidP="004839FF">
      <w:pPr>
        <w:ind w:left="210" w:right="210"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F6" w:rsidRDefault="00BB66F6" w:rsidP="004839FF">
    <w:pPr>
      <w:pStyle w:val="a4"/>
      <w:ind w:left="210" w:right="21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F6" w:rsidRPr="00250CCA" w:rsidRDefault="00BB66F6" w:rsidP="00250CCA">
    <w:pPr>
      <w:ind w:left="210" w:right="210"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F6" w:rsidRDefault="00BB66F6" w:rsidP="004839FF">
    <w:pPr>
      <w:pStyle w:val="a4"/>
      <w:ind w:left="210" w:right="21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6B1F"/>
    <w:multiLevelType w:val="hybridMultilevel"/>
    <w:tmpl w:val="E102C44C"/>
    <w:lvl w:ilvl="0" w:tplc="0F1032DE">
      <w:start w:val="1"/>
      <w:numFmt w:val="decimal"/>
      <w:lvlText w:val="（%1）"/>
      <w:lvlJc w:val="left"/>
      <w:pPr>
        <w:ind w:left="157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XF">
    <w15:presenceInfo w15:providerId="None" w15:userId="SX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0CC"/>
    <w:rsid w:val="00000E0C"/>
    <w:rsid w:val="000063C4"/>
    <w:rsid w:val="00025DB2"/>
    <w:rsid w:val="00081464"/>
    <w:rsid w:val="000B7D90"/>
    <w:rsid w:val="000C5D6E"/>
    <w:rsid w:val="001133AF"/>
    <w:rsid w:val="001C2156"/>
    <w:rsid w:val="001D3D1B"/>
    <w:rsid w:val="001D5E4F"/>
    <w:rsid w:val="00250CCA"/>
    <w:rsid w:val="00281F41"/>
    <w:rsid w:val="00290FD1"/>
    <w:rsid w:val="002F4FC2"/>
    <w:rsid w:val="003445FC"/>
    <w:rsid w:val="00376F20"/>
    <w:rsid w:val="003C60CC"/>
    <w:rsid w:val="004101B0"/>
    <w:rsid w:val="00410BEA"/>
    <w:rsid w:val="004208C0"/>
    <w:rsid w:val="00440AA8"/>
    <w:rsid w:val="00444B78"/>
    <w:rsid w:val="0047006A"/>
    <w:rsid w:val="00470DF3"/>
    <w:rsid w:val="0047608B"/>
    <w:rsid w:val="004839FF"/>
    <w:rsid w:val="004F24D8"/>
    <w:rsid w:val="004F77F8"/>
    <w:rsid w:val="0050527A"/>
    <w:rsid w:val="00551ECD"/>
    <w:rsid w:val="00587AB0"/>
    <w:rsid w:val="005D5C55"/>
    <w:rsid w:val="005D6F1A"/>
    <w:rsid w:val="00615E9C"/>
    <w:rsid w:val="00627F82"/>
    <w:rsid w:val="00641EEA"/>
    <w:rsid w:val="00653107"/>
    <w:rsid w:val="00661D1B"/>
    <w:rsid w:val="00670540"/>
    <w:rsid w:val="006722E6"/>
    <w:rsid w:val="006C7D55"/>
    <w:rsid w:val="00711189"/>
    <w:rsid w:val="007151C7"/>
    <w:rsid w:val="00747D47"/>
    <w:rsid w:val="00760B3B"/>
    <w:rsid w:val="00784222"/>
    <w:rsid w:val="0083205E"/>
    <w:rsid w:val="00832C9B"/>
    <w:rsid w:val="0085006F"/>
    <w:rsid w:val="00861D77"/>
    <w:rsid w:val="008759AC"/>
    <w:rsid w:val="00884770"/>
    <w:rsid w:val="008E37B4"/>
    <w:rsid w:val="00954ECA"/>
    <w:rsid w:val="00970C19"/>
    <w:rsid w:val="00981ABB"/>
    <w:rsid w:val="00993B90"/>
    <w:rsid w:val="009D6E31"/>
    <w:rsid w:val="009F224D"/>
    <w:rsid w:val="00A04BA3"/>
    <w:rsid w:val="00A37586"/>
    <w:rsid w:val="00A42CDD"/>
    <w:rsid w:val="00A731D0"/>
    <w:rsid w:val="00A85D4A"/>
    <w:rsid w:val="00AC3CC8"/>
    <w:rsid w:val="00AC542D"/>
    <w:rsid w:val="00AE327E"/>
    <w:rsid w:val="00AF0CF6"/>
    <w:rsid w:val="00B056E2"/>
    <w:rsid w:val="00B153D0"/>
    <w:rsid w:val="00B437F1"/>
    <w:rsid w:val="00B57992"/>
    <w:rsid w:val="00B66861"/>
    <w:rsid w:val="00B66C4F"/>
    <w:rsid w:val="00B81F34"/>
    <w:rsid w:val="00B82E30"/>
    <w:rsid w:val="00B86145"/>
    <w:rsid w:val="00B91911"/>
    <w:rsid w:val="00BB66F6"/>
    <w:rsid w:val="00BE4A47"/>
    <w:rsid w:val="00C3334A"/>
    <w:rsid w:val="00C91148"/>
    <w:rsid w:val="00C9587D"/>
    <w:rsid w:val="00CB4296"/>
    <w:rsid w:val="00CE4870"/>
    <w:rsid w:val="00D20918"/>
    <w:rsid w:val="00D35B6E"/>
    <w:rsid w:val="00D764A3"/>
    <w:rsid w:val="00D77620"/>
    <w:rsid w:val="00D82FB0"/>
    <w:rsid w:val="00D90DEF"/>
    <w:rsid w:val="00DE3808"/>
    <w:rsid w:val="00DE61C7"/>
    <w:rsid w:val="00DF5EB3"/>
    <w:rsid w:val="00DF780D"/>
    <w:rsid w:val="00E14CC4"/>
    <w:rsid w:val="00E22ECE"/>
    <w:rsid w:val="00E60261"/>
    <w:rsid w:val="00E76268"/>
    <w:rsid w:val="00E80444"/>
    <w:rsid w:val="00E94D9E"/>
    <w:rsid w:val="00EB3490"/>
    <w:rsid w:val="00EC3C1F"/>
    <w:rsid w:val="00ED04CE"/>
    <w:rsid w:val="00ED68D6"/>
    <w:rsid w:val="00F0440A"/>
    <w:rsid w:val="00F04692"/>
    <w:rsid w:val="00F32957"/>
    <w:rsid w:val="00F37AF2"/>
    <w:rsid w:val="00F8723D"/>
    <w:rsid w:val="00F925B6"/>
    <w:rsid w:val="00FA6F26"/>
    <w:rsid w:val="00FC03B3"/>
    <w:rsid w:val="00FC1CFB"/>
    <w:rsid w:val="00FC64D0"/>
    <w:rsid w:val="00FE0ADA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DD"/>
    <w:pPr>
      <w:widowControl w:val="0"/>
      <w:ind w:leftChars="100" w:left="100" w:rightChars="100" w:right="100" w:firstLineChars="200" w:firstLine="200"/>
    </w:pPr>
    <w:rPr>
      <w:rFonts w:ascii="Arial Unicode MS" w:eastAsia="楷体_GB2312" w:hAnsi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4D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8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39FF"/>
    <w:rPr>
      <w:rFonts w:ascii="Arial Unicode MS" w:eastAsia="楷体_GB2312" w:hAnsi="Arial Unicode MS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39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39FF"/>
    <w:rPr>
      <w:rFonts w:ascii="Arial Unicode MS" w:eastAsia="楷体_GB2312" w:hAnsi="Arial Unicode MS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320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205E"/>
    <w:rPr>
      <w:rFonts w:ascii="Arial Unicode MS" w:eastAsia="楷体_GB2312" w:hAnsi="Arial Unicode MS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93B9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93B90"/>
  </w:style>
  <w:style w:type="character" w:customStyle="1" w:styleId="Char2">
    <w:name w:val="批注文字 Char"/>
    <w:basedOn w:val="a0"/>
    <w:link w:val="a8"/>
    <w:uiPriority w:val="99"/>
    <w:semiHidden/>
    <w:rsid w:val="00993B90"/>
    <w:rPr>
      <w:rFonts w:ascii="Arial Unicode MS" w:eastAsia="楷体_GB2312" w:hAnsi="Arial Unicode M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93B9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93B90"/>
    <w:rPr>
      <w:rFonts w:ascii="Arial Unicode MS" w:eastAsia="楷体_GB2312" w:hAnsi="Arial Unicode MS"/>
      <w:b/>
      <w:bCs/>
    </w:rPr>
  </w:style>
  <w:style w:type="paragraph" w:styleId="aa">
    <w:name w:val="Revision"/>
    <w:hidden/>
    <w:uiPriority w:val="99"/>
    <w:semiHidden/>
    <w:rsid w:val="005D6F1A"/>
    <w:rPr>
      <w:rFonts w:ascii="Arial Unicode MS" w:eastAsia="楷体_GB2312" w:hAnsi="Arial Unicode MS"/>
    </w:rPr>
  </w:style>
  <w:style w:type="paragraph" w:styleId="ab">
    <w:name w:val="List Paragraph"/>
    <w:basedOn w:val="a"/>
    <w:uiPriority w:val="34"/>
    <w:qFormat/>
    <w:rsid w:val="001133AF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DD"/>
    <w:pPr>
      <w:widowControl w:val="0"/>
      <w:ind w:leftChars="100" w:left="100" w:rightChars="100" w:right="100" w:firstLineChars="200" w:firstLine="200"/>
    </w:pPr>
    <w:rPr>
      <w:rFonts w:ascii="Arial Unicode MS" w:eastAsia="楷体_GB2312" w:hAnsi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4D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8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39FF"/>
    <w:rPr>
      <w:rFonts w:ascii="Arial Unicode MS" w:eastAsia="楷体_GB2312" w:hAnsi="Arial Unicode MS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39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39FF"/>
    <w:rPr>
      <w:rFonts w:ascii="Arial Unicode MS" w:eastAsia="楷体_GB2312" w:hAnsi="Arial Unicode MS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320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205E"/>
    <w:rPr>
      <w:rFonts w:ascii="Arial Unicode MS" w:eastAsia="楷体_GB2312" w:hAnsi="Arial Unicode MS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93B9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93B90"/>
  </w:style>
  <w:style w:type="character" w:customStyle="1" w:styleId="Char2">
    <w:name w:val="批注文字 Char"/>
    <w:basedOn w:val="a0"/>
    <w:link w:val="a8"/>
    <w:uiPriority w:val="99"/>
    <w:semiHidden/>
    <w:rsid w:val="00993B90"/>
    <w:rPr>
      <w:rFonts w:ascii="Arial Unicode MS" w:eastAsia="楷体_GB2312" w:hAnsi="Arial Unicode M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93B9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93B90"/>
    <w:rPr>
      <w:rFonts w:ascii="Arial Unicode MS" w:eastAsia="楷体_GB2312" w:hAnsi="Arial Unicode MS"/>
      <w:b/>
      <w:bCs/>
    </w:rPr>
  </w:style>
  <w:style w:type="paragraph" w:styleId="aa">
    <w:name w:val="Revision"/>
    <w:hidden/>
    <w:uiPriority w:val="99"/>
    <w:semiHidden/>
    <w:rsid w:val="005D6F1A"/>
    <w:rPr>
      <w:rFonts w:ascii="Arial Unicode MS" w:eastAsia="楷体_GB2312" w:hAnsi="Arial Unicode MS"/>
    </w:rPr>
  </w:style>
  <w:style w:type="paragraph" w:styleId="ab">
    <w:name w:val="List Paragraph"/>
    <w:basedOn w:val="a"/>
    <w:uiPriority w:val="34"/>
    <w:qFormat/>
    <w:rsid w:val="001133AF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4</DocSecurity>
  <Lines>8</Lines>
  <Paragraphs>2</Paragraphs>
  <ScaleCrop>false</ScaleCrop>
  <Company>Hewlett-Packard Company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Wang</dc:creator>
  <cp:lastModifiedBy>ZHONGM</cp:lastModifiedBy>
  <cp:revision>2</cp:revision>
  <cp:lastPrinted>2021-06-24T09:00:00Z</cp:lastPrinted>
  <dcterms:created xsi:type="dcterms:W3CDTF">2021-06-24T16:18:00Z</dcterms:created>
  <dcterms:modified xsi:type="dcterms:W3CDTF">2021-06-24T16:18:00Z</dcterms:modified>
</cp:coreProperties>
</file>