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58" w:rsidRDefault="00193339">
      <w:pPr>
        <w:spacing w:line="360" w:lineRule="auto"/>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太平基金管理有限公司</w:t>
      </w:r>
    </w:p>
    <w:p w:rsidR="00A52D58" w:rsidRDefault="00193339">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bookmarkStart w:id="1" w:name="_Hlk61801904"/>
      <w:bookmarkStart w:id="2" w:name="_Hlk61801771"/>
      <w:r>
        <w:rPr>
          <w:rFonts w:asciiTheme="minorEastAsia" w:hAnsiTheme="minorEastAsia" w:hint="eastAsia"/>
          <w:b/>
          <w:sz w:val="28"/>
          <w:szCs w:val="28"/>
        </w:rPr>
        <w:t>阳光人寿保险股份有限公司</w:t>
      </w:r>
      <w:bookmarkEnd w:id="1"/>
      <w:bookmarkEnd w:id="2"/>
    </w:p>
    <w:p w:rsidR="00A52D58" w:rsidRDefault="00193339">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为销售机构并参加其费率优惠的公告</w:t>
      </w:r>
    </w:p>
    <w:p w:rsidR="00A52D58" w:rsidRDefault="00A52D58">
      <w:pPr>
        <w:spacing w:line="360" w:lineRule="auto"/>
        <w:jc w:val="center"/>
        <w:rPr>
          <w:rFonts w:asciiTheme="minorEastAsia" w:hAnsiTheme="minorEastAsia"/>
          <w:b/>
          <w:sz w:val="24"/>
          <w:szCs w:val="24"/>
        </w:rPr>
      </w:pP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为了更好地满足广大投资者的理财需求，根据太平基金管理有限公司（以下简称“本公司”）与阳光人寿保险股份有限公司（以下简称“阳光人寿保险”）签署的相关销售协议，自</w:t>
      </w:r>
      <w:r>
        <w:rPr>
          <w:rFonts w:asciiTheme="minorEastAsia" w:hAnsiTheme="minorEastAsia"/>
          <w:sz w:val="24"/>
          <w:szCs w:val="24"/>
        </w:rPr>
        <w:t>2</w:t>
      </w:r>
      <w:r>
        <w:rPr>
          <w:rFonts w:asciiTheme="minorEastAsia" w:hAnsiTheme="minorEastAsia" w:hint="eastAsia"/>
          <w:sz w:val="24"/>
          <w:szCs w:val="24"/>
        </w:rPr>
        <w:t>02</w:t>
      </w:r>
      <w:r>
        <w:rPr>
          <w:rFonts w:asciiTheme="minorEastAsia" w:hAnsiTheme="minorEastAsia"/>
          <w:sz w:val="24"/>
          <w:szCs w:val="24"/>
        </w:rPr>
        <w:t>1年</w:t>
      </w:r>
      <w:r>
        <w:rPr>
          <w:rFonts w:asciiTheme="minorEastAsia" w:hAnsiTheme="minorEastAsia" w:hint="eastAsia"/>
          <w:sz w:val="24"/>
          <w:szCs w:val="24"/>
        </w:rPr>
        <w:t>6月23日起，本公司增加阳光人寿保险为销售机构并参加其费率优惠，具体基金为：</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太平日日金货币市场基金（基金简称：太平日日金；A类份额基金代码：003398，B类份额基金代码：003399）；</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太平日日鑫货币市场基金（基金简称：太平日日鑫；A类份额基金代码：004330，B类份额基金代码：004331）；</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太平灵活配置混合型发起式证券投资基金（基金简称：太平灵活配置；基金代码：</w:t>
      </w:r>
      <w:r>
        <w:rPr>
          <w:rFonts w:asciiTheme="minorEastAsia" w:hAnsiTheme="minorEastAsia"/>
          <w:sz w:val="24"/>
          <w:szCs w:val="24"/>
        </w:rPr>
        <w:t>000986</w:t>
      </w:r>
      <w:r>
        <w:rPr>
          <w:rFonts w:asciiTheme="minorEastAsia" w:hAnsiTheme="minorEastAsia" w:hint="eastAsia"/>
          <w:sz w:val="24"/>
          <w:szCs w:val="24"/>
        </w:rPr>
        <w:t>）；</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太平改革红利精选灵活配置混合型证券投资基金（基金简称：太平改革红利精选；基金代码：005270）；</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太平行业优选股票型证券投资基金（基金简称：太平行业优选；A类份额基金代码：00</w:t>
      </w:r>
      <w:r>
        <w:rPr>
          <w:rFonts w:asciiTheme="minorEastAsia" w:hAnsiTheme="minorEastAsia"/>
          <w:sz w:val="24"/>
          <w:szCs w:val="24"/>
        </w:rPr>
        <w:t>9537</w:t>
      </w:r>
      <w:r>
        <w:rPr>
          <w:rFonts w:asciiTheme="minorEastAsia" w:hAnsiTheme="minorEastAsia" w:hint="eastAsia"/>
          <w:sz w:val="24"/>
          <w:szCs w:val="24"/>
        </w:rPr>
        <w:t>，C类份额基金代码：0</w:t>
      </w:r>
      <w:r>
        <w:rPr>
          <w:rFonts w:asciiTheme="minorEastAsia" w:hAnsiTheme="minorEastAsia"/>
          <w:sz w:val="24"/>
          <w:szCs w:val="24"/>
        </w:rPr>
        <w:t>09538</w:t>
      </w:r>
      <w:r>
        <w:rPr>
          <w:rFonts w:asciiTheme="minorEastAsia" w:hAnsiTheme="minorEastAsia" w:hint="eastAsia"/>
          <w:sz w:val="24"/>
          <w:szCs w:val="24"/>
        </w:rPr>
        <w:t>）；</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太平睿盈混合型证券投资基金（基金简称：太平睿盈混合；A类份额基金代码：006973，C类份额基金代码：007669）</w:t>
      </w:r>
      <w:bookmarkStart w:id="3" w:name="_Hlk61803015"/>
      <w:r>
        <w:rPr>
          <w:rFonts w:asciiTheme="minorEastAsia" w:hAnsiTheme="minorEastAsia" w:hint="eastAsia"/>
          <w:sz w:val="24"/>
          <w:szCs w:val="24"/>
        </w:rPr>
        <w:t>；</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太平睿安混合型证券投资基金（基金简称：</w:t>
      </w:r>
      <w:bookmarkStart w:id="4" w:name="_Hlk61802093"/>
      <w:r>
        <w:rPr>
          <w:rFonts w:asciiTheme="minorEastAsia" w:hAnsiTheme="minorEastAsia" w:hint="eastAsia"/>
          <w:sz w:val="24"/>
          <w:szCs w:val="24"/>
        </w:rPr>
        <w:t>太平睿安混合</w:t>
      </w:r>
      <w:bookmarkEnd w:id="4"/>
      <w:r>
        <w:rPr>
          <w:rFonts w:asciiTheme="minorEastAsia" w:hAnsiTheme="minorEastAsia" w:hint="eastAsia"/>
          <w:sz w:val="24"/>
          <w:szCs w:val="24"/>
        </w:rPr>
        <w:t>；A类份额基金代码：</w:t>
      </w:r>
      <w:r>
        <w:rPr>
          <w:rFonts w:asciiTheme="minorEastAsia" w:hAnsiTheme="minorEastAsia"/>
          <w:sz w:val="24"/>
          <w:szCs w:val="24"/>
        </w:rPr>
        <w:t>010268</w:t>
      </w:r>
      <w:r>
        <w:rPr>
          <w:rFonts w:asciiTheme="minorEastAsia" w:hAnsiTheme="minorEastAsia" w:hint="eastAsia"/>
          <w:sz w:val="24"/>
          <w:szCs w:val="24"/>
        </w:rPr>
        <w:t>，C类份额基金代码：</w:t>
      </w:r>
      <w:r>
        <w:rPr>
          <w:rFonts w:asciiTheme="minorEastAsia" w:hAnsiTheme="minorEastAsia"/>
          <w:sz w:val="24"/>
          <w:szCs w:val="24"/>
        </w:rPr>
        <w:t>010269</w:t>
      </w:r>
      <w:r>
        <w:rPr>
          <w:rFonts w:asciiTheme="minorEastAsia" w:hAnsiTheme="minorEastAsia" w:hint="eastAsia"/>
          <w:sz w:val="24"/>
          <w:szCs w:val="24"/>
        </w:rPr>
        <w:t>）</w:t>
      </w:r>
      <w:bookmarkEnd w:id="3"/>
      <w:r>
        <w:rPr>
          <w:rFonts w:asciiTheme="minorEastAsia" w:hAnsiTheme="minorEastAsia" w:hint="eastAsia"/>
          <w:sz w:val="24"/>
          <w:szCs w:val="24"/>
        </w:rPr>
        <w:t>；</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太平恒利纯债债券型证券投资基金（基金简称：太平恒利纯债；基金代码：</w:t>
      </w:r>
      <w:r>
        <w:rPr>
          <w:rFonts w:asciiTheme="minorEastAsia" w:hAnsiTheme="minorEastAsia"/>
          <w:sz w:val="24"/>
          <w:szCs w:val="24"/>
        </w:rPr>
        <w:t>0</w:t>
      </w:r>
      <w:r>
        <w:rPr>
          <w:rFonts w:asciiTheme="minorEastAsia" w:hAnsiTheme="minorEastAsia" w:hint="eastAsia"/>
          <w:sz w:val="24"/>
          <w:szCs w:val="24"/>
        </w:rPr>
        <w:t>05872）；</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太平恒安三个月定期开放债券型证券投资基金（基金简称：太平恒安三个月定开债；基金代码：007545）；</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太平恒睿纯债债券型证券投资基金（基金简称：太平恒睿纯债；基金代码：009118）；</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lastRenderedPageBreak/>
        <w:t>太平中债1-3年政策性金融债指数证券投资基金（基金简称：太平中债1-3年政策性金融债；A类份额基金代码：009087， C类份额基金代码：009088）；</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太平恒久纯债债券型证券投资基金（基金简称：太平恒久纯债；基金代码：010476）</w:t>
      </w:r>
    </w:p>
    <w:p w:rsidR="00A52D58" w:rsidRDefault="0019333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 xml:space="preserve">现就有关事项公告如下： </w:t>
      </w:r>
    </w:p>
    <w:p w:rsidR="00A52D58" w:rsidRDefault="00A52D58">
      <w:pPr>
        <w:spacing w:line="360" w:lineRule="auto"/>
        <w:ind w:firstLine="601"/>
        <w:outlineLvl w:val="0"/>
        <w:rPr>
          <w:rFonts w:asciiTheme="minorEastAsia" w:hAnsiTheme="minorEastAsia"/>
          <w:sz w:val="24"/>
          <w:szCs w:val="24"/>
        </w:rPr>
      </w:pPr>
    </w:p>
    <w:p w:rsidR="00A52D58" w:rsidRDefault="00193339">
      <w:pPr>
        <w:spacing w:line="360" w:lineRule="auto"/>
        <w:rPr>
          <w:rFonts w:asciiTheme="minorEastAsia" w:hAnsiTheme="minorEastAsia"/>
          <w:b/>
          <w:sz w:val="24"/>
          <w:szCs w:val="24"/>
        </w:rPr>
      </w:pPr>
      <w:r>
        <w:rPr>
          <w:rFonts w:asciiTheme="minorEastAsia" w:hAnsiTheme="minorEastAsia" w:hint="eastAsia"/>
          <w:b/>
          <w:sz w:val="24"/>
          <w:szCs w:val="24"/>
        </w:rPr>
        <w:t>一、适用业务范围</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1</w:t>
      </w:r>
      <w:r>
        <w:rPr>
          <w:rFonts w:asciiTheme="minorEastAsia" w:hAnsiTheme="minorEastAsia" w:hint="eastAsia"/>
          <w:sz w:val="24"/>
          <w:szCs w:val="24"/>
        </w:rPr>
        <w:t>年6月23日起，投资者可通过阳光人寿保险相关渠道办理太平日日金、太平日日鑫、太平灵活配置、太平改革红利精选、太平行业优选、太平睿盈混合、太平睿安混合、太平恒利纯债、太平恒安三个月定开债、太平恒睿纯债的申购、赎回、转换、定期定额投资等相关销售业务；太平恒久纯债的申购、赎回、定期定额投资等相关销售业务；太平中债1-3年政策性金融债的申购、赎回、转换等相关销售业务。</w:t>
      </w:r>
    </w:p>
    <w:p w:rsidR="00A52D58" w:rsidRDefault="00A52D58">
      <w:pPr>
        <w:spacing w:line="360" w:lineRule="auto"/>
        <w:rPr>
          <w:rFonts w:asciiTheme="minorEastAsia" w:hAnsiTheme="minorEastAsia"/>
          <w:sz w:val="24"/>
          <w:szCs w:val="24"/>
        </w:rPr>
      </w:pPr>
    </w:p>
    <w:p w:rsidR="00A52D58" w:rsidRDefault="00193339">
      <w:pPr>
        <w:spacing w:line="360" w:lineRule="auto"/>
        <w:rPr>
          <w:rFonts w:asciiTheme="minorEastAsia" w:hAnsiTheme="minorEastAsia"/>
          <w:b/>
          <w:sz w:val="24"/>
          <w:szCs w:val="24"/>
        </w:rPr>
      </w:pPr>
      <w:r>
        <w:rPr>
          <w:rFonts w:asciiTheme="minorEastAsia" w:hAnsiTheme="minorEastAsia" w:hint="eastAsia"/>
          <w:b/>
          <w:sz w:val="24"/>
          <w:szCs w:val="24"/>
        </w:rPr>
        <w:t>二、定期定额投资业务及其规则</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b/>
          <w:sz w:val="24"/>
          <w:szCs w:val="24"/>
        </w:rPr>
        <w:t>1、扣款日期和扣款金额</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投资者办理定期定额投资业务前，须指定一个有效资金账户作为每期固定扣款账户，并经办理本业务的销售机构认可。投资者须遵循阳光人寿保险有关规定，并与阳光人寿保险约定每期扣款日期及固定扣款金额。</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灵活配置、太平改革红利精选、太平行业优选、太平睿盈混合、太平睿安混合、太平恒利纯债、太平恒安三个月定开债、太平恒睿纯债、太平恒久纯债的定期定额投资业务每期最低扣款金额以各基金最低申购金额为准（含申购费），阳光人寿保险可在此最低金额基础之上，根据需要设置等于或高于各基金的最低扣款金额，具体以阳光人寿保险的相关业务规则为准。投资者须指定一个有效资金账户作为每期固定扣款账户。若遇非基金交易日时，扣款是否顺延以阳光人寿保险的具体规定为准。具体扣款方式按阳光人寿保险的相关业务规则办理。</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b/>
          <w:sz w:val="24"/>
          <w:szCs w:val="24"/>
        </w:rPr>
        <w:t>2、交易确认</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投资者办理定期定额投资业务的变更和终止，须携带本人有效身份证件及相关凭证到原办理该业务网点申请办理，具体办理程序和事宜应遵循阳光人寿保险的有关规定。</w:t>
      </w:r>
    </w:p>
    <w:p w:rsidR="00A52D58" w:rsidRDefault="00A52D58">
      <w:pPr>
        <w:spacing w:line="360" w:lineRule="auto"/>
        <w:ind w:firstLineChars="200" w:firstLine="480"/>
        <w:rPr>
          <w:rFonts w:asciiTheme="minorEastAsia" w:hAnsiTheme="minorEastAsia"/>
          <w:sz w:val="24"/>
          <w:szCs w:val="24"/>
        </w:rPr>
      </w:pPr>
    </w:p>
    <w:p w:rsidR="00A52D58" w:rsidRDefault="00193339">
      <w:pPr>
        <w:spacing w:line="360" w:lineRule="auto"/>
        <w:rPr>
          <w:rFonts w:asciiTheme="minorEastAsia" w:hAnsiTheme="minorEastAsia"/>
          <w:b/>
          <w:sz w:val="24"/>
          <w:szCs w:val="24"/>
        </w:rPr>
      </w:pPr>
      <w:r>
        <w:rPr>
          <w:rFonts w:asciiTheme="minorEastAsia" w:hAnsiTheme="minorEastAsia" w:hint="eastAsia"/>
          <w:b/>
          <w:sz w:val="24"/>
          <w:szCs w:val="24"/>
        </w:rPr>
        <w:t>三、基金转换业务及其规则</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A52D58" w:rsidRDefault="00193339">
      <w:pPr>
        <w:spacing w:line="360" w:lineRule="auto"/>
        <w:ind w:firstLineChars="196" w:firstLine="472"/>
        <w:rPr>
          <w:b/>
          <w:sz w:val="24"/>
        </w:rPr>
      </w:pPr>
      <w:r>
        <w:rPr>
          <w:rFonts w:ascii="宋体" w:hAnsi="宋体"/>
          <w:b/>
          <w:bCs/>
          <w:sz w:val="24"/>
        </w:rPr>
        <w:t>1</w:t>
      </w:r>
      <w:r>
        <w:rPr>
          <w:rFonts w:ascii="宋体" w:hAnsi="宋体" w:hint="eastAsia"/>
          <w:b/>
          <w:bCs/>
          <w:sz w:val="24"/>
        </w:rPr>
        <w:t>、</w:t>
      </w:r>
      <w:r>
        <w:rPr>
          <w:rFonts w:ascii="宋体" w:hAnsi="宋体"/>
          <w:b/>
          <w:bCs/>
          <w:sz w:val="24"/>
        </w:rPr>
        <w:t>转换费率</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b/>
          <w:sz w:val="24"/>
          <w:szCs w:val="24"/>
        </w:rPr>
        <w:t>2、适用基金范围</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基金转换业务适用于本公司募集管理并且在本公司注册登记的下列基金，投资者可以在阳光人寿保险申请办理下列基金的转换业务： </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）太平灵活配置混合型发起式证券投资基金（基金代码：</w:t>
      </w:r>
      <w:r>
        <w:rPr>
          <w:rFonts w:asciiTheme="minorEastAsia" w:hAnsiTheme="minorEastAsia"/>
          <w:sz w:val="24"/>
          <w:szCs w:val="24"/>
        </w:rPr>
        <w:t>000986</w:t>
      </w:r>
      <w:r>
        <w:rPr>
          <w:rFonts w:asciiTheme="minorEastAsia" w:hAnsiTheme="minorEastAsia" w:hint="eastAsia"/>
          <w:sz w:val="24"/>
          <w:szCs w:val="24"/>
        </w:rPr>
        <w:t>）；</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 xml:space="preserve">） 太平改革红利精选灵活配置混合型证券投资基金（基金代码：005270）； </w:t>
      </w:r>
      <w:r>
        <w:rPr>
          <w:rFonts w:asciiTheme="minorEastAsia" w:hAnsiTheme="minorEastAsia"/>
          <w:sz w:val="24"/>
          <w:szCs w:val="24"/>
        </w:rPr>
        <w:t xml:space="preserve"> </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）太平行业优选股票型证券投资基金（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009537</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009538</w:t>
      </w:r>
      <w:r>
        <w:rPr>
          <w:rFonts w:asciiTheme="minorEastAsia" w:hAnsiTheme="minorEastAsia" w:hint="eastAsia"/>
          <w:sz w:val="24"/>
          <w:szCs w:val="24"/>
        </w:rPr>
        <w:t>）；</w:t>
      </w:r>
      <w:r>
        <w:rPr>
          <w:rFonts w:asciiTheme="minorEastAsia" w:hAnsiTheme="minorEastAsia"/>
          <w:sz w:val="24"/>
          <w:szCs w:val="24"/>
        </w:rPr>
        <w:t xml:space="preserve"> </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 太平睿盈混合型证券投资基金（A类份额： 006973，C类份额： 007669）；</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7</w:t>
      </w:r>
      <w:r>
        <w:rPr>
          <w:rFonts w:asciiTheme="minorEastAsia" w:hAnsiTheme="minorEastAsia" w:hint="eastAsia"/>
          <w:sz w:val="24"/>
          <w:szCs w:val="24"/>
        </w:rPr>
        <w:t>） 太平睿安混合型证券投资基金（A类份额：010268，C类份额：010269）；</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8</w:t>
      </w:r>
      <w:r>
        <w:rPr>
          <w:rFonts w:asciiTheme="minorEastAsia" w:hAnsiTheme="minorEastAsia" w:hint="eastAsia"/>
          <w:sz w:val="24"/>
          <w:szCs w:val="24"/>
        </w:rPr>
        <w:t>）太平恒利纯债债券型证券投资基金（基金代码：</w:t>
      </w:r>
      <w:r>
        <w:rPr>
          <w:rFonts w:asciiTheme="minorEastAsia" w:hAnsiTheme="minorEastAsia"/>
          <w:sz w:val="24"/>
          <w:szCs w:val="24"/>
        </w:rPr>
        <w:t>0</w:t>
      </w:r>
      <w:r>
        <w:rPr>
          <w:rFonts w:asciiTheme="minorEastAsia" w:hAnsiTheme="minorEastAsia" w:hint="eastAsia"/>
          <w:sz w:val="24"/>
          <w:szCs w:val="24"/>
        </w:rPr>
        <w:t>05872）；</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9</w:t>
      </w:r>
      <w:r>
        <w:rPr>
          <w:rFonts w:asciiTheme="minorEastAsia" w:hAnsiTheme="minorEastAsia" w:hint="eastAsia"/>
          <w:sz w:val="24"/>
          <w:szCs w:val="24"/>
        </w:rPr>
        <w:t>）太平恒安三个月定期开放债券型证券投资基金（基金代码：007545）；</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10</w:t>
      </w:r>
      <w:r>
        <w:rPr>
          <w:rFonts w:asciiTheme="minorEastAsia" w:hAnsiTheme="minorEastAsia" w:hint="eastAsia"/>
          <w:sz w:val="24"/>
          <w:szCs w:val="24"/>
        </w:rPr>
        <w:t>）太平恒睿纯债债券型证券投资基金（基金代码：009118）；</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）太平中债1-3年政策性金融债指数证券投资基金（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w:t>
      </w:r>
      <w:r>
        <w:rPr>
          <w:rFonts w:asciiTheme="minorEastAsia" w:hAnsiTheme="minorEastAsia" w:hint="eastAsia"/>
          <w:sz w:val="24"/>
          <w:szCs w:val="24"/>
        </w:rPr>
        <w:t>9087；</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009088</w:t>
      </w:r>
      <w:r>
        <w:rPr>
          <w:rFonts w:asciiTheme="minorEastAsia" w:hAnsiTheme="minorEastAsia" w:hint="eastAsia"/>
          <w:sz w:val="24"/>
          <w:szCs w:val="24"/>
        </w:rPr>
        <w:t>）</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b/>
          <w:sz w:val="24"/>
          <w:szCs w:val="24"/>
        </w:rPr>
        <w:t>3、转换限额</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b/>
          <w:sz w:val="24"/>
          <w:szCs w:val="24"/>
        </w:rPr>
        <w:t>4、转换业务规则</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b/>
          <w:sz w:val="24"/>
          <w:szCs w:val="24"/>
        </w:rPr>
        <w:t>5、交易确认</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A52D58" w:rsidRDefault="00A52D58">
      <w:pPr>
        <w:spacing w:line="360" w:lineRule="auto"/>
        <w:ind w:firstLineChars="150" w:firstLine="360"/>
        <w:rPr>
          <w:rFonts w:asciiTheme="minorEastAsia" w:hAnsiTheme="minorEastAsia"/>
          <w:sz w:val="24"/>
          <w:szCs w:val="24"/>
        </w:rPr>
      </w:pPr>
    </w:p>
    <w:p w:rsidR="00A52D58" w:rsidRDefault="00193339">
      <w:pPr>
        <w:spacing w:line="360" w:lineRule="auto"/>
        <w:rPr>
          <w:rFonts w:asciiTheme="minorEastAsia" w:hAnsiTheme="minorEastAsia"/>
          <w:b/>
          <w:sz w:val="24"/>
          <w:szCs w:val="24"/>
        </w:rPr>
      </w:pPr>
      <w:r>
        <w:rPr>
          <w:rFonts w:asciiTheme="minorEastAsia" w:hAnsiTheme="minorEastAsia" w:hint="eastAsia"/>
          <w:b/>
          <w:sz w:val="24"/>
          <w:szCs w:val="24"/>
        </w:rPr>
        <w:t>四、费率优惠</w:t>
      </w:r>
    </w:p>
    <w:p w:rsidR="00A52D58" w:rsidRDefault="0019333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1、费率优惠内容</w:t>
      </w:r>
    </w:p>
    <w:p w:rsidR="00A52D58" w:rsidRDefault="00193339">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自202</w:t>
      </w:r>
      <w:r>
        <w:rPr>
          <w:rFonts w:asciiTheme="minorEastAsia" w:hAnsiTheme="minorEastAsia"/>
          <w:sz w:val="24"/>
          <w:szCs w:val="24"/>
        </w:rPr>
        <w:t>1</w:t>
      </w:r>
      <w:r>
        <w:rPr>
          <w:rFonts w:asciiTheme="minorEastAsia" w:hAnsiTheme="minorEastAsia" w:hint="eastAsia"/>
          <w:sz w:val="24"/>
          <w:szCs w:val="24"/>
        </w:rPr>
        <w:t>年6月23日起，本公司将不对本公告所列基金参加阳光人寿保险申（认）购费率优惠活动（含定期定额投资）设折扣限制，具体优惠费率以阳光人寿保险官方公告为准。相关基金原费率详见基金合同、招募说明书及其更新、基金产品资料概要及其更新等法律文件，以及本公司发布的最新业务公告。</w:t>
      </w:r>
    </w:p>
    <w:p w:rsidR="00A52D58" w:rsidRDefault="00193339">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费率优惠期间，若本公司新增通过阳光人寿保险销售的基金产品（具体详见本公司网站），则自该基金产品开放申（认）购或定期定额申购当日起，将同时开通该基金上述费率优惠活动。</w:t>
      </w:r>
    </w:p>
    <w:p w:rsidR="00A52D58" w:rsidRDefault="00193339">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2、费率优惠期限 </w:t>
      </w:r>
    </w:p>
    <w:p w:rsidR="00A52D58" w:rsidRDefault="00193339">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具体以阳光人寿保险官方网站所示公告为准。</w:t>
      </w:r>
    </w:p>
    <w:p w:rsidR="00A52D58" w:rsidRDefault="00A52D58">
      <w:pPr>
        <w:spacing w:line="360" w:lineRule="auto"/>
        <w:ind w:firstLineChars="200" w:firstLine="480"/>
        <w:rPr>
          <w:rFonts w:asciiTheme="minorEastAsia" w:hAnsiTheme="minorEastAsia"/>
          <w:sz w:val="24"/>
          <w:szCs w:val="24"/>
        </w:rPr>
      </w:pPr>
    </w:p>
    <w:p w:rsidR="00A52D58" w:rsidRDefault="00193339">
      <w:pPr>
        <w:spacing w:line="360" w:lineRule="auto"/>
        <w:rPr>
          <w:rFonts w:asciiTheme="minorEastAsia" w:hAnsiTheme="minorEastAsia"/>
          <w:b/>
          <w:sz w:val="24"/>
          <w:szCs w:val="24"/>
        </w:rPr>
      </w:pPr>
      <w:r>
        <w:rPr>
          <w:rFonts w:asciiTheme="minorEastAsia" w:hAnsiTheme="minorEastAsia" w:hint="eastAsia"/>
          <w:b/>
          <w:sz w:val="24"/>
          <w:szCs w:val="24"/>
        </w:rPr>
        <w:t>五、投资者可通过以下途径了解或咨询有关详情：</w:t>
      </w:r>
    </w:p>
    <w:p w:rsidR="00A52D58" w:rsidRDefault="00193339">
      <w:pPr>
        <w:spacing w:line="360" w:lineRule="auto"/>
        <w:rPr>
          <w:rFonts w:asciiTheme="minorEastAsia" w:hAnsiTheme="minorEastAsia"/>
          <w:sz w:val="24"/>
          <w:szCs w:val="24"/>
        </w:rPr>
      </w:pPr>
      <w:r>
        <w:rPr>
          <w:rFonts w:asciiTheme="minorEastAsia" w:hAnsiTheme="minorEastAsia" w:hint="eastAsia"/>
          <w:sz w:val="24"/>
          <w:szCs w:val="24"/>
        </w:rPr>
        <w:t>1、阳光人寿保险阳光人寿保险股份有限公司</w:t>
      </w:r>
    </w:p>
    <w:p w:rsidR="00A52D58" w:rsidRDefault="00193339">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客户服务电话：95510</w:t>
      </w:r>
    </w:p>
    <w:p w:rsidR="00A52D58" w:rsidRDefault="00193339">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 https://fund.sinosig.com/</w:t>
      </w:r>
    </w:p>
    <w:p w:rsidR="00A52D58" w:rsidRDefault="00193339">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A52D58" w:rsidRDefault="00193339">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A52D58" w:rsidRDefault="00193339">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A52D58" w:rsidRDefault="00A52D58">
      <w:pPr>
        <w:spacing w:line="360" w:lineRule="auto"/>
        <w:ind w:firstLineChars="150" w:firstLine="360"/>
        <w:rPr>
          <w:rFonts w:asciiTheme="minorEastAsia" w:hAnsiTheme="minorEastAsia"/>
          <w:sz w:val="24"/>
          <w:szCs w:val="24"/>
        </w:rPr>
      </w:pPr>
    </w:p>
    <w:p w:rsidR="00A52D58" w:rsidRDefault="00193339">
      <w:pPr>
        <w:spacing w:line="360" w:lineRule="auto"/>
        <w:rPr>
          <w:rFonts w:asciiTheme="minorEastAsia" w:hAnsiTheme="minorEastAsia"/>
          <w:b/>
          <w:sz w:val="24"/>
          <w:szCs w:val="24"/>
        </w:rPr>
      </w:pPr>
      <w:r>
        <w:rPr>
          <w:rFonts w:asciiTheme="minorEastAsia" w:hAnsiTheme="minorEastAsia" w:hint="eastAsia"/>
          <w:b/>
          <w:sz w:val="24"/>
          <w:szCs w:val="24"/>
        </w:rPr>
        <w:t>六、重要提示</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1、投资者办理基金交易等相关业务前，敬请仔细阅读相关基金的基金合同、基金招募说明书及其更新、基金产品资料概要及其更新、提示及相关业务规则和操作指南等文件；</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3、本公告凡涉及在阳光人寿保险办理申购、转换或定期定额投资等业务的其他未明事项，敬请遵循阳光人寿保险的具体安排和规定；</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A52D58" w:rsidRDefault="00A52D58">
      <w:pPr>
        <w:spacing w:line="360" w:lineRule="auto"/>
        <w:ind w:firstLineChars="200" w:firstLine="480"/>
        <w:rPr>
          <w:rFonts w:asciiTheme="minorEastAsia" w:hAnsiTheme="minorEastAsia"/>
          <w:sz w:val="24"/>
          <w:szCs w:val="24"/>
        </w:rPr>
      </w:pP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52D58" w:rsidRDefault="00193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A52D58" w:rsidRDefault="00A52D58">
      <w:pPr>
        <w:spacing w:line="360" w:lineRule="auto"/>
        <w:ind w:firstLineChars="200" w:firstLine="480"/>
        <w:rPr>
          <w:rFonts w:asciiTheme="minorEastAsia" w:hAnsiTheme="minorEastAsia"/>
          <w:sz w:val="24"/>
          <w:szCs w:val="24"/>
        </w:rPr>
      </w:pPr>
    </w:p>
    <w:p w:rsidR="00A52D58" w:rsidRDefault="00A52D58">
      <w:pPr>
        <w:spacing w:line="360" w:lineRule="auto"/>
        <w:ind w:firstLineChars="200" w:firstLine="480"/>
        <w:rPr>
          <w:rFonts w:asciiTheme="minorEastAsia" w:hAnsiTheme="minorEastAsia"/>
          <w:sz w:val="24"/>
          <w:szCs w:val="24"/>
        </w:rPr>
      </w:pPr>
    </w:p>
    <w:p w:rsidR="00A52D58" w:rsidRDefault="00193339">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A52D58" w:rsidRDefault="00193339">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二〇二一年六月二十二日</w:t>
      </w:r>
    </w:p>
    <w:p w:rsidR="00A52D58" w:rsidRDefault="00A52D58">
      <w:pPr>
        <w:spacing w:line="360" w:lineRule="auto"/>
        <w:ind w:right="220" w:firstLineChars="1950" w:firstLine="4680"/>
        <w:jc w:val="right"/>
        <w:rPr>
          <w:rFonts w:asciiTheme="minorEastAsia" w:hAnsiTheme="minorEastAsia"/>
          <w:sz w:val="24"/>
          <w:szCs w:val="24"/>
        </w:rPr>
      </w:pPr>
    </w:p>
    <w:sectPr w:rsidR="00A52D58" w:rsidSect="00A448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58" w:rsidRDefault="00A52D58"/>
  </w:endnote>
  <w:endnote w:type="continuationSeparator" w:id="0">
    <w:p w:rsidR="00A52D58" w:rsidRDefault="00A52D5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58" w:rsidRDefault="00A52D58"/>
  </w:footnote>
  <w:footnote w:type="continuationSeparator" w:id="0">
    <w:p w:rsidR="00A52D58" w:rsidRDefault="00A52D5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6C63"/>
    <w:rsid w:val="00054F97"/>
    <w:rsid w:val="00060205"/>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93339"/>
    <w:rsid w:val="001A2FF5"/>
    <w:rsid w:val="001A7AAD"/>
    <w:rsid w:val="001D6EB4"/>
    <w:rsid w:val="001D7313"/>
    <w:rsid w:val="001E6C9D"/>
    <w:rsid w:val="001F372A"/>
    <w:rsid w:val="001F445F"/>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5A5"/>
    <w:rsid w:val="002A5EFE"/>
    <w:rsid w:val="002B58DC"/>
    <w:rsid w:val="002C0E0F"/>
    <w:rsid w:val="002C756E"/>
    <w:rsid w:val="002C75BA"/>
    <w:rsid w:val="002C7F61"/>
    <w:rsid w:val="002E1DFF"/>
    <w:rsid w:val="002E7EE7"/>
    <w:rsid w:val="002F5387"/>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7048C"/>
    <w:rsid w:val="00471365"/>
    <w:rsid w:val="00472D9F"/>
    <w:rsid w:val="00472E91"/>
    <w:rsid w:val="00490B02"/>
    <w:rsid w:val="004A51D0"/>
    <w:rsid w:val="004C2DB9"/>
    <w:rsid w:val="004C526F"/>
    <w:rsid w:val="004C5930"/>
    <w:rsid w:val="004D1CA3"/>
    <w:rsid w:val="004E7CE5"/>
    <w:rsid w:val="004F352E"/>
    <w:rsid w:val="00504E96"/>
    <w:rsid w:val="005067A1"/>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5F1D8D"/>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6267"/>
    <w:rsid w:val="007075C5"/>
    <w:rsid w:val="00715AD3"/>
    <w:rsid w:val="0072486F"/>
    <w:rsid w:val="0073234A"/>
    <w:rsid w:val="007370B7"/>
    <w:rsid w:val="00737956"/>
    <w:rsid w:val="00741567"/>
    <w:rsid w:val="00741AE4"/>
    <w:rsid w:val="007458B1"/>
    <w:rsid w:val="0075320E"/>
    <w:rsid w:val="00754131"/>
    <w:rsid w:val="007547A6"/>
    <w:rsid w:val="00762CA4"/>
    <w:rsid w:val="007737D4"/>
    <w:rsid w:val="00774805"/>
    <w:rsid w:val="00774D66"/>
    <w:rsid w:val="00780B17"/>
    <w:rsid w:val="00780B86"/>
    <w:rsid w:val="00781796"/>
    <w:rsid w:val="007820A6"/>
    <w:rsid w:val="00786FDD"/>
    <w:rsid w:val="007873C0"/>
    <w:rsid w:val="007A2CBD"/>
    <w:rsid w:val="007A6295"/>
    <w:rsid w:val="007A767E"/>
    <w:rsid w:val="007A778D"/>
    <w:rsid w:val="007C2495"/>
    <w:rsid w:val="007E14E0"/>
    <w:rsid w:val="007E59F6"/>
    <w:rsid w:val="007E7433"/>
    <w:rsid w:val="007F2F47"/>
    <w:rsid w:val="00800149"/>
    <w:rsid w:val="00811759"/>
    <w:rsid w:val="00812DC7"/>
    <w:rsid w:val="00821B94"/>
    <w:rsid w:val="00830B46"/>
    <w:rsid w:val="0083395B"/>
    <w:rsid w:val="00835B17"/>
    <w:rsid w:val="00836FC1"/>
    <w:rsid w:val="008375CD"/>
    <w:rsid w:val="00845F83"/>
    <w:rsid w:val="0085155C"/>
    <w:rsid w:val="0085500F"/>
    <w:rsid w:val="00872BF3"/>
    <w:rsid w:val="00881E65"/>
    <w:rsid w:val="00884C39"/>
    <w:rsid w:val="008969C2"/>
    <w:rsid w:val="008A4CD1"/>
    <w:rsid w:val="008A59B8"/>
    <w:rsid w:val="008A710A"/>
    <w:rsid w:val="008D2970"/>
    <w:rsid w:val="008D415A"/>
    <w:rsid w:val="008E0CD0"/>
    <w:rsid w:val="008F0CA9"/>
    <w:rsid w:val="008F32D9"/>
    <w:rsid w:val="008F682C"/>
    <w:rsid w:val="008F71E3"/>
    <w:rsid w:val="00905A25"/>
    <w:rsid w:val="009101C5"/>
    <w:rsid w:val="00920249"/>
    <w:rsid w:val="00921954"/>
    <w:rsid w:val="00925975"/>
    <w:rsid w:val="009315BC"/>
    <w:rsid w:val="0093392D"/>
    <w:rsid w:val="009366A5"/>
    <w:rsid w:val="0095084F"/>
    <w:rsid w:val="00951AB0"/>
    <w:rsid w:val="00951B46"/>
    <w:rsid w:val="00964F07"/>
    <w:rsid w:val="009717C3"/>
    <w:rsid w:val="00972DDD"/>
    <w:rsid w:val="00983A9B"/>
    <w:rsid w:val="009858CA"/>
    <w:rsid w:val="00990AE8"/>
    <w:rsid w:val="009B6E37"/>
    <w:rsid w:val="009B74E4"/>
    <w:rsid w:val="009C082A"/>
    <w:rsid w:val="009C37E3"/>
    <w:rsid w:val="009C48C0"/>
    <w:rsid w:val="009D2F36"/>
    <w:rsid w:val="009D4C9F"/>
    <w:rsid w:val="009D5317"/>
    <w:rsid w:val="009E0C1E"/>
    <w:rsid w:val="009F210B"/>
    <w:rsid w:val="00A00721"/>
    <w:rsid w:val="00A00BE1"/>
    <w:rsid w:val="00A0182D"/>
    <w:rsid w:val="00A02FF7"/>
    <w:rsid w:val="00A34222"/>
    <w:rsid w:val="00A3727B"/>
    <w:rsid w:val="00A41D6C"/>
    <w:rsid w:val="00A41F18"/>
    <w:rsid w:val="00A44832"/>
    <w:rsid w:val="00A46F5C"/>
    <w:rsid w:val="00A52D58"/>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26BD7"/>
    <w:rsid w:val="00B32570"/>
    <w:rsid w:val="00B354C1"/>
    <w:rsid w:val="00B361B1"/>
    <w:rsid w:val="00B6008B"/>
    <w:rsid w:val="00B70499"/>
    <w:rsid w:val="00B71395"/>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3C27"/>
    <w:rsid w:val="00C852C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250E9"/>
    <w:rsid w:val="00D25650"/>
    <w:rsid w:val="00D2769B"/>
    <w:rsid w:val="00D37416"/>
    <w:rsid w:val="00D433CC"/>
    <w:rsid w:val="00D53055"/>
    <w:rsid w:val="00D5771D"/>
    <w:rsid w:val="00D6252A"/>
    <w:rsid w:val="00D63DA0"/>
    <w:rsid w:val="00D71F21"/>
    <w:rsid w:val="00D74206"/>
    <w:rsid w:val="00D75AF7"/>
    <w:rsid w:val="00D80396"/>
    <w:rsid w:val="00D915D4"/>
    <w:rsid w:val="00DA23CC"/>
    <w:rsid w:val="00DA3A09"/>
    <w:rsid w:val="00DA6326"/>
    <w:rsid w:val="00DB6762"/>
    <w:rsid w:val="00DB6DBF"/>
    <w:rsid w:val="00DB7A65"/>
    <w:rsid w:val="00DC0985"/>
    <w:rsid w:val="00DC0CC4"/>
    <w:rsid w:val="00DD50BA"/>
    <w:rsid w:val="00DD5D8E"/>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3B95"/>
    <w:rsid w:val="00EE4E00"/>
    <w:rsid w:val="00F04C5B"/>
    <w:rsid w:val="00F06FBF"/>
    <w:rsid w:val="00F20536"/>
    <w:rsid w:val="00F2600A"/>
    <w:rsid w:val="00F26D79"/>
    <w:rsid w:val="00F42CC9"/>
    <w:rsid w:val="00F44265"/>
    <w:rsid w:val="00F52388"/>
    <w:rsid w:val="00F6344C"/>
    <w:rsid w:val="00F6439B"/>
    <w:rsid w:val="00F651DD"/>
    <w:rsid w:val="00F67E37"/>
    <w:rsid w:val="00F75BC2"/>
    <w:rsid w:val="00F92003"/>
    <w:rsid w:val="00F97290"/>
    <w:rsid w:val="00FA026F"/>
    <w:rsid w:val="00FB20FC"/>
    <w:rsid w:val="00FB2B13"/>
    <w:rsid w:val="00FB33B8"/>
    <w:rsid w:val="00FB3EB6"/>
    <w:rsid w:val="00FB60D0"/>
    <w:rsid w:val="00FD5B79"/>
    <w:rsid w:val="00FE78C4"/>
    <w:rsid w:val="00FF0F0C"/>
    <w:rsid w:val="00FF2077"/>
    <w:rsid w:val="00FF27A4"/>
    <w:rsid w:val="17BF68D5"/>
    <w:rsid w:val="26B205E3"/>
    <w:rsid w:val="39D018F6"/>
    <w:rsid w:val="3E7A174F"/>
    <w:rsid w:val="5BB65B49"/>
    <w:rsid w:val="64134338"/>
    <w:rsid w:val="6E323D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44832"/>
    <w:pPr>
      <w:jc w:val="left"/>
    </w:pPr>
  </w:style>
  <w:style w:type="paragraph" w:styleId="a4">
    <w:name w:val="Balloon Text"/>
    <w:basedOn w:val="a"/>
    <w:link w:val="Char0"/>
    <w:uiPriority w:val="99"/>
    <w:semiHidden/>
    <w:unhideWhenUsed/>
    <w:rsid w:val="00A44832"/>
    <w:rPr>
      <w:sz w:val="18"/>
      <w:szCs w:val="18"/>
    </w:rPr>
  </w:style>
  <w:style w:type="paragraph" w:styleId="a5">
    <w:name w:val="footer"/>
    <w:basedOn w:val="a"/>
    <w:link w:val="Char1"/>
    <w:uiPriority w:val="99"/>
    <w:unhideWhenUsed/>
    <w:rsid w:val="00A4483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4483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44832"/>
    <w:rPr>
      <w:b/>
      <w:bCs/>
    </w:rPr>
  </w:style>
  <w:style w:type="table" w:styleId="a8">
    <w:name w:val="Table Grid"/>
    <w:basedOn w:val="a1"/>
    <w:uiPriority w:val="59"/>
    <w:qFormat/>
    <w:rsid w:val="00A44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A44832"/>
    <w:rPr>
      <w:color w:val="0000FF" w:themeColor="hyperlink"/>
      <w:u w:val="single"/>
    </w:rPr>
  </w:style>
  <w:style w:type="character" w:styleId="aa">
    <w:name w:val="annotation reference"/>
    <w:basedOn w:val="a0"/>
    <w:uiPriority w:val="99"/>
    <w:semiHidden/>
    <w:unhideWhenUsed/>
    <w:qFormat/>
    <w:rsid w:val="00A44832"/>
    <w:rPr>
      <w:sz w:val="21"/>
      <w:szCs w:val="21"/>
    </w:rPr>
  </w:style>
  <w:style w:type="character" w:customStyle="1" w:styleId="Char0">
    <w:name w:val="批注框文本 Char"/>
    <w:basedOn w:val="a0"/>
    <w:link w:val="a4"/>
    <w:uiPriority w:val="99"/>
    <w:semiHidden/>
    <w:rsid w:val="00A44832"/>
    <w:rPr>
      <w:sz w:val="18"/>
      <w:szCs w:val="18"/>
    </w:rPr>
  </w:style>
  <w:style w:type="paragraph" w:styleId="ab">
    <w:name w:val="List Paragraph"/>
    <w:basedOn w:val="a"/>
    <w:uiPriority w:val="34"/>
    <w:qFormat/>
    <w:rsid w:val="00A44832"/>
    <w:pPr>
      <w:ind w:firstLineChars="200" w:firstLine="420"/>
    </w:pPr>
  </w:style>
  <w:style w:type="character" w:customStyle="1" w:styleId="Char">
    <w:name w:val="批注文字 Char"/>
    <w:basedOn w:val="a0"/>
    <w:link w:val="a3"/>
    <w:uiPriority w:val="99"/>
    <w:semiHidden/>
    <w:qFormat/>
    <w:rsid w:val="00A44832"/>
  </w:style>
  <w:style w:type="character" w:customStyle="1" w:styleId="Char3">
    <w:name w:val="批注主题 Char"/>
    <w:basedOn w:val="Char"/>
    <w:link w:val="a7"/>
    <w:uiPriority w:val="99"/>
    <w:semiHidden/>
    <w:qFormat/>
    <w:rsid w:val="00A44832"/>
    <w:rPr>
      <w:b/>
      <w:bCs/>
    </w:rPr>
  </w:style>
  <w:style w:type="character" w:customStyle="1" w:styleId="Char2">
    <w:name w:val="页眉 Char"/>
    <w:basedOn w:val="a0"/>
    <w:link w:val="a6"/>
    <w:uiPriority w:val="99"/>
    <w:qFormat/>
    <w:rsid w:val="00A44832"/>
    <w:rPr>
      <w:sz w:val="18"/>
      <w:szCs w:val="18"/>
    </w:rPr>
  </w:style>
  <w:style w:type="character" w:customStyle="1" w:styleId="Char1">
    <w:name w:val="页脚 Char"/>
    <w:basedOn w:val="a0"/>
    <w:link w:val="a5"/>
    <w:uiPriority w:val="99"/>
    <w:qFormat/>
    <w:rsid w:val="00A44832"/>
    <w:rPr>
      <w:sz w:val="18"/>
      <w:szCs w:val="18"/>
    </w:rPr>
  </w:style>
  <w:style w:type="paragraph" w:customStyle="1" w:styleId="1">
    <w:name w:val="修订1"/>
    <w:hidden/>
    <w:uiPriority w:val="99"/>
    <w:unhideWhenUsed/>
    <w:rsid w:val="00A4483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8E55F-3BBD-4E12-9595-1552BE80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4</DocSecurity>
  <Lines>30</Lines>
  <Paragraphs>8</Paragraphs>
  <ScaleCrop>false</ScaleCrop>
  <Company>Microsoft</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2021-06-21T16:07:00Z</dcterms:created>
  <dcterms:modified xsi:type="dcterms:W3CDTF">2021-06-21T16:07:00Z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C197430C468B4E7EBBFCE6873AB557E7</vt:lpwstr>
  </property>
</Properties>
</file>