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53" w:rsidRDefault="004E3816">
      <w:pPr>
        <w:autoSpaceDE w:val="0"/>
        <w:autoSpaceDN w:val="0"/>
        <w:adjustRightInd w:val="0"/>
        <w:spacing w:before="30" w:line="360" w:lineRule="auto"/>
        <w:ind w:left="15"/>
        <w:jc w:val="center"/>
        <w:rPr>
          <w:rFonts w:asciiTheme="minorEastAsia" w:hAnsiTheme="minorEastAsia" w:cs="宋体"/>
          <w:b/>
          <w:bCs/>
          <w:color w:val="FF0000"/>
          <w:kern w:val="0"/>
          <w:sz w:val="30"/>
          <w:szCs w:val="30"/>
        </w:rPr>
      </w:pPr>
      <w:r>
        <w:rPr>
          <w:rFonts w:asciiTheme="minorEastAsia" w:hAnsiTheme="minorEastAsia" w:cs="宋体"/>
          <w:b/>
          <w:bCs/>
          <w:color w:val="FF0000"/>
          <w:kern w:val="0"/>
          <w:sz w:val="30"/>
          <w:szCs w:val="30"/>
        </w:rPr>
        <w:tab/>
      </w:r>
    </w:p>
    <w:p w:rsidR="00D53445" w:rsidRDefault="004E3816">
      <w:pPr>
        <w:autoSpaceDE w:val="0"/>
        <w:autoSpaceDN w:val="0"/>
        <w:adjustRightInd w:val="0"/>
        <w:spacing w:before="30" w:line="360" w:lineRule="auto"/>
        <w:ind w:left="15"/>
        <w:jc w:val="center"/>
        <w:rPr>
          <w:rFonts w:asciiTheme="minorEastAsia" w:hAnsiTheme="minorEastAsia" w:cs="宋体"/>
          <w:b/>
          <w:bCs/>
          <w:color w:val="000000"/>
          <w:kern w:val="0"/>
          <w:sz w:val="30"/>
          <w:szCs w:val="30"/>
        </w:rPr>
      </w:pPr>
      <w:r>
        <w:rPr>
          <w:rFonts w:asciiTheme="minorEastAsia" w:hAnsiTheme="minorEastAsia" w:cs="宋体" w:hint="eastAsia"/>
          <w:b/>
          <w:bCs/>
          <w:color w:val="000000"/>
          <w:kern w:val="0"/>
          <w:sz w:val="30"/>
          <w:szCs w:val="30"/>
        </w:rPr>
        <w:t>创金合信泰盈双季红6个月定期开放债券型证券投资基金</w:t>
      </w:r>
    </w:p>
    <w:p w:rsidR="00906253" w:rsidRDefault="004E3816">
      <w:pPr>
        <w:autoSpaceDE w:val="0"/>
        <w:autoSpaceDN w:val="0"/>
        <w:adjustRightInd w:val="0"/>
        <w:spacing w:before="30" w:line="360" w:lineRule="auto"/>
        <w:ind w:left="15"/>
        <w:jc w:val="center"/>
        <w:rPr>
          <w:rFonts w:asciiTheme="minorEastAsia" w:hAnsiTheme="minorEastAsia" w:cs="宋体"/>
          <w:b/>
          <w:bCs/>
          <w:color w:val="000000"/>
          <w:kern w:val="0"/>
          <w:sz w:val="30"/>
          <w:szCs w:val="30"/>
        </w:rPr>
      </w:pPr>
      <w:r>
        <w:rPr>
          <w:rFonts w:asciiTheme="minorEastAsia" w:hAnsiTheme="minorEastAsia" w:cs="宋体" w:hint="eastAsia"/>
          <w:b/>
          <w:bCs/>
          <w:color w:val="000000"/>
          <w:kern w:val="0"/>
          <w:sz w:val="30"/>
          <w:szCs w:val="30"/>
        </w:rPr>
        <w:t>分红公告</w:t>
      </w:r>
    </w:p>
    <w:p w:rsidR="00906253" w:rsidRDefault="00906253">
      <w:pPr>
        <w:autoSpaceDE w:val="0"/>
        <w:autoSpaceDN w:val="0"/>
        <w:adjustRightInd w:val="0"/>
        <w:spacing w:line="360" w:lineRule="auto"/>
        <w:jc w:val="left"/>
        <w:rPr>
          <w:rFonts w:asciiTheme="minorEastAsia" w:hAnsiTheme="minorEastAsia" w:cs="MS Sans Serif"/>
          <w:color w:val="000000"/>
          <w:kern w:val="0"/>
          <w:sz w:val="24"/>
          <w:szCs w:val="24"/>
        </w:rPr>
      </w:pPr>
    </w:p>
    <w:p w:rsidR="00906253" w:rsidRDefault="004E3816">
      <w:pPr>
        <w:autoSpaceDE w:val="0"/>
        <w:autoSpaceDN w:val="0"/>
        <w:adjustRightInd w:val="0"/>
        <w:spacing w:before="30" w:line="360" w:lineRule="auto"/>
        <w:ind w:left="15"/>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公告送出日期：2021年06月18日</w:t>
      </w:r>
    </w:p>
    <w:p w:rsidR="00906253" w:rsidRDefault="004E3816">
      <w:pPr>
        <w:autoSpaceDE w:val="0"/>
        <w:autoSpaceDN w:val="0"/>
        <w:adjustRightInd w:val="0"/>
        <w:spacing w:before="30" w:line="360" w:lineRule="auto"/>
        <w:ind w:leftChars="7" w:left="15"/>
        <w:jc w:val="left"/>
        <w:rPr>
          <w:rFonts w:asciiTheme="minorEastAsia" w:hAnsiTheme="minorEastAsia" w:cs="宋体"/>
          <w:b/>
          <w:bCs/>
          <w:color w:val="000000"/>
          <w:kern w:val="0"/>
          <w:sz w:val="24"/>
          <w:szCs w:val="24"/>
        </w:rPr>
      </w:pPr>
      <w:r>
        <w:rPr>
          <w:rFonts w:asciiTheme="minorEastAsia" w:hAnsiTheme="minorEastAsia" w:cs="宋体"/>
          <w:b/>
          <w:bCs/>
          <w:color w:val="000000"/>
          <w:kern w:val="0"/>
          <w:sz w:val="24"/>
          <w:szCs w:val="24"/>
        </w:rPr>
        <w:t>1</w:t>
      </w:r>
      <w:r>
        <w:rPr>
          <w:rFonts w:asciiTheme="minorEastAsia" w:hAnsiTheme="minorEastAsia" w:cs="宋体" w:hint="eastAsia"/>
          <w:b/>
          <w:bCs/>
          <w:color w:val="000000"/>
          <w:kern w:val="0"/>
          <w:sz w:val="24"/>
          <w:szCs w:val="24"/>
        </w:rPr>
        <w:t>.公告基本信息</w:t>
      </w:r>
    </w:p>
    <w:tbl>
      <w:tblPr>
        <w:tblW w:w="9072" w:type="dxa"/>
        <w:tblInd w:w="108" w:type="dxa"/>
        <w:tblLayout w:type="fixed"/>
        <w:tblLook w:val="04A0"/>
      </w:tblPr>
      <w:tblGrid>
        <w:gridCol w:w="1445"/>
        <w:gridCol w:w="1021"/>
        <w:gridCol w:w="2212"/>
        <w:gridCol w:w="18"/>
        <w:gridCol w:w="2285"/>
        <w:gridCol w:w="2049"/>
        <w:gridCol w:w="42"/>
      </w:tblGrid>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基金名称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创金合信泰盈双季红6个月定期开放债券型证券投资基金</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基金简称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创金合信泰盈双季红定开债券</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基金主代码</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005836</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基金合同生效日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2019年10月16日</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基金管理人名称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创金合信基金管理有限公司</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基金托管人名称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宁波银行股份有限公司</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公告依据</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华人民共和国证券投资基金法》、《公开募集证券投资基金运作管理办法》、《创金合信泰盈双季红6个月定期开放债券型证券投资基金基金合同》、《创金合信泰盈双季红6个月定期开放债券型证券投资基金招募说明书》等</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收益分配基准日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2021年06月11日</w:t>
            </w:r>
          </w:p>
        </w:tc>
      </w:tr>
      <w:tr w:rsidR="00906253" w:rsidTr="00F077A1">
        <w:trPr>
          <w:gridAfter w:val="1"/>
          <w:wAfter w:w="42" w:type="dxa"/>
        </w:trPr>
        <w:tc>
          <w:tcPr>
            <w:tcW w:w="1445" w:type="dxa"/>
            <w:vMerge w:val="restart"/>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截止收益分配基准日的相关指标</w:t>
            </w: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基准日基金份额净值（单位：元）</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1.0487</w:t>
            </w:r>
          </w:p>
        </w:tc>
      </w:tr>
      <w:tr w:rsidR="00906253" w:rsidTr="00F077A1">
        <w:trPr>
          <w:gridAfter w:val="1"/>
          <w:wAfter w:w="42" w:type="dxa"/>
        </w:trPr>
        <w:tc>
          <w:tcPr>
            <w:tcW w:w="1445" w:type="dxa"/>
            <w:vMerge/>
            <w:tcBorders>
              <w:top w:val="single" w:sz="8" w:space="0" w:color="000000"/>
              <w:left w:val="single" w:sz="8" w:space="0" w:color="000000"/>
              <w:bottom w:val="single" w:sz="8" w:space="0" w:color="000000"/>
              <w:right w:val="single" w:sz="8" w:space="0" w:color="000000"/>
            </w:tcBorders>
          </w:tcPr>
          <w:p w:rsidR="00906253" w:rsidRDefault="00906253">
            <w:pPr>
              <w:autoSpaceDE w:val="0"/>
              <w:autoSpaceDN w:val="0"/>
              <w:adjustRightInd w:val="0"/>
              <w:spacing w:line="360" w:lineRule="auto"/>
              <w:jc w:val="left"/>
              <w:rPr>
                <w:rFonts w:asciiTheme="minorEastAsia" w:hAnsiTheme="minorEastAsia" w:cs="宋体"/>
                <w:color w:val="000000"/>
                <w:kern w:val="0"/>
                <w:sz w:val="24"/>
                <w:szCs w:val="24"/>
              </w:rPr>
            </w:pP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基准日基金可供分配利润</w:t>
            </w:r>
            <w:r>
              <w:rPr>
                <w:rFonts w:asciiTheme="minorEastAsia" w:hAnsiTheme="minorEastAsia" w:cs="宋体"/>
                <w:color w:val="000000" w:themeColor="text1"/>
                <w:kern w:val="0"/>
                <w:sz w:val="24"/>
                <w:szCs w:val="24"/>
              </w:rPr>
              <w:t xml:space="preserve"> </w:t>
            </w:r>
            <w:r>
              <w:rPr>
                <w:rFonts w:asciiTheme="minorEastAsia" w:hAnsiTheme="minorEastAsia" w:cs="宋体" w:hint="eastAsia"/>
                <w:color w:val="000000" w:themeColor="text1"/>
                <w:kern w:val="0"/>
                <w:sz w:val="24"/>
                <w:szCs w:val="24"/>
              </w:rPr>
              <w:t>（单位：元）</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D53445">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20</w:t>
            </w:r>
            <w:r>
              <w:rPr>
                <w:rFonts w:asciiTheme="minorEastAsia" w:hAnsiTheme="minorEastAsia" w:cs="宋体" w:hint="eastAsia"/>
                <w:color w:val="000000"/>
                <w:kern w:val="0"/>
                <w:sz w:val="24"/>
                <w:szCs w:val="24"/>
              </w:rPr>
              <w:t>,4</w:t>
            </w:r>
            <w:r>
              <w:rPr>
                <w:rFonts w:asciiTheme="minorEastAsia" w:hAnsiTheme="minorEastAsia" w:cs="宋体"/>
                <w:color w:val="000000"/>
                <w:kern w:val="0"/>
                <w:sz w:val="24"/>
                <w:szCs w:val="24"/>
              </w:rPr>
              <w:t>19</w:t>
            </w:r>
            <w:r>
              <w:rPr>
                <w:rFonts w:asciiTheme="minorEastAsia" w:hAnsiTheme="minorEastAsia" w:cs="宋体" w:hint="eastAsia"/>
                <w:color w:val="000000"/>
                <w:kern w:val="0"/>
                <w:sz w:val="24"/>
                <w:szCs w:val="24"/>
              </w:rPr>
              <w:t>,0</w:t>
            </w:r>
            <w:r>
              <w:rPr>
                <w:rFonts w:asciiTheme="minorEastAsia" w:hAnsiTheme="minorEastAsia" w:cs="宋体"/>
                <w:color w:val="000000"/>
                <w:kern w:val="0"/>
                <w:sz w:val="24"/>
                <w:szCs w:val="24"/>
              </w:rPr>
              <w:t>97.63</w:t>
            </w:r>
          </w:p>
        </w:tc>
      </w:tr>
      <w:tr w:rsidR="00906253" w:rsidTr="00F077A1">
        <w:trPr>
          <w:gridAfter w:val="1"/>
          <w:wAfter w:w="42" w:type="dxa"/>
        </w:trPr>
        <w:tc>
          <w:tcPr>
            <w:tcW w:w="1445" w:type="dxa"/>
            <w:vMerge/>
            <w:tcBorders>
              <w:top w:val="single" w:sz="8" w:space="0" w:color="000000"/>
              <w:left w:val="single" w:sz="8" w:space="0" w:color="000000"/>
              <w:bottom w:val="single" w:sz="8" w:space="0" w:color="000000"/>
              <w:right w:val="single" w:sz="8" w:space="0" w:color="000000"/>
            </w:tcBorders>
          </w:tcPr>
          <w:p w:rsidR="00906253" w:rsidRDefault="00906253">
            <w:pPr>
              <w:autoSpaceDE w:val="0"/>
              <w:autoSpaceDN w:val="0"/>
              <w:adjustRightInd w:val="0"/>
              <w:spacing w:line="360" w:lineRule="auto"/>
              <w:jc w:val="left"/>
              <w:rPr>
                <w:rFonts w:asciiTheme="minorEastAsia" w:hAnsiTheme="minorEastAsia" w:cs="宋体"/>
                <w:color w:val="000000"/>
                <w:kern w:val="0"/>
                <w:sz w:val="24"/>
                <w:szCs w:val="24"/>
              </w:rPr>
            </w:pP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截止基准日按照基金合同约定的分红比例计算的应分配金额（单位：元）</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5750E1">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bookmarkStart w:id="0" w:name="_GoBack"/>
            <w:bookmarkEnd w:id="0"/>
          </w:p>
        </w:tc>
      </w:tr>
      <w:tr w:rsidR="006B07D1"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有关年度分红次数的说明</w:t>
            </w:r>
          </w:p>
        </w:tc>
        <w:tc>
          <w:tcPr>
            <w:tcW w:w="4394" w:type="dxa"/>
            <w:gridSpan w:val="4"/>
            <w:tcBorders>
              <w:top w:val="single" w:sz="8" w:space="0" w:color="000000"/>
              <w:left w:val="single" w:sz="8" w:space="0" w:color="000000"/>
              <w:bottom w:val="single" w:sz="8" w:space="0" w:color="000000"/>
              <w:right w:val="single" w:sz="8" w:space="0" w:color="000000"/>
            </w:tcBorders>
            <w:vAlign w:val="center"/>
          </w:tcPr>
          <w:p w:rsidR="006B07D1" w:rsidRDefault="00F077A1" w:rsidP="00D53445">
            <w:pPr>
              <w:widowControl/>
              <w:spacing w:line="360" w:lineRule="auto"/>
              <w:rPr>
                <w:rFonts w:asciiTheme="minorEastAsia" w:hAnsiTheme="minorEastAsia" w:cs="宋体"/>
                <w:color w:val="000000"/>
                <w:kern w:val="0"/>
                <w:sz w:val="24"/>
                <w:szCs w:val="24"/>
              </w:rPr>
            </w:pPr>
            <w:r w:rsidRPr="006B07D1">
              <w:rPr>
                <w:rFonts w:asciiTheme="minorEastAsia" w:hAnsiTheme="minorEastAsia" w:cs="宋体" w:hint="eastAsia"/>
                <w:color w:val="000000"/>
                <w:kern w:val="0"/>
                <w:sz w:val="24"/>
                <w:szCs w:val="24"/>
              </w:rPr>
              <w:t>本次分红为2021年度的第1次分红</w:t>
            </w:r>
          </w:p>
        </w:tc>
      </w:tr>
      <w:tr w:rsidR="00F077A1"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F077A1" w:rsidRDefault="00F077A1" w:rsidP="00F077A1">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下属分级基金的基金简称</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before="29" w:line="360" w:lineRule="auto"/>
              <w:ind w:left="15"/>
              <w:jc w:val="left"/>
              <w:rPr>
                <w:rFonts w:ascii="Times New Roman" w:eastAsia="宋体" w:hAnsi="Times New Roman" w:cs="宋体"/>
                <w:color w:val="000000"/>
                <w:kern w:val="0"/>
                <w:sz w:val="24"/>
                <w:szCs w:val="24"/>
              </w:rPr>
            </w:pPr>
            <w:r w:rsidRPr="00657C19">
              <w:rPr>
                <w:rFonts w:asciiTheme="minorEastAsia" w:cs="宋体"/>
                <w:color w:val="000000"/>
                <w:kern w:val="0"/>
                <w:sz w:val="24"/>
                <w:szCs w:val="24"/>
              </w:rPr>
              <w:t>创金合信泰盈双季红定开债券A</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657C19">
              <w:rPr>
                <w:rFonts w:asciiTheme="minorEastAsia" w:cs="宋体"/>
                <w:color w:val="000000"/>
                <w:kern w:val="0"/>
                <w:sz w:val="24"/>
                <w:szCs w:val="24"/>
              </w:rPr>
              <w:t>创金合信泰盈双季红定开债券C</w:t>
            </w:r>
          </w:p>
        </w:tc>
      </w:tr>
      <w:tr w:rsidR="00F077A1"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F077A1" w:rsidRDefault="00F077A1" w:rsidP="00F077A1">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下属分级基金的交易代码</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line="360" w:lineRule="auto"/>
              <w:jc w:val="left"/>
              <w:rPr>
                <w:rFonts w:ascii="Times New Roman" w:eastAsia="宋体" w:hAnsi="Times New Roman" w:cs="宋体"/>
                <w:color w:val="000000"/>
                <w:kern w:val="0"/>
                <w:sz w:val="24"/>
                <w:szCs w:val="24"/>
              </w:rPr>
            </w:pPr>
            <w:r w:rsidRPr="00657C19">
              <w:rPr>
                <w:rFonts w:asciiTheme="minorEastAsia" w:cs="MS Sans Serif"/>
                <w:color w:val="000000"/>
                <w:kern w:val="0"/>
                <w:sz w:val="24"/>
                <w:szCs w:val="24"/>
              </w:rPr>
              <w:t>005836</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657C19">
              <w:rPr>
                <w:rFonts w:asciiTheme="minorEastAsia" w:cs="MS Sans Serif"/>
                <w:color w:val="000000"/>
                <w:kern w:val="0"/>
                <w:sz w:val="24"/>
                <w:szCs w:val="24"/>
              </w:rPr>
              <w:t>005837</w:t>
            </w:r>
          </w:p>
        </w:tc>
      </w:tr>
      <w:tr w:rsidR="006B07D1" w:rsidRPr="009A3508" w:rsidTr="00F077A1">
        <w:tc>
          <w:tcPr>
            <w:tcW w:w="2466" w:type="dxa"/>
            <w:gridSpan w:val="2"/>
            <w:vMerge w:val="restart"/>
            <w:tcBorders>
              <w:top w:val="single" w:sz="8" w:space="0" w:color="000000"/>
              <w:left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截止基准日下属分级基金的相关指标</w:t>
            </w:r>
          </w:p>
        </w:tc>
        <w:tc>
          <w:tcPr>
            <w:tcW w:w="2212" w:type="dxa"/>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基准日下属分级基金份额净值（单位： 元）</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D36C5F" w:rsidP="00D53445">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1.04</w:t>
            </w:r>
            <w:r w:rsidR="00D53445">
              <w:rPr>
                <w:rFonts w:asciiTheme="minorEastAsia" w:hAnsiTheme="minorEastAsia" w:cs="宋体"/>
                <w:color w:val="000000"/>
                <w:kern w:val="0"/>
                <w:sz w:val="24"/>
                <w:szCs w:val="24"/>
              </w:rPr>
              <w:t>91</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D36C5F"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1.0428</w:t>
            </w:r>
          </w:p>
        </w:tc>
      </w:tr>
      <w:tr w:rsidR="006B07D1" w:rsidRPr="009A3508" w:rsidTr="00F077A1">
        <w:tc>
          <w:tcPr>
            <w:tcW w:w="2466" w:type="dxa"/>
            <w:gridSpan w:val="2"/>
            <w:vMerge/>
            <w:tcBorders>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p>
        </w:tc>
        <w:tc>
          <w:tcPr>
            <w:tcW w:w="2212" w:type="dxa"/>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基准日下属分级基金可供分配利润（单位：元 ）</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D53445" w:rsidP="00D53445">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19,</w:t>
            </w:r>
            <w:r>
              <w:rPr>
                <w:rFonts w:asciiTheme="minorEastAsia" w:hAnsiTheme="minorEastAsia" w:cs="宋体"/>
                <w:color w:val="000000"/>
                <w:kern w:val="0"/>
                <w:sz w:val="24"/>
                <w:szCs w:val="24"/>
              </w:rPr>
              <w:t>313</w:t>
            </w:r>
            <w:r>
              <w:rPr>
                <w:rFonts w:asciiTheme="minorEastAsia" w:hAnsiTheme="minorEastAsia" w:cs="宋体" w:hint="eastAsia"/>
                <w:color w:val="000000"/>
                <w:kern w:val="0"/>
                <w:sz w:val="24"/>
                <w:szCs w:val="24"/>
              </w:rPr>
              <w:t>,1</w:t>
            </w:r>
            <w:r>
              <w:rPr>
                <w:rFonts w:asciiTheme="minorEastAsia" w:hAnsiTheme="minorEastAsia" w:cs="宋体"/>
                <w:color w:val="000000"/>
                <w:kern w:val="0"/>
                <w:sz w:val="24"/>
                <w:szCs w:val="24"/>
              </w:rPr>
              <w:t>88.58</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F077A1"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1,105,909.05</w:t>
            </w:r>
          </w:p>
        </w:tc>
      </w:tr>
      <w:tr w:rsidR="006B07D1" w:rsidRPr="009A3508"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本次下属分级基金分红方案（单位：元/10份基金份额）</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F077A1"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0.2</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F077A1"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sidRPr="006B07D1">
              <w:rPr>
                <w:rFonts w:asciiTheme="minorEastAsia" w:hAnsiTheme="minorEastAsia" w:cs="宋体" w:hint="eastAsia"/>
                <w:color w:val="000000"/>
                <w:kern w:val="0"/>
                <w:sz w:val="24"/>
                <w:szCs w:val="24"/>
              </w:rPr>
              <w:t>0.2</w:t>
            </w:r>
          </w:p>
        </w:tc>
      </w:tr>
    </w:tbl>
    <w:p w:rsidR="00906253" w:rsidRDefault="00906253">
      <w:pPr>
        <w:autoSpaceDE w:val="0"/>
        <w:autoSpaceDN w:val="0"/>
        <w:adjustRightInd w:val="0"/>
        <w:spacing w:before="30" w:line="360" w:lineRule="auto"/>
        <w:ind w:left="15"/>
        <w:jc w:val="left"/>
        <w:rPr>
          <w:rFonts w:asciiTheme="minorEastAsia" w:hAnsiTheme="minorEastAsia" w:cs="宋体"/>
          <w:color w:val="000000"/>
          <w:kern w:val="0"/>
          <w:sz w:val="24"/>
          <w:szCs w:val="24"/>
        </w:rPr>
      </w:pPr>
    </w:p>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.与分红相关的其他信息</w:t>
      </w:r>
    </w:p>
    <w:tbl>
      <w:tblPr>
        <w:tblW w:w="0" w:type="auto"/>
        <w:tblInd w:w="108" w:type="dxa"/>
        <w:tblLayout w:type="fixed"/>
        <w:tblLook w:val="04A0"/>
      </w:tblPr>
      <w:tblGrid>
        <w:gridCol w:w="4696"/>
        <w:gridCol w:w="2167"/>
        <w:gridCol w:w="2167"/>
      </w:tblGrid>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权益登记日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2021年06月22日</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除息日</w:t>
            </w:r>
          </w:p>
        </w:tc>
        <w:tc>
          <w:tcPr>
            <w:tcW w:w="2167"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（场内）</w:t>
            </w:r>
          </w:p>
        </w:tc>
        <w:tc>
          <w:tcPr>
            <w:tcW w:w="2167"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2021年06月22日（场外）</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现金红利发放日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2021年06月24日</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分红对象</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权益登记日在本基金注册登记机构登记在册的本基金全体基金份额持有人。</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红利再投资相关事项的说明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rsidP="00F077A1">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选择红利再投资方式的投资者所转换的基金份额将以2021年06月22日的基金份额净值为计算基准确定再投资份额，红利再投资所转换的基金份额于2021年06月23日直接划入其基金账户，2021年06月24日起投资者可以查询、赎回。</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税收相关事项的说明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根据财政部、国家税务总局的相关规定，基金向投资者分配的基金收益，暂免征收所得税。</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费用相关事项的说明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本基金本次分红免收分红手续费。</w:t>
            </w:r>
          </w:p>
        </w:tc>
      </w:tr>
    </w:tbl>
    <w:p w:rsidR="00906253" w:rsidRDefault="00906253">
      <w:pPr>
        <w:autoSpaceDE w:val="0"/>
        <w:autoSpaceDN w:val="0"/>
        <w:adjustRightInd w:val="0"/>
        <w:spacing w:before="30" w:line="360" w:lineRule="auto"/>
        <w:ind w:left="15"/>
        <w:jc w:val="left"/>
        <w:rPr>
          <w:rFonts w:asciiTheme="minorEastAsia" w:hAnsiTheme="minorEastAsia" w:cs="宋体"/>
          <w:b/>
          <w:bCs/>
          <w:color w:val="000000"/>
          <w:kern w:val="0"/>
          <w:sz w:val="24"/>
          <w:szCs w:val="24"/>
        </w:rPr>
      </w:pPr>
    </w:p>
    <w:p w:rsidR="00906253" w:rsidRDefault="004E3816">
      <w:pPr>
        <w:autoSpaceDE w:val="0"/>
        <w:autoSpaceDN w:val="0"/>
        <w:adjustRightInd w:val="0"/>
        <w:spacing w:before="30" w:line="360" w:lineRule="auto"/>
        <w:ind w:left="15"/>
        <w:jc w:val="left"/>
        <w:rPr>
          <w:rFonts w:asciiTheme="minorEastAsia" w:hAnsiTheme="minorEastAsia" w:cs="宋体"/>
          <w:b/>
          <w:bCs/>
          <w:color w:val="000000"/>
          <w:kern w:val="0"/>
          <w:sz w:val="24"/>
          <w:szCs w:val="24"/>
        </w:rPr>
      </w:pPr>
      <w:r>
        <w:rPr>
          <w:rFonts w:asciiTheme="minorEastAsia" w:hAnsiTheme="minorEastAsia" w:cs="宋体"/>
          <w:b/>
          <w:bCs/>
          <w:color w:val="000000"/>
          <w:kern w:val="0"/>
          <w:sz w:val="24"/>
          <w:szCs w:val="24"/>
        </w:rPr>
        <w:t>3</w:t>
      </w:r>
      <w:r>
        <w:rPr>
          <w:rFonts w:asciiTheme="minorEastAsia" w:hAnsiTheme="minorEastAsia" w:cs="宋体" w:hint="eastAsia"/>
          <w:b/>
          <w:bCs/>
          <w:color w:val="000000"/>
          <w:kern w:val="0"/>
          <w:sz w:val="24"/>
          <w:szCs w:val="24"/>
        </w:rPr>
        <w:t>.其他需要说明的事项</w:t>
      </w:r>
    </w:p>
    <w:p w:rsidR="00906253" w:rsidRDefault="004E3816">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）权益登记日申购或转换转入的基金份额不享有本次分红权益，赎回或转换转出的基金份额享有本次分红权益。</w:t>
      </w:r>
    </w:p>
    <w:p w:rsidR="00906253" w:rsidRDefault="004E3816">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本次分红确认的方式按照投资者在权益登记日之前最后一次选择的分红方式为准。投资者如需修改分红方式，请务必在权益登记日前一日的交易时间结束前（即2021年06月21日15:00前）到销售网点办理变更手续，投资者在权益登记日前一个工作日超过交易时间提交的修改分红方式的申请对本次收益分配无效。对于未选择本基金具体分红方式的投资者，本基金默认的分红方式为现金红利方式。</w:t>
      </w:r>
    </w:p>
    <w:p w:rsidR="00906253" w:rsidRDefault="004E3816">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（3）投资者可访问本公司网站</w:t>
      </w:r>
      <w:r>
        <w:rPr>
          <w:rFonts w:asciiTheme="minorEastAsia" w:hAnsiTheme="minorEastAsia" w:cs="宋体"/>
          <w:color w:val="000000"/>
          <w:kern w:val="0"/>
          <w:sz w:val="24"/>
          <w:szCs w:val="24"/>
        </w:rPr>
        <w:t>www.cjhxfund.com</w:t>
      </w:r>
      <w:r>
        <w:rPr>
          <w:rFonts w:asciiTheme="minorEastAsia" w:hAnsiTheme="minorEastAsia" w:cs="宋体" w:hint="eastAsia"/>
          <w:color w:val="000000"/>
          <w:kern w:val="0"/>
          <w:sz w:val="24"/>
          <w:szCs w:val="24"/>
        </w:rPr>
        <w:t>或拨打客服热线</w:t>
      </w:r>
      <w:r>
        <w:rPr>
          <w:rFonts w:asciiTheme="minorEastAsia" w:hAnsiTheme="minorEastAsia" w:cs="宋体"/>
          <w:color w:val="000000"/>
          <w:kern w:val="0"/>
          <w:sz w:val="24"/>
          <w:szCs w:val="24"/>
        </w:rPr>
        <w:t>400-868-0666</w:t>
      </w:r>
      <w:r>
        <w:rPr>
          <w:rFonts w:asciiTheme="minorEastAsia" w:hAnsiTheme="minorEastAsia" w:cs="宋体" w:hint="eastAsia"/>
          <w:color w:val="000000"/>
          <w:kern w:val="0"/>
          <w:sz w:val="24"/>
          <w:szCs w:val="24"/>
        </w:rPr>
        <w:t>咨询相关情况。</w:t>
      </w:r>
    </w:p>
    <w:p w:rsidR="00906253" w:rsidRDefault="00906253">
      <w:pPr>
        <w:autoSpaceDE w:val="0"/>
        <w:autoSpaceDN w:val="0"/>
        <w:adjustRightInd w:val="0"/>
        <w:spacing w:before="29" w:line="360" w:lineRule="auto"/>
        <w:ind w:left="15"/>
        <w:jc w:val="left"/>
        <w:rPr>
          <w:rFonts w:asciiTheme="minorEastAsia" w:hAnsiTheme="minorEastAsia" w:cs="宋体"/>
          <w:color w:val="000000"/>
          <w:kern w:val="0"/>
          <w:sz w:val="24"/>
          <w:szCs w:val="24"/>
        </w:rPr>
      </w:pPr>
    </w:p>
    <w:p w:rsidR="00906253" w:rsidRDefault="004E3816">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投资者投资于本基金前应认真阅读基金的基金合同、更新的招募说明书及相关公告。</w:t>
      </w:r>
    </w:p>
    <w:p w:rsidR="00906253" w:rsidRDefault="00906253">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p>
    <w:p w:rsidR="00906253" w:rsidRDefault="004E3816">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特此公告。</w:t>
      </w:r>
    </w:p>
    <w:p w:rsidR="00906253" w:rsidRDefault="004E3816">
      <w:pPr>
        <w:autoSpaceDE w:val="0"/>
        <w:autoSpaceDN w:val="0"/>
        <w:adjustRightInd w:val="0"/>
        <w:spacing w:before="29"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 xml:space="preserve">  </w:t>
      </w:r>
    </w:p>
    <w:p w:rsidR="00906253" w:rsidRDefault="004E3816">
      <w:pPr>
        <w:autoSpaceDE w:val="0"/>
        <w:autoSpaceDN w:val="0"/>
        <w:adjustRightInd w:val="0"/>
        <w:spacing w:before="29" w:line="360" w:lineRule="auto"/>
        <w:ind w:left="15"/>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 xml:space="preserve">                                     </w:t>
      </w: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创金合信基金管理有限公司</w:t>
      </w:r>
    </w:p>
    <w:p w:rsidR="00906253" w:rsidRDefault="004E3816">
      <w:pPr>
        <w:spacing w:line="360" w:lineRule="auto"/>
        <w:jc w:val="right"/>
        <w:rPr>
          <w:rFonts w:asciiTheme="minorEastAsia" w:hAnsiTheme="minorEastAsia" w:cs="宋体"/>
          <w:b/>
          <w:color w:val="FF0000"/>
          <w:kern w:val="0"/>
          <w:sz w:val="24"/>
          <w:szCs w:val="24"/>
        </w:rPr>
      </w:pP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 xml:space="preserve">                                        2021年06月18日</w:t>
      </w:r>
    </w:p>
    <w:sectPr w:rsidR="00906253" w:rsidSect="007346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A98" w:rsidRDefault="000B7A98" w:rsidP="006B07D1">
      <w:r>
        <w:separator/>
      </w:r>
    </w:p>
  </w:endnote>
  <w:endnote w:type="continuationSeparator" w:id="0">
    <w:p w:rsidR="000B7A98" w:rsidRDefault="000B7A98" w:rsidP="006B0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A98" w:rsidRDefault="000B7A98" w:rsidP="006B07D1">
      <w:r>
        <w:separator/>
      </w:r>
    </w:p>
  </w:footnote>
  <w:footnote w:type="continuationSeparator" w:id="0">
    <w:p w:rsidR="000B7A98" w:rsidRDefault="000B7A98" w:rsidP="006B0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BD6"/>
    <w:rsid w:val="00044EF1"/>
    <w:rsid w:val="00075384"/>
    <w:rsid w:val="00097DA3"/>
    <w:rsid w:val="000B7A98"/>
    <w:rsid w:val="0010115C"/>
    <w:rsid w:val="00102A96"/>
    <w:rsid w:val="001255F2"/>
    <w:rsid w:val="00126320"/>
    <w:rsid w:val="001C03BA"/>
    <w:rsid w:val="002415C1"/>
    <w:rsid w:val="0024698C"/>
    <w:rsid w:val="002648AB"/>
    <w:rsid w:val="00274418"/>
    <w:rsid w:val="00275102"/>
    <w:rsid w:val="00294605"/>
    <w:rsid w:val="002A1462"/>
    <w:rsid w:val="00316B2B"/>
    <w:rsid w:val="00342EEC"/>
    <w:rsid w:val="00386680"/>
    <w:rsid w:val="003F7319"/>
    <w:rsid w:val="004711E5"/>
    <w:rsid w:val="00473AE2"/>
    <w:rsid w:val="004D6525"/>
    <w:rsid w:val="004E3816"/>
    <w:rsid w:val="004F362B"/>
    <w:rsid w:val="004F5510"/>
    <w:rsid w:val="004F7B9C"/>
    <w:rsid w:val="005750E1"/>
    <w:rsid w:val="0058652F"/>
    <w:rsid w:val="00590040"/>
    <w:rsid w:val="0059770F"/>
    <w:rsid w:val="005D2237"/>
    <w:rsid w:val="005E02D1"/>
    <w:rsid w:val="00601A21"/>
    <w:rsid w:val="0061785D"/>
    <w:rsid w:val="00675499"/>
    <w:rsid w:val="006B07D1"/>
    <w:rsid w:val="006E75F5"/>
    <w:rsid w:val="00730945"/>
    <w:rsid w:val="0073460F"/>
    <w:rsid w:val="007607B6"/>
    <w:rsid w:val="007C4796"/>
    <w:rsid w:val="007D0B50"/>
    <w:rsid w:val="007F4F5C"/>
    <w:rsid w:val="008013EE"/>
    <w:rsid w:val="00823C63"/>
    <w:rsid w:val="00827A05"/>
    <w:rsid w:val="008C672F"/>
    <w:rsid w:val="00906253"/>
    <w:rsid w:val="00924C4C"/>
    <w:rsid w:val="009435A4"/>
    <w:rsid w:val="00990D82"/>
    <w:rsid w:val="009A3508"/>
    <w:rsid w:val="009B3D74"/>
    <w:rsid w:val="009D3D71"/>
    <w:rsid w:val="009E46DA"/>
    <w:rsid w:val="00A0600E"/>
    <w:rsid w:val="00A80521"/>
    <w:rsid w:val="00AA08BC"/>
    <w:rsid w:val="00B11916"/>
    <w:rsid w:val="00BA6251"/>
    <w:rsid w:val="00BB05C4"/>
    <w:rsid w:val="00BB3DF5"/>
    <w:rsid w:val="00BD4B53"/>
    <w:rsid w:val="00CD4A88"/>
    <w:rsid w:val="00CE68D3"/>
    <w:rsid w:val="00CF2484"/>
    <w:rsid w:val="00CF61BE"/>
    <w:rsid w:val="00D022A2"/>
    <w:rsid w:val="00D3511D"/>
    <w:rsid w:val="00D36C5F"/>
    <w:rsid w:val="00D42E86"/>
    <w:rsid w:val="00D53445"/>
    <w:rsid w:val="00D95D30"/>
    <w:rsid w:val="00DD25FA"/>
    <w:rsid w:val="00DD68D2"/>
    <w:rsid w:val="00DE0BD6"/>
    <w:rsid w:val="00DF1337"/>
    <w:rsid w:val="00E12AB7"/>
    <w:rsid w:val="00E36856"/>
    <w:rsid w:val="00E413AC"/>
    <w:rsid w:val="00E64B9D"/>
    <w:rsid w:val="00E91097"/>
    <w:rsid w:val="00EA54E4"/>
    <w:rsid w:val="00EC2AF3"/>
    <w:rsid w:val="00EE5BB4"/>
    <w:rsid w:val="00EF0BC4"/>
    <w:rsid w:val="00F077A1"/>
    <w:rsid w:val="00F162CF"/>
    <w:rsid w:val="00F64BA9"/>
    <w:rsid w:val="00F655F5"/>
    <w:rsid w:val="00F91F5B"/>
    <w:rsid w:val="00FA1D68"/>
    <w:rsid w:val="00FB4E31"/>
    <w:rsid w:val="00FB790E"/>
    <w:rsid w:val="00FD3E5B"/>
    <w:rsid w:val="053F4757"/>
    <w:rsid w:val="1DDF5AF0"/>
    <w:rsid w:val="28054DDD"/>
    <w:rsid w:val="39832FA2"/>
    <w:rsid w:val="591A1EAF"/>
    <w:rsid w:val="62E02F29"/>
    <w:rsid w:val="7A7800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0F"/>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3460F"/>
    <w:pPr>
      <w:jc w:val="left"/>
    </w:pPr>
  </w:style>
  <w:style w:type="paragraph" w:styleId="a4">
    <w:name w:val="Balloon Text"/>
    <w:basedOn w:val="a"/>
    <w:link w:val="Char0"/>
    <w:uiPriority w:val="99"/>
    <w:semiHidden/>
    <w:unhideWhenUsed/>
    <w:qFormat/>
    <w:rsid w:val="0073460F"/>
    <w:rPr>
      <w:sz w:val="18"/>
      <w:szCs w:val="18"/>
    </w:rPr>
  </w:style>
  <w:style w:type="paragraph" w:styleId="a5">
    <w:name w:val="footer"/>
    <w:basedOn w:val="a"/>
    <w:link w:val="Char1"/>
    <w:uiPriority w:val="99"/>
    <w:unhideWhenUsed/>
    <w:qFormat/>
    <w:rsid w:val="0073460F"/>
    <w:pPr>
      <w:tabs>
        <w:tab w:val="center" w:pos="4153"/>
        <w:tab w:val="right" w:pos="8306"/>
      </w:tabs>
      <w:snapToGrid w:val="0"/>
      <w:jc w:val="left"/>
    </w:pPr>
    <w:rPr>
      <w:rFonts w:cstheme="minorBidi"/>
      <w:sz w:val="18"/>
      <w:szCs w:val="18"/>
    </w:rPr>
  </w:style>
  <w:style w:type="paragraph" w:styleId="a6">
    <w:name w:val="header"/>
    <w:basedOn w:val="a"/>
    <w:link w:val="Char2"/>
    <w:uiPriority w:val="99"/>
    <w:unhideWhenUsed/>
    <w:qFormat/>
    <w:rsid w:val="0073460F"/>
    <w:pPr>
      <w:pBdr>
        <w:bottom w:val="single" w:sz="6" w:space="1" w:color="auto"/>
      </w:pBdr>
      <w:tabs>
        <w:tab w:val="center" w:pos="4153"/>
        <w:tab w:val="right" w:pos="8306"/>
      </w:tabs>
      <w:snapToGrid w:val="0"/>
      <w:jc w:val="center"/>
    </w:pPr>
    <w:rPr>
      <w:rFonts w:cstheme="minorBidi"/>
      <w:sz w:val="18"/>
      <w:szCs w:val="18"/>
    </w:rPr>
  </w:style>
  <w:style w:type="paragraph" w:styleId="a7">
    <w:name w:val="annotation subject"/>
    <w:basedOn w:val="a3"/>
    <w:next w:val="a3"/>
    <w:link w:val="Char3"/>
    <w:uiPriority w:val="99"/>
    <w:semiHidden/>
    <w:unhideWhenUsed/>
    <w:qFormat/>
    <w:rsid w:val="0073460F"/>
    <w:rPr>
      <w:b/>
      <w:bCs/>
    </w:rPr>
  </w:style>
  <w:style w:type="character" w:styleId="a8">
    <w:name w:val="annotation reference"/>
    <w:basedOn w:val="a0"/>
    <w:uiPriority w:val="99"/>
    <w:semiHidden/>
    <w:unhideWhenUsed/>
    <w:qFormat/>
    <w:rsid w:val="0073460F"/>
    <w:rPr>
      <w:sz w:val="21"/>
      <w:szCs w:val="21"/>
    </w:rPr>
  </w:style>
  <w:style w:type="character" w:customStyle="1" w:styleId="Char2">
    <w:name w:val="页眉 Char"/>
    <w:basedOn w:val="a0"/>
    <w:link w:val="a6"/>
    <w:uiPriority w:val="99"/>
    <w:qFormat/>
    <w:rsid w:val="0073460F"/>
    <w:rPr>
      <w:sz w:val="18"/>
      <w:szCs w:val="18"/>
    </w:rPr>
  </w:style>
  <w:style w:type="character" w:customStyle="1" w:styleId="Char1">
    <w:name w:val="页脚 Char"/>
    <w:basedOn w:val="a0"/>
    <w:link w:val="a5"/>
    <w:uiPriority w:val="99"/>
    <w:qFormat/>
    <w:rsid w:val="0073460F"/>
    <w:rPr>
      <w:sz w:val="18"/>
      <w:szCs w:val="18"/>
    </w:rPr>
  </w:style>
  <w:style w:type="character" w:customStyle="1" w:styleId="Char">
    <w:name w:val="批注文字 Char"/>
    <w:basedOn w:val="a0"/>
    <w:link w:val="a3"/>
    <w:uiPriority w:val="99"/>
    <w:semiHidden/>
    <w:qFormat/>
    <w:rsid w:val="0073460F"/>
    <w:rPr>
      <w:rFonts w:cs="Times New Roman"/>
    </w:rPr>
  </w:style>
  <w:style w:type="character" w:customStyle="1" w:styleId="Char3">
    <w:name w:val="批注主题 Char"/>
    <w:basedOn w:val="Char"/>
    <w:link w:val="a7"/>
    <w:uiPriority w:val="99"/>
    <w:semiHidden/>
    <w:qFormat/>
    <w:rsid w:val="0073460F"/>
    <w:rPr>
      <w:rFonts w:cs="Times New Roman"/>
      <w:b/>
      <w:bCs/>
    </w:rPr>
  </w:style>
  <w:style w:type="character" w:customStyle="1" w:styleId="Char0">
    <w:name w:val="批注框文本 Char"/>
    <w:basedOn w:val="a0"/>
    <w:link w:val="a4"/>
    <w:uiPriority w:val="99"/>
    <w:semiHidden/>
    <w:qFormat/>
    <w:rsid w:val="0073460F"/>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1360</Characters>
  <Application>Microsoft Office Word</Application>
  <DocSecurity>4</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guiyan</dc:creator>
  <cp:lastModifiedBy>ZHONGM</cp:lastModifiedBy>
  <cp:revision>2</cp:revision>
  <dcterms:created xsi:type="dcterms:W3CDTF">2021-06-17T16:20:00Z</dcterms:created>
  <dcterms:modified xsi:type="dcterms:W3CDTF">2021-06-17T16:20:00Z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