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67" w:rsidRDefault="00BC46D1">
      <w:pPr>
        <w:widowControl/>
        <w:spacing w:before="100" w:beforeAutospacing="1" w:after="100" w:afterAutospacing="1" w:line="440" w:lineRule="exact"/>
        <w:ind w:firstLineChars="200" w:firstLine="482"/>
        <w:jc w:val="center"/>
        <w:outlineLvl w:val="2"/>
        <w:rPr>
          <w:rFonts w:ascii="宋体" w:eastAsia="宋体" w:hAnsi="宋体" w:cs="宋体"/>
          <w:b/>
          <w:bCs/>
          <w:kern w:val="0"/>
          <w:sz w:val="24"/>
          <w:szCs w:val="24"/>
        </w:rPr>
      </w:pPr>
      <w:r>
        <w:rPr>
          <w:rFonts w:ascii="宋体" w:eastAsia="宋体" w:hAnsi="宋体" w:cs="宋体"/>
          <w:b/>
          <w:bCs/>
          <w:kern w:val="0"/>
          <w:sz w:val="24"/>
          <w:szCs w:val="24"/>
        </w:rPr>
        <w:t>金鹰基金管理有限公司</w:t>
      </w:r>
      <w:r>
        <w:rPr>
          <w:rFonts w:ascii="宋体" w:eastAsia="宋体" w:hAnsi="宋体" w:cs="宋体"/>
          <w:b/>
          <w:bCs/>
          <w:color w:val="000000" w:themeColor="text1"/>
          <w:kern w:val="0"/>
          <w:sz w:val="24"/>
          <w:szCs w:val="24"/>
        </w:rPr>
        <w:t>旗下部分基金新增</w:t>
      </w:r>
      <w:r w:rsidR="00245E19" w:rsidRPr="00245E19">
        <w:rPr>
          <w:rFonts w:ascii="宋体" w:eastAsia="宋体" w:hAnsi="宋体" w:cs="宋体" w:hint="eastAsia"/>
          <w:b/>
          <w:bCs/>
          <w:kern w:val="0"/>
          <w:sz w:val="24"/>
          <w:szCs w:val="24"/>
        </w:rPr>
        <w:t>北京广源达信基金销售有限公司</w:t>
      </w:r>
      <w:r>
        <w:rPr>
          <w:rFonts w:ascii="宋体" w:eastAsia="宋体" w:hAnsi="宋体" w:cs="宋体"/>
          <w:b/>
          <w:bCs/>
          <w:kern w:val="0"/>
          <w:sz w:val="24"/>
          <w:szCs w:val="24"/>
        </w:rPr>
        <w:t>为代销机构并开通基金转换、基金定投业务</w:t>
      </w:r>
      <w:r>
        <w:rPr>
          <w:rFonts w:ascii="宋体" w:eastAsia="宋体" w:hAnsi="宋体" w:cs="宋体" w:hint="eastAsia"/>
          <w:b/>
          <w:bCs/>
          <w:kern w:val="0"/>
          <w:sz w:val="24"/>
          <w:szCs w:val="24"/>
        </w:rPr>
        <w:t>及费率优惠</w:t>
      </w:r>
      <w:r>
        <w:rPr>
          <w:rFonts w:ascii="宋体" w:eastAsia="宋体" w:hAnsi="宋体" w:cs="宋体"/>
          <w:b/>
          <w:bCs/>
          <w:kern w:val="0"/>
          <w:sz w:val="24"/>
          <w:szCs w:val="24"/>
        </w:rPr>
        <w:t>的公告</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为了更好地满足广大投资者的理财需求，根据金鹰基金管理有限公司（以下简称：“本公司”）与</w:t>
      </w:r>
      <w:r w:rsidR="004615D4" w:rsidRPr="004615D4">
        <w:rPr>
          <w:rFonts w:hint="eastAsia"/>
        </w:rPr>
        <w:t>北京广源达信基金销售有限公司</w:t>
      </w:r>
      <w:r>
        <w:rPr>
          <w:rFonts w:asciiTheme="minorEastAsia" w:eastAsiaTheme="minorEastAsia" w:hAnsiTheme="minorEastAsia" w:cstheme="minorEastAsia" w:hint="eastAsia"/>
          <w:color w:val="000000" w:themeColor="text1"/>
        </w:rPr>
        <w:t>（以下简称：“</w:t>
      </w:r>
      <w:r w:rsidR="004615D4" w:rsidRPr="004615D4">
        <w:rPr>
          <w:rFonts w:hint="eastAsia"/>
        </w:rPr>
        <w:t>广源达信</w:t>
      </w:r>
      <w:r>
        <w:rPr>
          <w:rFonts w:asciiTheme="minorEastAsia" w:eastAsiaTheme="minorEastAsia" w:hAnsiTheme="minorEastAsia" w:cstheme="minorEastAsia" w:hint="eastAsia"/>
          <w:color w:val="000000" w:themeColor="text1"/>
        </w:rPr>
        <w:t>”）签订的代销协议，本公司决定自20</w:t>
      </w:r>
      <w:r w:rsidR="004431EA">
        <w:rPr>
          <w:rFonts w:asciiTheme="minorEastAsia" w:eastAsiaTheme="minorEastAsia" w:hAnsiTheme="minorEastAsia" w:cstheme="minorEastAsia" w:hint="eastAsia"/>
          <w:color w:val="000000" w:themeColor="text1"/>
        </w:rPr>
        <w:t>21</w:t>
      </w:r>
      <w:r>
        <w:rPr>
          <w:rFonts w:asciiTheme="minorEastAsia" w:eastAsiaTheme="minorEastAsia" w:hAnsiTheme="minorEastAsia" w:cstheme="minorEastAsia" w:hint="eastAsia"/>
          <w:color w:val="000000" w:themeColor="text1"/>
        </w:rPr>
        <w:t>年</w:t>
      </w:r>
      <w:r w:rsidR="004615D4">
        <w:rPr>
          <w:rFonts w:asciiTheme="minorEastAsia" w:eastAsiaTheme="minorEastAsia" w:hAnsiTheme="minorEastAsia" w:cstheme="minorEastAsia"/>
          <w:color w:val="000000" w:themeColor="text1"/>
        </w:rPr>
        <w:t>6</w:t>
      </w:r>
      <w:r>
        <w:rPr>
          <w:rFonts w:asciiTheme="minorEastAsia" w:eastAsiaTheme="minorEastAsia" w:hAnsiTheme="minorEastAsia" w:cstheme="minorEastAsia" w:hint="eastAsia"/>
          <w:color w:val="000000" w:themeColor="text1"/>
        </w:rPr>
        <w:t>月</w:t>
      </w:r>
      <w:r w:rsidR="004615D4">
        <w:rPr>
          <w:rFonts w:asciiTheme="minorEastAsia" w:eastAsiaTheme="minorEastAsia" w:hAnsiTheme="minorEastAsia" w:cstheme="minorEastAsia"/>
          <w:color w:val="000000" w:themeColor="text1"/>
        </w:rPr>
        <w:t>10</w:t>
      </w:r>
      <w:r>
        <w:rPr>
          <w:rFonts w:asciiTheme="minorEastAsia" w:eastAsiaTheme="minorEastAsia" w:hAnsiTheme="minorEastAsia" w:cstheme="minorEastAsia" w:hint="eastAsia"/>
          <w:color w:val="000000" w:themeColor="text1"/>
        </w:rPr>
        <w:t>日起通过</w:t>
      </w:r>
      <w:r w:rsidR="004615D4" w:rsidRPr="004615D4">
        <w:rPr>
          <w:rFonts w:hint="eastAsia"/>
        </w:rPr>
        <w:t>广源达信</w:t>
      </w:r>
      <w:r>
        <w:rPr>
          <w:rFonts w:asciiTheme="minorEastAsia" w:eastAsiaTheme="minorEastAsia" w:hAnsiTheme="minorEastAsia" w:cstheme="minorEastAsia" w:hint="eastAsia"/>
          <w:color w:val="000000" w:themeColor="text1"/>
        </w:rPr>
        <w:t>代理销售本公司旗下部分基金并开通基金转换、基金定投业务及费率优惠，具体公告如下：</w:t>
      </w:r>
    </w:p>
    <w:p w:rsidR="003C0367" w:rsidRPr="004431EA" w:rsidRDefault="003C0367">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3C0367" w:rsidRDefault="00BC46D1" w:rsidP="00645977">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一、代销基金</w:t>
      </w:r>
    </w:p>
    <w:tbl>
      <w:tblPr>
        <w:tblW w:w="8460" w:type="dxa"/>
        <w:tblInd w:w="113" w:type="dxa"/>
        <w:tblLook w:val="04A0"/>
      </w:tblPr>
      <w:tblGrid>
        <w:gridCol w:w="1838"/>
        <w:gridCol w:w="6622"/>
      </w:tblGrid>
      <w:tr w:rsidR="00F549A7" w:rsidTr="00A84E72">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9A7" w:rsidRPr="00F549A7" w:rsidRDefault="00F549A7">
            <w:pPr>
              <w:widowControl/>
              <w:jc w:val="center"/>
              <w:rPr>
                <w:rFonts w:asciiTheme="minorEastAsia" w:hAnsiTheme="minorEastAsia" w:cstheme="minorEastAsia"/>
                <w:color w:val="000000" w:themeColor="text1"/>
                <w:kern w:val="0"/>
                <w:sz w:val="24"/>
                <w:szCs w:val="24"/>
              </w:rPr>
            </w:pPr>
            <w:r w:rsidRPr="00F549A7">
              <w:rPr>
                <w:rFonts w:asciiTheme="minorEastAsia" w:hAnsiTheme="minorEastAsia" w:cstheme="minorEastAsia" w:hint="eastAsia"/>
                <w:color w:val="000000" w:themeColor="text1"/>
                <w:kern w:val="0"/>
                <w:sz w:val="24"/>
                <w:szCs w:val="24"/>
              </w:rPr>
              <w:t>基金代码</w:t>
            </w:r>
          </w:p>
        </w:tc>
        <w:tc>
          <w:tcPr>
            <w:tcW w:w="6622" w:type="dxa"/>
            <w:tcBorders>
              <w:top w:val="single" w:sz="4" w:space="0" w:color="auto"/>
              <w:left w:val="nil"/>
              <w:bottom w:val="single" w:sz="4" w:space="0" w:color="auto"/>
              <w:right w:val="single" w:sz="4" w:space="0" w:color="auto"/>
            </w:tcBorders>
            <w:shd w:val="clear" w:color="auto" w:fill="auto"/>
            <w:noWrap/>
            <w:vAlign w:val="center"/>
            <w:hideMark/>
          </w:tcPr>
          <w:p w:rsidR="00F549A7" w:rsidRPr="00F549A7" w:rsidRDefault="00F549A7">
            <w:pPr>
              <w:jc w:val="center"/>
              <w:rPr>
                <w:rFonts w:asciiTheme="minorEastAsia" w:hAnsiTheme="minorEastAsia" w:cstheme="minorEastAsia"/>
                <w:color w:val="000000" w:themeColor="text1"/>
                <w:kern w:val="0"/>
                <w:sz w:val="24"/>
                <w:szCs w:val="24"/>
              </w:rPr>
            </w:pPr>
            <w:r w:rsidRPr="00F549A7">
              <w:rPr>
                <w:rFonts w:asciiTheme="minorEastAsia" w:hAnsiTheme="minorEastAsia" w:cstheme="minorEastAsia" w:hint="eastAsia"/>
                <w:color w:val="000000" w:themeColor="text1"/>
                <w:kern w:val="0"/>
                <w:sz w:val="24"/>
                <w:szCs w:val="24"/>
              </w:rPr>
              <w:t>产品名称</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210012</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金鹰货币市场证券投资基金</w:t>
            </w:r>
            <w:r w:rsidR="00A84E72">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210013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金鹰货币市场证券投资基金</w:t>
            </w:r>
            <w:r w:rsidR="00B465CA">
              <w:rPr>
                <w:rFonts w:asciiTheme="minorEastAsia" w:hAnsiTheme="minorEastAsia" w:cstheme="minorEastAsia" w:hint="eastAsia"/>
                <w:color w:val="000000" w:themeColor="text1"/>
                <w:kern w:val="0"/>
                <w:sz w:val="24"/>
                <w:szCs w:val="24"/>
              </w:rPr>
              <w:t>B</w:t>
            </w:r>
            <w:r w:rsidR="00A84E72">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004372</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金鹰现金增益交易型货币市场基金</w:t>
            </w:r>
            <w:r w:rsidR="00A84E72">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004373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金鹰现金增益交易型货币市场基金</w:t>
            </w:r>
            <w:r w:rsidR="00B465CA">
              <w:rPr>
                <w:rFonts w:asciiTheme="minorEastAsia" w:hAnsiTheme="minorEastAsia" w:cstheme="minorEastAsia" w:hint="eastAsia"/>
                <w:color w:val="000000" w:themeColor="text1"/>
                <w:kern w:val="0"/>
                <w:sz w:val="24"/>
                <w:szCs w:val="24"/>
              </w:rPr>
              <w:t>B</w:t>
            </w:r>
            <w:r w:rsidR="00A84E72">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162105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金鹰持久增利债券型证券投资基金(LOF)</w:t>
            </w:r>
            <w:r w:rsidR="00EB56D1">
              <w:rPr>
                <w:rFonts w:asciiTheme="minorEastAsia" w:hAnsiTheme="minorEastAsia" w:cstheme="minorEastAsia"/>
                <w:color w:val="000000" w:themeColor="text1"/>
                <w:kern w:val="0"/>
                <w:sz w:val="24"/>
                <w:szCs w:val="24"/>
              </w:rPr>
              <w:t>C</w:t>
            </w:r>
            <w:r w:rsidR="00EB56D1">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004267</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金鹰持久增利债券型证券投资基金(LOF)</w:t>
            </w:r>
            <w:r w:rsidR="00EB56D1">
              <w:rPr>
                <w:rFonts w:asciiTheme="minorEastAsia" w:hAnsiTheme="minorEastAsia" w:cstheme="minorEastAsia"/>
                <w:color w:val="000000" w:themeColor="text1"/>
                <w:kern w:val="0"/>
                <w:sz w:val="24"/>
                <w:szCs w:val="24"/>
              </w:rPr>
              <w:t>E</w:t>
            </w:r>
            <w:r w:rsidR="00EB56D1">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002586</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金鹰添利中长期信用债债券型证券投资基金</w:t>
            </w:r>
            <w:r w:rsidR="00E32202">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002587</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金鹰添利中长期信用债债券型证券投资基金</w:t>
            </w:r>
            <w:r w:rsidR="00E32202">
              <w:rPr>
                <w:rFonts w:asciiTheme="minorEastAsia" w:hAnsiTheme="minorEastAsia" w:cstheme="minorEastAsia"/>
                <w:color w:val="000000" w:themeColor="text1"/>
                <w:kern w:val="0"/>
                <w:sz w:val="24"/>
                <w:szCs w:val="24"/>
              </w:rPr>
              <w:t>C</w:t>
            </w:r>
            <w:r w:rsidR="00E32202">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005010</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金鹰添瑞中短债债券型证券投资基金</w:t>
            </w:r>
            <w:r w:rsidR="0010411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005011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金鹰添瑞中短债债券型证券投资基金</w:t>
            </w:r>
            <w:r w:rsidR="0010411B">
              <w:rPr>
                <w:rFonts w:asciiTheme="minorEastAsia" w:hAnsiTheme="minorEastAsia" w:cstheme="minorEastAsia"/>
                <w:color w:val="000000" w:themeColor="text1"/>
                <w:kern w:val="0"/>
                <w:sz w:val="24"/>
                <w:szCs w:val="24"/>
              </w:rPr>
              <w:t>C</w:t>
            </w:r>
            <w:r w:rsidR="0010411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006389</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金鹰添祥中短债债券型证券投资基金</w:t>
            </w:r>
            <w:r w:rsidR="00FD2BF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006390</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金鹰添祥中短债债券型证券投资基金</w:t>
            </w:r>
            <w:r w:rsidR="00FD2BFB">
              <w:rPr>
                <w:rFonts w:asciiTheme="minorEastAsia" w:hAnsiTheme="minorEastAsia" w:cstheme="minorEastAsia"/>
                <w:color w:val="000000" w:themeColor="text1"/>
                <w:kern w:val="0"/>
                <w:sz w:val="24"/>
                <w:szCs w:val="24"/>
              </w:rPr>
              <w:t>C</w:t>
            </w:r>
            <w:r w:rsidR="00FD2BF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003384</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金鹰添盈纯债债券型证券投资基金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003733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金鹰添裕纯债债券型证券投资基金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006974</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金鹰鑫日享债券型证券投资基金</w:t>
            </w:r>
            <w:r w:rsidR="0050294A">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006975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金鹰鑫日享债券型证券投资基金</w:t>
            </w:r>
            <w:r w:rsidR="0050294A">
              <w:rPr>
                <w:rFonts w:asciiTheme="minorEastAsia" w:hAnsiTheme="minorEastAsia" w:cstheme="minorEastAsia"/>
                <w:color w:val="000000" w:themeColor="text1"/>
                <w:kern w:val="0"/>
                <w:sz w:val="24"/>
                <w:szCs w:val="24"/>
              </w:rPr>
              <w:t>C</w:t>
            </w:r>
            <w:r w:rsidR="0050294A">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210014</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金鹰元丰债券型证券投资基金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002490</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金鹰元祺信用债债券型证券投资基金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162108</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金鹰元盛债券型发起式证券投资基金(LOF)</w:t>
            </w:r>
            <w:r w:rsidR="00E824C5">
              <w:rPr>
                <w:rFonts w:asciiTheme="minorEastAsia" w:hAnsiTheme="minorEastAsia" w:cstheme="minorEastAsia"/>
                <w:color w:val="000000" w:themeColor="text1"/>
                <w:kern w:val="0"/>
                <w:sz w:val="24"/>
                <w:szCs w:val="24"/>
              </w:rPr>
              <w:t xml:space="preserve"> C</w:t>
            </w:r>
            <w:r w:rsidR="00E824C5">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004333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金鹰元盛债券型发起式证券投资基金(LOF)</w:t>
            </w:r>
            <w:r w:rsidR="00E824C5">
              <w:rPr>
                <w:rFonts w:asciiTheme="minorEastAsia" w:hAnsiTheme="minorEastAsia" w:cstheme="minorEastAsia"/>
                <w:color w:val="000000" w:themeColor="text1"/>
                <w:kern w:val="0"/>
                <w:sz w:val="24"/>
                <w:szCs w:val="24"/>
              </w:rPr>
              <w:t xml:space="preserve"> E</w:t>
            </w:r>
            <w:r w:rsidR="00E824C5">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004033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金鹰添荣纯债债券型证券投资基金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210008</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金鹰策略配置混合型证券投资基金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001366</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金鹰产业整合灵活配置混合型证券投资基金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210001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金鹰成份股优选证券投资基金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002844</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金鹰多元策略灵活配置混合型证券投资基金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001951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金鹰改革红利灵活配置混合型证券投资基金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210003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金鹰行业优势混合型证券投资基金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210009</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金鹰核心资源混合型证券投资基金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210002</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金鹰红利价值灵活配置混合型证券投资基金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lastRenderedPageBreak/>
              <w:t>210007</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金鹰技术领先灵活配置混合型证券投资基金</w:t>
            </w:r>
            <w:r w:rsidR="0035205F">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002196</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金鹰技术领先灵活配置混合型证券投资基金</w:t>
            </w:r>
            <w:r w:rsidR="0035205F">
              <w:rPr>
                <w:rFonts w:asciiTheme="minorEastAsia" w:hAnsiTheme="minorEastAsia" w:cstheme="minorEastAsia"/>
                <w:color w:val="000000" w:themeColor="text1"/>
                <w:kern w:val="0"/>
                <w:sz w:val="24"/>
                <w:szCs w:val="24"/>
              </w:rPr>
              <w:t>C</w:t>
            </w:r>
            <w:r w:rsidR="0035205F">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001167</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金鹰科技创新股票型证券投资基金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162107</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金鹰量化精选股票型证券投资基金(LOF)</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210010</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金鹰灵活配置混合型证券投资基金</w:t>
            </w:r>
            <w:r w:rsidR="000A2CD7">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210011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金鹰灵活配置混合型证券投资基金</w:t>
            </w:r>
            <w:r w:rsidR="000A2CD7">
              <w:rPr>
                <w:rFonts w:asciiTheme="minorEastAsia" w:hAnsiTheme="minorEastAsia" w:cstheme="minorEastAsia"/>
                <w:color w:val="000000" w:themeColor="text1"/>
                <w:kern w:val="0"/>
                <w:sz w:val="24"/>
                <w:szCs w:val="24"/>
              </w:rPr>
              <w:t>C</w:t>
            </w:r>
            <w:r w:rsidR="000A2CD7">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006972</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金鹰民安回报一年定期开放混合型证券投资基金</w:t>
            </w:r>
            <w:r w:rsidR="0039408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007735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金鹰民安回报一年定期开放混合型证券投资基金</w:t>
            </w:r>
            <w:r w:rsidR="0039408B">
              <w:rPr>
                <w:rFonts w:asciiTheme="minorEastAsia" w:hAnsiTheme="minorEastAsia" w:cstheme="minorEastAsia"/>
                <w:color w:val="000000" w:themeColor="text1"/>
                <w:kern w:val="0"/>
                <w:sz w:val="24"/>
                <w:szCs w:val="24"/>
              </w:rPr>
              <w:t>C</w:t>
            </w:r>
            <w:r w:rsidR="0039408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004265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金鹰民丰回报定期开放混合型证券投资基金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001298</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金鹰民族新兴灵活配置混合型证券投资基金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210004</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金鹰稳健成长混合型证券投资基金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003502</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金鹰鑫瑞灵活配置混合型证券投资基金</w:t>
            </w:r>
            <w:r w:rsidR="0039408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003503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金鹰鑫瑞灵活配置混合型证券投资基金</w:t>
            </w:r>
            <w:r w:rsidR="0039408B">
              <w:rPr>
                <w:rFonts w:asciiTheme="minorEastAsia" w:hAnsiTheme="minorEastAsia" w:cstheme="minorEastAsia"/>
                <w:color w:val="000000" w:themeColor="text1"/>
                <w:kern w:val="0"/>
                <w:sz w:val="24"/>
                <w:szCs w:val="24"/>
              </w:rPr>
              <w:t>C</w:t>
            </w:r>
            <w:r w:rsidR="0039408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003484</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金鹰鑫益灵活配置混合型证券投资基金</w:t>
            </w:r>
            <w:r w:rsidR="0039408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003485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金鹰鑫益灵活配置混合型证券投资基金</w:t>
            </w:r>
            <w:r w:rsidR="0039408B">
              <w:rPr>
                <w:rFonts w:asciiTheme="minorEastAsia" w:hAnsiTheme="minorEastAsia" w:cstheme="minorEastAsia"/>
                <w:color w:val="000000" w:themeColor="text1"/>
                <w:kern w:val="0"/>
                <w:sz w:val="24"/>
                <w:szCs w:val="24"/>
              </w:rPr>
              <w:t>C</w:t>
            </w:r>
            <w:r w:rsidR="0039408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003853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金鹰信息产业股票型证券投资基金</w:t>
            </w:r>
            <w:r w:rsidR="0039408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005885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金鹰信息产业股票型证券投资基金</w:t>
            </w:r>
            <w:r w:rsidR="0039408B">
              <w:rPr>
                <w:rFonts w:asciiTheme="minorEastAsia" w:hAnsiTheme="minorEastAsia" w:cstheme="minorEastAsia"/>
                <w:color w:val="000000" w:themeColor="text1"/>
                <w:kern w:val="0"/>
                <w:sz w:val="24"/>
                <w:szCs w:val="24"/>
              </w:rPr>
              <w:t>C</w:t>
            </w:r>
            <w:r w:rsidR="0039408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004040</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金鹰医疗健康产业股票型证券投资基金</w:t>
            </w:r>
            <w:r w:rsidR="0039408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004041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金鹰医疗健康产业股票型证券投资基金</w:t>
            </w:r>
            <w:r w:rsidR="0039408B">
              <w:rPr>
                <w:rFonts w:asciiTheme="minorEastAsia" w:hAnsiTheme="minorEastAsia" w:cstheme="minorEastAsia"/>
                <w:color w:val="000000" w:themeColor="text1"/>
                <w:kern w:val="0"/>
                <w:sz w:val="24"/>
                <w:szCs w:val="24"/>
              </w:rPr>
              <w:t>C</w:t>
            </w:r>
            <w:r w:rsidR="0039408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000110</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金鹰元安混合型证券投资基金</w:t>
            </w:r>
            <w:r w:rsidR="0039408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002513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金鹰元安混合型证券投资基金</w:t>
            </w:r>
            <w:r w:rsidR="0039408B">
              <w:rPr>
                <w:rFonts w:asciiTheme="minorEastAsia" w:hAnsiTheme="minorEastAsia" w:cstheme="minorEastAsia"/>
                <w:color w:val="000000" w:themeColor="text1"/>
                <w:kern w:val="0"/>
                <w:sz w:val="24"/>
                <w:szCs w:val="24"/>
              </w:rPr>
              <w:t>C</w:t>
            </w:r>
            <w:r w:rsidR="0039408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002681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金鹰元和灵活配置混合型证券投资基金</w:t>
            </w:r>
            <w:r w:rsidR="0039408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002682</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金鹰元和灵活配置混合型证券投资基金</w:t>
            </w:r>
            <w:r w:rsidR="0039408B">
              <w:rPr>
                <w:rFonts w:asciiTheme="minorEastAsia" w:hAnsiTheme="minorEastAsia" w:cstheme="minorEastAsia"/>
                <w:color w:val="000000" w:themeColor="text1"/>
                <w:kern w:val="0"/>
                <w:sz w:val="24"/>
                <w:szCs w:val="24"/>
              </w:rPr>
              <w:t>C</w:t>
            </w:r>
            <w:r w:rsidR="0039408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210006</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金鹰元禧混合型证券投资基金</w:t>
            </w:r>
            <w:r w:rsidR="0039408B">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002425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金鹰元禧混合型证券投资基金</w:t>
            </w:r>
            <w:r w:rsidR="0039408B">
              <w:rPr>
                <w:rFonts w:asciiTheme="minorEastAsia" w:hAnsiTheme="minorEastAsia" w:cstheme="minorEastAsia"/>
                <w:color w:val="000000" w:themeColor="text1"/>
                <w:kern w:val="0"/>
                <w:sz w:val="24"/>
                <w:szCs w:val="24"/>
              </w:rPr>
              <w:t>C</w:t>
            </w:r>
            <w:r w:rsidR="0039408B">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002303</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金鹰智慧生活灵活配置混合型证券投资基金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162102</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金鹰中小盘精选证券投资基金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004211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金鹰周期优选灵活配置混合型证券投资基金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210005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金鹰主题优势混合型证券投资基金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004044</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金鹰转型动力灵活配置混合型证券投资基金</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009968</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金鹰内需成长混合型证券投资基金</w:t>
            </w:r>
            <w:r w:rsidR="00CE6D1D">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009969</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金鹰内需成长混合型证券投资基金</w:t>
            </w:r>
            <w:r w:rsidR="00CE6D1D">
              <w:rPr>
                <w:rFonts w:asciiTheme="minorEastAsia" w:hAnsiTheme="minorEastAsia" w:cstheme="minorEastAsia"/>
                <w:color w:val="000000" w:themeColor="text1"/>
                <w:kern w:val="0"/>
                <w:sz w:val="24"/>
                <w:szCs w:val="24"/>
              </w:rPr>
              <w:t>C</w:t>
            </w:r>
            <w:r w:rsidR="00CE6D1D">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011351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金鹰年年邮益一年持有期混合型证券投资基金</w:t>
            </w:r>
            <w:r w:rsidR="00CE6D1D">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011352</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金鹰年年邮益一年持有期混合型证券投资基金</w:t>
            </w:r>
            <w:r w:rsidR="00CE6D1D">
              <w:rPr>
                <w:rFonts w:asciiTheme="minorEastAsia" w:hAnsiTheme="minorEastAsia" w:cstheme="minorEastAsia"/>
                <w:color w:val="000000" w:themeColor="text1"/>
                <w:kern w:val="0"/>
                <w:sz w:val="24"/>
                <w:szCs w:val="24"/>
              </w:rPr>
              <w:t>C</w:t>
            </w:r>
            <w:r w:rsidR="00CE6D1D">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011260</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金鹰新能源混合型证券投资基金</w:t>
            </w:r>
            <w:r w:rsidR="00CE6D1D">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011261</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金鹰新能源混合型证券投资基金</w:t>
            </w:r>
            <w:r w:rsidR="00CE6D1D">
              <w:rPr>
                <w:rFonts w:asciiTheme="minorEastAsia" w:hAnsiTheme="minorEastAsia" w:cstheme="minorEastAsia"/>
                <w:color w:val="000000" w:themeColor="text1"/>
                <w:kern w:val="0"/>
                <w:sz w:val="24"/>
                <w:szCs w:val="24"/>
              </w:rPr>
              <w:t>C</w:t>
            </w:r>
            <w:r w:rsidR="00CE6D1D">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011155</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金鹰责任投资混合型证券投资基金</w:t>
            </w:r>
            <w:r w:rsidR="00CE6D1D">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011156</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金鹰责任投资混合型证券投资基金</w:t>
            </w:r>
            <w:r w:rsidR="00CE6D1D">
              <w:rPr>
                <w:rFonts w:asciiTheme="minorEastAsia" w:hAnsiTheme="minorEastAsia" w:cstheme="minorEastAsia"/>
                <w:color w:val="000000" w:themeColor="text1"/>
                <w:kern w:val="0"/>
                <w:sz w:val="24"/>
                <w:szCs w:val="24"/>
              </w:rPr>
              <w:t>C</w:t>
            </w:r>
            <w:r w:rsidR="00CE6D1D">
              <w:rPr>
                <w:rFonts w:asciiTheme="minorEastAsia" w:hAnsiTheme="minorEastAsia" w:cstheme="minorEastAsia" w:hint="eastAsia"/>
                <w:color w:val="000000" w:themeColor="text1"/>
                <w:kern w:val="0"/>
                <w:sz w:val="24"/>
                <w:szCs w:val="24"/>
              </w:rPr>
              <w:t>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004657</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金鹰民富收益混合型证券投资基金</w:t>
            </w:r>
            <w:r w:rsidR="00CE6D1D">
              <w:rPr>
                <w:rFonts w:asciiTheme="minorEastAsia" w:hAnsiTheme="minorEastAsia" w:cstheme="minorEastAsia" w:hint="eastAsia"/>
                <w:color w:val="000000" w:themeColor="text1"/>
                <w:kern w:val="0"/>
                <w:sz w:val="24"/>
                <w:szCs w:val="24"/>
              </w:rPr>
              <w:t>A类份额</w:t>
            </w:r>
          </w:p>
        </w:tc>
      </w:tr>
      <w:tr w:rsidR="00EC6CDA" w:rsidRPr="00EC6CDA" w:rsidTr="00A84E72">
        <w:trPr>
          <w:trHeight w:val="2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004658</w:t>
            </w:r>
          </w:p>
        </w:tc>
        <w:tc>
          <w:tcPr>
            <w:tcW w:w="6622" w:type="dxa"/>
            <w:tcBorders>
              <w:top w:val="nil"/>
              <w:left w:val="nil"/>
              <w:bottom w:val="single" w:sz="4" w:space="0" w:color="auto"/>
              <w:right w:val="single" w:sz="4" w:space="0" w:color="auto"/>
            </w:tcBorders>
            <w:shd w:val="clear" w:color="auto" w:fill="auto"/>
            <w:noWrap/>
            <w:vAlign w:val="center"/>
            <w:hideMark/>
          </w:tcPr>
          <w:p w:rsidR="00EC6CDA" w:rsidRPr="00EC6CDA" w:rsidRDefault="00EC6CDA" w:rsidP="00EC6CDA">
            <w:pPr>
              <w:jc w:val="center"/>
              <w:rPr>
                <w:rFonts w:asciiTheme="minorEastAsia" w:hAnsiTheme="minorEastAsia" w:cstheme="minorEastAsia"/>
                <w:color w:val="000000" w:themeColor="text1"/>
                <w:kern w:val="0"/>
                <w:sz w:val="24"/>
                <w:szCs w:val="24"/>
              </w:rPr>
            </w:pPr>
            <w:r w:rsidRPr="00EC6CDA">
              <w:rPr>
                <w:rFonts w:asciiTheme="minorEastAsia" w:hAnsiTheme="minorEastAsia" w:cstheme="minorEastAsia" w:hint="eastAsia"/>
                <w:color w:val="000000" w:themeColor="text1"/>
                <w:kern w:val="0"/>
                <w:sz w:val="24"/>
                <w:szCs w:val="24"/>
              </w:rPr>
              <w:t>金鹰民富收益混合型证券投资基金</w:t>
            </w:r>
            <w:r w:rsidR="00CE6D1D">
              <w:rPr>
                <w:rFonts w:asciiTheme="minorEastAsia" w:hAnsiTheme="minorEastAsia" w:cstheme="minorEastAsia"/>
                <w:color w:val="000000" w:themeColor="text1"/>
                <w:kern w:val="0"/>
                <w:sz w:val="24"/>
                <w:szCs w:val="24"/>
              </w:rPr>
              <w:t>C</w:t>
            </w:r>
            <w:r w:rsidR="00CE6D1D">
              <w:rPr>
                <w:rFonts w:asciiTheme="minorEastAsia" w:hAnsiTheme="minorEastAsia" w:cstheme="minorEastAsia" w:hint="eastAsia"/>
                <w:color w:val="000000" w:themeColor="text1"/>
                <w:kern w:val="0"/>
                <w:sz w:val="24"/>
                <w:szCs w:val="24"/>
              </w:rPr>
              <w:t>类份额</w:t>
            </w:r>
          </w:p>
        </w:tc>
      </w:tr>
    </w:tbl>
    <w:p w:rsidR="00F549A7" w:rsidRPr="00EC6CDA" w:rsidRDefault="00F549A7">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3C0367" w:rsidRDefault="00645977">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二</w:t>
      </w:r>
      <w:r w:rsidR="00BC46D1">
        <w:rPr>
          <w:rFonts w:asciiTheme="minorEastAsia" w:eastAsiaTheme="minorEastAsia" w:hAnsiTheme="minorEastAsia" w:cstheme="minorEastAsia" w:hint="eastAsia"/>
          <w:color w:val="000000" w:themeColor="text1"/>
        </w:rPr>
        <w:t>、投资者可在</w:t>
      </w:r>
      <w:r w:rsidR="00560896">
        <w:rPr>
          <w:rFonts w:hint="eastAsia"/>
        </w:rPr>
        <w:t>广源达信</w:t>
      </w:r>
      <w:r w:rsidR="00BC46D1">
        <w:rPr>
          <w:rFonts w:asciiTheme="minorEastAsia" w:eastAsiaTheme="minorEastAsia" w:hAnsiTheme="minorEastAsia" w:cstheme="minorEastAsia" w:hint="eastAsia"/>
          <w:color w:val="000000" w:themeColor="text1"/>
        </w:rPr>
        <w:t>办理上述基金的开户、申购、赎回、基金转换、基金定期定额投资（以下简称“基金定投”）等业务</w:t>
      </w:r>
      <w:r w:rsidR="00BC46D1">
        <w:rPr>
          <w:rFonts w:asciiTheme="minorEastAsia" w:hAnsiTheme="minorEastAsia" w:cstheme="minorEastAsia" w:hint="eastAsia"/>
          <w:color w:val="000000" w:themeColor="text1"/>
        </w:rPr>
        <w:t>，相关规则遵照代销机构的有关规定以及上述基金的招募说明书、基金合同等法律文件。</w:t>
      </w:r>
    </w:p>
    <w:p w:rsidR="003C0367" w:rsidRDefault="003C0367">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3C0367" w:rsidRDefault="0044337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w:t>
      </w:r>
      <w:r w:rsidR="00BC46D1">
        <w:rPr>
          <w:rFonts w:asciiTheme="minorEastAsia" w:eastAsiaTheme="minorEastAsia" w:hAnsiTheme="minorEastAsia" w:cstheme="minorEastAsia" w:hint="eastAsia"/>
          <w:color w:val="000000" w:themeColor="text1"/>
        </w:rPr>
        <w:t>、重要提示</w:t>
      </w:r>
    </w:p>
    <w:p w:rsidR="007515BC" w:rsidRDefault="007515BC" w:rsidP="007515B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6579F0">
        <w:rPr>
          <w:rFonts w:asciiTheme="minorEastAsia" w:eastAsiaTheme="minorEastAsia" w:hAnsiTheme="minorEastAsia" w:cstheme="minorEastAsia" w:hint="eastAsia"/>
          <w:color w:val="000000" w:themeColor="text1"/>
        </w:rPr>
        <w:t>1、目前，金鹰民富收益混合型证券投资基金A类份额、金鹰民富收益混合型证券投资基金C类份额、金鹰民丰回报定期开放混合型证券投资基金、金鹰民安回报一年定期开放混合型证券投资基金A类份额及金鹰民安回报一年定期开放混合型证券投资基金C类份额仍处于封闭期，暂不开放申购、赎回、转换、基金定投等业务，开放申购、赎回、转换、基金定投等业务的时间另行公告。</w:t>
      </w:r>
    </w:p>
    <w:p w:rsidR="007515BC" w:rsidRDefault="007515BC" w:rsidP="007515B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、基金定投业务是指投资者通过本公司指定的基金销售机构提交申请，约定每期扣款时间和扣款金额，由销售机构于每期约定扣款日在投资者指定资金账户内自动完成扣款和基金申购申请的一种投资方式。</w:t>
      </w:r>
    </w:p>
    <w:p w:rsidR="007515BC" w:rsidRDefault="007515BC" w:rsidP="007515B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w:t>
      </w:r>
      <w:r w:rsidRPr="00306380">
        <w:rPr>
          <w:rFonts w:asciiTheme="minorEastAsia" w:eastAsiaTheme="minorEastAsia" w:hAnsiTheme="minorEastAsia" w:hint="eastAsia"/>
          <w:color w:val="000000"/>
        </w:rPr>
        <w:t>金鹰成份股优选证券投资基金的申购费用采取后端收费模式。</w:t>
      </w:r>
    </w:p>
    <w:p w:rsidR="007515BC" w:rsidRDefault="007515BC" w:rsidP="007515B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Pr>
          <w:rFonts w:asciiTheme="minorEastAsia" w:eastAsiaTheme="minorEastAsia" w:hAnsiTheme="minorEastAsia" w:cstheme="minorEastAsia" w:hint="eastAsia"/>
          <w:color w:val="000000" w:themeColor="text1"/>
        </w:rPr>
        <w:t>、转换不适用基金：对于本公司后端收费模式基金以及中登系统基金不支持与其他基金之间相互转换；对于同一只基金不同份额之间不支持相互转换。</w:t>
      </w:r>
    </w:p>
    <w:p w:rsidR="007515BC" w:rsidRDefault="007515BC" w:rsidP="007515B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Pr>
          <w:rFonts w:asciiTheme="minorEastAsia" w:eastAsiaTheme="minorEastAsia" w:hAnsiTheme="minorEastAsia" w:cstheme="minorEastAsia" w:hint="eastAsia"/>
          <w:color w:val="000000" w:themeColor="text1"/>
        </w:rPr>
        <w:t>、本公司旗下所有基金的申购、定投费率折扣最低不低于1折，代销渠道在此基础上实施的费率优惠活动本公司不再进行限制，投资者通过代销渠道申购、定投本公司旗下适用基金（仅限前端收费模式），其申购、定投费率以代销渠道公布的费率优惠活动为准。优惠前申购费率为固定费用的，则按原费率执行，不再享有费率折扣。</w:t>
      </w:r>
    </w:p>
    <w:p w:rsidR="003C0367" w:rsidRDefault="007515BC" w:rsidP="007515B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6</w:t>
      </w:r>
      <w:r>
        <w:rPr>
          <w:rFonts w:asciiTheme="minorEastAsia" w:eastAsiaTheme="minorEastAsia" w:hAnsiTheme="minorEastAsia" w:cstheme="minorEastAsia" w:hint="eastAsia"/>
          <w:color w:val="000000" w:themeColor="text1"/>
        </w:rPr>
        <w:t>、本基金管理人其他基金如新增</w:t>
      </w:r>
      <w:r w:rsidR="00FA70F6">
        <w:rPr>
          <w:rFonts w:asciiTheme="minorEastAsia" w:eastAsiaTheme="minorEastAsia" w:hAnsiTheme="minorEastAsia" w:cstheme="minorEastAsia" w:hint="eastAsia"/>
          <w:color w:val="000000" w:themeColor="text1"/>
        </w:rPr>
        <w:t>广源达信</w:t>
      </w:r>
      <w:r>
        <w:rPr>
          <w:rFonts w:asciiTheme="minorEastAsia" w:eastAsiaTheme="minorEastAsia" w:hAnsiTheme="minorEastAsia" w:cstheme="minorEastAsia" w:hint="eastAsia"/>
          <w:color w:val="000000" w:themeColor="text1"/>
        </w:rPr>
        <w:t>为代销机构，将同时开通基金转换、基金定投及费率优惠，我司不再另行公告。</w:t>
      </w:r>
      <w:r>
        <w:rPr>
          <w:rFonts w:asciiTheme="minorEastAsia" w:eastAsiaTheme="minorEastAsia" w:hAnsiTheme="minorEastAsia" w:cstheme="minorEastAsia"/>
          <w:color w:val="000000" w:themeColor="text1"/>
        </w:rPr>
        <w:br/>
      </w:r>
    </w:p>
    <w:p w:rsidR="003C0367" w:rsidRDefault="0044337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四</w:t>
      </w:r>
      <w:r w:rsidR="00BC46D1">
        <w:rPr>
          <w:rFonts w:asciiTheme="minorEastAsia" w:eastAsiaTheme="minorEastAsia" w:hAnsiTheme="minorEastAsia" w:cstheme="minorEastAsia" w:hint="eastAsia"/>
          <w:color w:val="000000" w:themeColor="text1"/>
        </w:rPr>
        <w:t>、投资者可以通过以下方式咨询</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w:t>
      </w:r>
      <w:r w:rsidR="00560896">
        <w:rPr>
          <w:rFonts w:asciiTheme="minorEastAsia" w:eastAsiaTheme="minorEastAsia" w:hAnsiTheme="minorEastAsia" w:cstheme="minorEastAsia" w:hint="eastAsia"/>
          <w:color w:val="000000" w:themeColor="text1"/>
        </w:rPr>
        <w:t>广源达信</w:t>
      </w:r>
    </w:p>
    <w:p w:rsidR="003C0367" w:rsidRDefault="00645977" w:rsidP="00645977">
      <w:pPr>
        <w:pStyle w:val="a7"/>
        <w:spacing w:before="0" w:beforeAutospacing="0" w:after="0" w:afterAutospacing="0" w:line="360" w:lineRule="auto"/>
        <w:ind w:leftChars="200" w:left="420"/>
        <w:jc w:val="both"/>
        <w:rPr>
          <w:rFonts w:asciiTheme="minorEastAsia" w:eastAsiaTheme="minorEastAsia" w:hAnsiTheme="minorEastAsia" w:cstheme="minorEastAsia"/>
          <w:color w:val="000000" w:themeColor="text1"/>
        </w:rPr>
      </w:pPr>
      <w:r w:rsidRPr="00645977">
        <w:rPr>
          <w:rFonts w:asciiTheme="minorEastAsia" w:eastAsiaTheme="minorEastAsia" w:hAnsiTheme="minorEastAsia" w:cstheme="minorEastAsia"/>
          <w:color w:val="000000" w:themeColor="text1"/>
        </w:rPr>
        <w:t>客服电话：</w:t>
      </w:r>
      <w:r w:rsidR="0061597B" w:rsidRPr="0061597B">
        <w:t>400-616-7531</w:t>
      </w:r>
      <w:r w:rsidRPr="00645977">
        <w:rPr>
          <w:rFonts w:asciiTheme="minorEastAsia" w:eastAsiaTheme="minorEastAsia" w:hAnsiTheme="minorEastAsia" w:cstheme="minorEastAsia"/>
          <w:color w:val="000000" w:themeColor="text1"/>
        </w:rPr>
        <w:br/>
        <w:t>公司网址：</w:t>
      </w:r>
      <w:r w:rsidR="00080E75" w:rsidRPr="00080E75">
        <w:t>www.guangyuandaxin.com</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（2）本公司</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客服电话：400-6135-888</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公司网址：</w:t>
      </w:r>
      <w:hyperlink r:id="rId7" w:history="1">
        <w:r>
          <w:rPr>
            <w:rFonts w:asciiTheme="minorEastAsia" w:eastAsiaTheme="minorEastAsia" w:hAnsiTheme="minorEastAsia" w:cstheme="minorEastAsia" w:hint="eastAsia"/>
            <w:color w:val="000000" w:themeColor="text1"/>
          </w:rPr>
          <w:t>www.gefund.com.cn</w:t>
        </w:r>
      </w:hyperlink>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p w:rsidR="004431EA" w:rsidRPr="00987CED" w:rsidRDefault="004431EA" w:rsidP="00987CE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Pr="00987CED">
        <w:rPr>
          <w:rFonts w:asciiTheme="minorEastAsia" w:eastAsiaTheme="minorEastAsia" w:hAnsiTheme="minorEastAsia" w:cstheme="minorEastAsia"/>
          <w:color w:val="000000" w:themeColor="text1"/>
        </w:rPr>
        <w:t>投资者购买货币市场基金并不等于将资金作为存款存放在银行或存款类金融机构，本基金管理人不保证基金一定盈利，也不保证最低收益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 </w:t>
      </w:r>
    </w:p>
    <w:p w:rsidR="004431EA" w:rsidRPr="00987CED" w:rsidRDefault="004431EA" w:rsidP="00987CE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987CED">
        <w:rPr>
          <w:rFonts w:asciiTheme="minorEastAsia" w:eastAsiaTheme="minorEastAsia" w:hAnsiTheme="minorEastAsia" w:cstheme="minorEastAsia" w:hint="eastAsia"/>
          <w:color w:val="000000" w:themeColor="text1"/>
        </w:rPr>
        <w:t>特此公告。</w:t>
      </w:r>
    </w:p>
    <w:p w:rsidR="004431EA" w:rsidRDefault="004431EA" w:rsidP="004431EA">
      <w:pPr>
        <w:pStyle w:val="a7"/>
        <w:spacing w:before="0" w:beforeAutospacing="0" w:after="0" w:afterAutospacing="0" w:line="360" w:lineRule="auto"/>
        <w:jc w:val="both"/>
        <w:rPr>
          <w:rFonts w:asciiTheme="minorEastAsia" w:eastAsiaTheme="minorEastAsia" w:hAnsiTheme="minorEastAsia" w:cstheme="minorEastAsia"/>
          <w:color w:val="000000" w:themeColor="text1"/>
        </w:rPr>
      </w:pPr>
    </w:p>
    <w:p w:rsidR="004431EA" w:rsidRDefault="004431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3C0367" w:rsidRDefault="00BC46D1">
      <w:pPr>
        <w:pStyle w:val="a7"/>
        <w:spacing w:before="0" w:beforeAutospacing="0" w:after="0" w:afterAutospacing="0" w:line="360" w:lineRule="auto"/>
        <w:ind w:firstLineChars="2225" w:firstLine="5340"/>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金鹰基金管理有限公司</w:t>
      </w:r>
    </w:p>
    <w:p w:rsidR="003C0367" w:rsidRDefault="00BC46D1">
      <w:pPr>
        <w:pStyle w:val="a7"/>
        <w:spacing w:before="0" w:beforeAutospacing="0" w:after="0" w:afterAutospacing="0" w:line="360" w:lineRule="auto"/>
        <w:ind w:firstLineChars="2325" w:firstLine="5580"/>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202</w:t>
      </w:r>
      <w:r w:rsidR="004431EA">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年</w:t>
      </w:r>
      <w:r w:rsidR="0058254A">
        <w:rPr>
          <w:rFonts w:asciiTheme="minorEastAsia" w:eastAsiaTheme="minorEastAsia" w:hAnsiTheme="minorEastAsia" w:cstheme="minorEastAsia"/>
          <w:color w:val="000000" w:themeColor="text1"/>
        </w:rPr>
        <w:t>6</w:t>
      </w:r>
      <w:r>
        <w:rPr>
          <w:rFonts w:asciiTheme="minorEastAsia" w:eastAsiaTheme="minorEastAsia" w:hAnsiTheme="minorEastAsia" w:cstheme="minorEastAsia" w:hint="eastAsia"/>
          <w:color w:val="000000" w:themeColor="text1"/>
        </w:rPr>
        <w:t>月</w:t>
      </w:r>
      <w:r w:rsidR="0058254A">
        <w:rPr>
          <w:rFonts w:asciiTheme="minorEastAsia" w:eastAsiaTheme="minorEastAsia" w:hAnsiTheme="minorEastAsia" w:cstheme="minorEastAsia"/>
          <w:color w:val="000000" w:themeColor="text1"/>
        </w:rPr>
        <w:t>10</w:t>
      </w:r>
      <w:r>
        <w:rPr>
          <w:rFonts w:asciiTheme="minorEastAsia" w:eastAsiaTheme="minorEastAsia" w:hAnsiTheme="minorEastAsia" w:cstheme="minorEastAsia" w:hint="eastAsia"/>
          <w:color w:val="000000" w:themeColor="text1"/>
        </w:rPr>
        <w:t>日</w:t>
      </w:r>
    </w:p>
    <w:p w:rsidR="003C0367" w:rsidRDefault="003C0367">
      <w:pPr>
        <w:spacing w:line="440" w:lineRule="exact"/>
        <w:ind w:firstLineChars="200" w:firstLine="480"/>
        <w:rPr>
          <w:rFonts w:ascii="宋体" w:eastAsia="宋体" w:hAnsi="宋体"/>
          <w:sz w:val="24"/>
          <w:szCs w:val="24"/>
        </w:rPr>
      </w:pPr>
    </w:p>
    <w:sectPr w:rsidR="003C0367" w:rsidSect="00673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5B" w:rsidRDefault="0079605B" w:rsidP="004431EA">
      <w:r>
        <w:separator/>
      </w:r>
    </w:p>
  </w:endnote>
  <w:endnote w:type="continuationSeparator" w:id="0">
    <w:p w:rsidR="0079605B" w:rsidRDefault="0079605B" w:rsidP="00443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5B" w:rsidRDefault="0079605B" w:rsidP="004431EA">
      <w:r>
        <w:separator/>
      </w:r>
    </w:p>
  </w:footnote>
  <w:footnote w:type="continuationSeparator" w:id="0">
    <w:p w:rsidR="0079605B" w:rsidRDefault="0079605B" w:rsidP="00443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FF1"/>
    <w:rsid w:val="000236AD"/>
    <w:rsid w:val="00043B69"/>
    <w:rsid w:val="00080E75"/>
    <w:rsid w:val="00082932"/>
    <w:rsid w:val="00094FFD"/>
    <w:rsid w:val="000A2CD7"/>
    <w:rsid w:val="000B0085"/>
    <w:rsid w:val="0010411B"/>
    <w:rsid w:val="0012266B"/>
    <w:rsid w:val="00123774"/>
    <w:rsid w:val="00152B4E"/>
    <w:rsid w:val="00156AA2"/>
    <w:rsid w:val="00156DFD"/>
    <w:rsid w:val="001606B4"/>
    <w:rsid w:val="001B10C4"/>
    <w:rsid w:val="001D1370"/>
    <w:rsid w:val="001E0E25"/>
    <w:rsid w:val="001F6568"/>
    <w:rsid w:val="00201AEC"/>
    <w:rsid w:val="0022198E"/>
    <w:rsid w:val="002373EB"/>
    <w:rsid w:val="00245E19"/>
    <w:rsid w:val="00256323"/>
    <w:rsid w:val="00262396"/>
    <w:rsid w:val="00274CEF"/>
    <w:rsid w:val="0028503F"/>
    <w:rsid w:val="002A1E71"/>
    <w:rsid w:val="002E1918"/>
    <w:rsid w:val="002E5236"/>
    <w:rsid w:val="003324FC"/>
    <w:rsid w:val="00347FB3"/>
    <w:rsid w:val="0035205F"/>
    <w:rsid w:val="00352CAA"/>
    <w:rsid w:val="00384573"/>
    <w:rsid w:val="0039408B"/>
    <w:rsid w:val="003A5BBF"/>
    <w:rsid w:val="003A752F"/>
    <w:rsid w:val="003B28F9"/>
    <w:rsid w:val="003B402D"/>
    <w:rsid w:val="003C0367"/>
    <w:rsid w:val="003E7C4D"/>
    <w:rsid w:val="004431EA"/>
    <w:rsid w:val="0044337E"/>
    <w:rsid w:val="00445516"/>
    <w:rsid w:val="00452B10"/>
    <w:rsid w:val="004615D4"/>
    <w:rsid w:val="004A6463"/>
    <w:rsid w:val="004B3872"/>
    <w:rsid w:val="004B5CFE"/>
    <w:rsid w:val="004D3860"/>
    <w:rsid w:val="004E2511"/>
    <w:rsid w:val="004E2EDC"/>
    <w:rsid w:val="004E4914"/>
    <w:rsid w:val="004F46CF"/>
    <w:rsid w:val="0050294A"/>
    <w:rsid w:val="00507069"/>
    <w:rsid w:val="0051668F"/>
    <w:rsid w:val="00520517"/>
    <w:rsid w:val="005234A7"/>
    <w:rsid w:val="0055739B"/>
    <w:rsid w:val="00560896"/>
    <w:rsid w:val="0058254A"/>
    <w:rsid w:val="0058651A"/>
    <w:rsid w:val="00587D07"/>
    <w:rsid w:val="005D46A2"/>
    <w:rsid w:val="005E11DE"/>
    <w:rsid w:val="005F5AC7"/>
    <w:rsid w:val="0061597B"/>
    <w:rsid w:val="006213A2"/>
    <w:rsid w:val="00630EA8"/>
    <w:rsid w:val="0064227C"/>
    <w:rsid w:val="00645977"/>
    <w:rsid w:val="00661FAB"/>
    <w:rsid w:val="00663FF1"/>
    <w:rsid w:val="00667248"/>
    <w:rsid w:val="00667C54"/>
    <w:rsid w:val="00673AC6"/>
    <w:rsid w:val="006C2205"/>
    <w:rsid w:val="006C4C90"/>
    <w:rsid w:val="006E6981"/>
    <w:rsid w:val="006E75B3"/>
    <w:rsid w:val="00700920"/>
    <w:rsid w:val="007515BC"/>
    <w:rsid w:val="00761AF8"/>
    <w:rsid w:val="00791DE0"/>
    <w:rsid w:val="0079605B"/>
    <w:rsid w:val="007D191F"/>
    <w:rsid w:val="007D5543"/>
    <w:rsid w:val="00807657"/>
    <w:rsid w:val="008379A9"/>
    <w:rsid w:val="00843ED4"/>
    <w:rsid w:val="0084798D"/>
    <w:rsid w:val="008665A7"/>
    <w:rsid w:val="00870734"/>
    <w:rsid w:val="008830D5"/>
    <w:rsid w:val="00893A25"/>
    <w:rsid w:val="008A12CF"/>
    <w:rsid w:val="008C0B77"/>
    <w:rsid w:val="008D1395"/>
    <w:rsid w:val="008D6784"/>
    <w:rsid w:val="00912F7E"/>
    <w:rsid w:val="00951C10"/>
    <w:rsid w:val="00987CED"/>
    <w:rsid w:val="009B3CEB"/>
    <w:rsid w:val="009D555F"/>
    <w:rsid w:val="009E02F3"/>
    <w:rsid w:val="009F686B"/>
    <w:rsid w:val="009F7283"/>
    <w:rsid w:val="00A04415"/>
    <w:rsid w:val="00A20582"/>
    <w:rsid w:val="00A61366"/>
    <w:rsid w:val="00A67BF5"/>
    <w:rsid w:val="00A84E72"/>
    <w:rsid w:val="00AB6894"/>
    <w:rsid w:val="00AD29E2"/>
    <w:rsid w:val="00AE6EC5"/>
    <w:rsid w:val="00B12021"/>
    <w:rsid w:val="00B2112B"/>
    <w:rsid w:val="00B36FC8"/>
    <w:rsid w:val="00B465CA"/>
    <w:rsid w:val="00B517F5"/>
    <w:rsid w:val="00B645A3"/>
    <w:rsid w:val="00B70CC7"/>
    <w:rsid w:val="00B92683"/>
    <w:rsid w:val="00BB51F9"/>
    <w:rsid w:val="00BB6CB8"/>
    <w:rsid w:val="00BC46D1"/>
    <w:rsid w:val="00BF3516"/>
    <w:rsid w:val="00C800E8"/>
    <w:rsid w:val="00CB301B"/>
    <w:rsid w:val="00CB3AF0"/>
    <w:rsid w:val="00CC4522"/>
    <w:rsid w:val="00CD07A6"/>
    <w:rsid w:val="00CD3668"/>
    <w:rsid w:val="00CD39F6"/>
    <w:rsid w:val="00CE6D1D"/>
    <w:rsid w:val="00CF7230"/>
    <w:rsid w:val="00D1361F"/>
    <w:rsid w:val="00D25912"/>
    <w:rsid w:val="00D3098E"/>
    <w:rsid w:val="00D3382D"/>
    <w:rsid w:val="00D4254A"/>
    <w:rsid w:val="00D859A5"/>
    <w:rsid w:val="00DB68D5"/>
    <w:rsid w:val="00DD2D2D"/>
    <w:rsid w:val="00DE51B0"/>
    <w:rsid w:val="00DE659A"/>
    <w:rsid w:val="00DE6A02"/>
    <w:rsid w:val="00E066EC"/>
    <w:rsid w:val="00E21968"/>
    <w:rsid w:val="00E32202"/>
    <w:rsid w:val="00E5266D"/>
    <w:rsid w:val="00E701A5"/>
    <w:rsid w:val="00E824C5"/>
    <w:rsid w:val="00EB12B5"/>
    <w:rsid w:val="00EB56D1"/>
    <w:rsid w:val="00EB6A7B"/>
    <w:rsid w:val="00EB7785"/>
    <w:rsid w:val="00EC32B0"/>
    <w:rsid w:val="00EC6CDA"/>
    <w:rsid w:val="00EE3AD4"/>
    <w:rsid w:val="00EE751B"/>
    <w:rsid w:val="00F06DFC"/>
    <w:rsid w:val="00F07A93"/>
    <w:rsid w:val="00F20AF3"/>
    <w:rsid w:val="00F35F73"/>
    <w:rsid w:val="00F549A7"/>
    <w:rsid w:val="00F825BF"/>
    <w:rsid w:val="00FA70F6"/>
    <w:rsid w:val="00FC68FC"/>
    <w:rsid w:val="00FD2BFB"/>
    <w:rsid w:val="00FD48C1"/>
    <w:rsid w:val="00FE5759"/>
    <w:rsid w:val="00FE6DCA"/>
    <w:rsid w:val="07546F58"/>
    <w:rsid w:val="0AEF0997"/>
    <w:rsid w:val="0C2937B7"/>
    <w:rsid w:val="0CC81443"/>
    <w:rsid w:val="134F3B8A"/>
    <w:rsid w:val="1A2C348D"/>
    <w:rsid w:val="1B6A3FA7"/>
    <w:rsid w:val="200E6B99"/>
    <w:rsid w:val="20927853"/>
    <w:rsid w:val="272F68ED"/>
    <w:rsid w:val="27E80730"/>
    <w:rsid w:val="29E4264E"/>
    <w:rsid w:val="2B3472CE"/>
    <w:rsid w:val="328034C8"/>
    <w:rsid w:val="36223193"/>
    <w:rsid w:val="39A20AB4"/>
    <w:rsid w:val="44E27697"/>
    <w:rsid w:val="487D4724"/>
    <w:rsid w:val="52AD1C3D"/>
    <w:rsid w:val="54350F68"/>
    <w:rsid w:val="55270981"/>
    <w:rsid w:val="59801600"/>
    <w:rsid w:val="5A0D783B"/>
    <w:rsid w:val="61240D66"/>
    <w:rsid w:val="6D065933"/>
    <w:rsid w:val="6DB10E18"/>
    <w:rsid w:val="73463EB9"/>
    <w:rsid w:val="738976E4"/>
    <w:rsid w:val="74DE6CAA"/>
    <w:rsid w:val="7CCD6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C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45E19"/>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673AC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73AC6"/>
    <w:pPr>
      <w:jc w:val="left"/>
    </w:pPr>
  </w:style>
  <w:style w:type="paragraph" w:styleId="a4">
    <w:name w:val="Balloon Text"/>
    <w:basedOn w:val="a"/>
    <w:link w:val="Char0"/>
    <w:uiPriority w:val="99"/>
    <w:semiHidden/>
    <w:unhideWhenUsed/>
    <w:qFormat/>
    <w:rsid w:val="00673AC6"/>
    <w:rPr>
      <w:sz w:val="18"/>
      <w:szCs w:val="18"/>
    </w:rPr>
  </w:style>
  <w:style w:type="paragraph" w:styleId="a5">
    <w:name w:val="footer"/>
    <w:basedOn w:val="a"/>
    <w:link w:val="Char1"/>
    <w:uiPriority w:val="99"/>
    <w:unhideWhenUsed/>
    <w:qFormat/>
    <w:rsid w:val="00673AC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73AC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73AC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73AC6"/>
    <w:rPr>
      <w:b/>
      <w:bCs/>
    </w:rPr>
  </w:style>
  <w:style w:type="character" w:styleId="a9">
    <w:name w:val="FollowedHyperlink"/>
    <w:basedOn w:val="a0"/>
    <w:uiPriority w:val="99"/>
    <w:semiHidden/>
    <w:unhideWhenUsed/>
    <w:qFormat/>
    <w:rsid w:val="00673AC6"/>
    <w:rPr>
      <w:color w:val="4C4C4C"/>
      <w:u w:val="none"/>
    </w:rPr>
  </w:style>
  <w:style w:type="character" w:styleId="aa">
    <w:name w:val="Emphasis"/>
    <w:basedOn w:val="a0"/>
    <w:uiPriority w:val="20"/>
    <w:qFormat/>
    <w:rsid w:val="00673AC6"/>
    <w:rPr>
      <w:i/>
      <w:iCs/>
    </w:rPr>
  </w:style>
  <w:style w:type="character" w:styleId="HTML">
    <w:name w:val="HTML Acronym"/>
    <w:basedOn w:val="a0"/>
    <w:uiPriority w:val="99"/>
    <w:semiHidden/>
    <w:unhideWhenUsed/>
    <w:qFormat/>
    <w:rsid w:val="00673AC6"/>
  </w:style>
  <w:style w:type="character" w:styleId="ab">
    <w:name w:val="Hyperlink"/>
    <w:basedOn w:val="a0"/>
    <w:uiPriority w:val="99"/>
    <w:unhideWhenUsed/>
    <w:qFormat/>
    <w:rsid w:val="00673AC6"/>
    <w:rPr>
      <w:color w:val="4C4C4C"/>
      <w:u w:val="none"/>
    </w:rPr>
  </w:style>
  <w:style w:type="character" w:styleId="ac">
    <w:name w:val="annotation reference"/>
    <w:basedOn w:val="a0"/>
    <w:uiPriority w:val="99"/>
    <w:semiHidden/>
    <w:unhideWhenUsed/>
    <w:qFormat/>
    <w:rsid w:val="00673AC6"/>
    <w:rPr>
      <w:sz w:val="21"/>
      <w:szCs w:val="21"/>
    </w:rPr>
  </w:style>
  <w:style w:type="character" w:customStyle="1" w:styleId="3Char">
    <w:name w:val="标题 3 Char"/>
    <w:basedOn w:val="a0"/>
    <w:link w:val="3"/>
    <w:uiPriority w:val="9"/>
    <w:qFormat/>
    <w:rsid w:val="00673AC6"/>
    <w:rPr>
      <w:rFonts w:ascii="宋体" w:eastAsia="宋体" w:hAnsi="宋体" w:cs="宋体"/>
      <w:b/>
      <w:bCs/>
      <w:kern w:val="0"/>
      <w:sz w:val="27"/>
      <w:szCs w:val="27"/>
    </w:rPr>
  </w:style>
  <w:style w:type="paragraph" w:styleId="ad">
    <w:name w:val="List Paragraph"/>
    <w:basedOn w:val="a"/>
    <w:uiPriority w:val="34"/>
    <w:qFormat/>
    <w:rsid w:val="00673AC6"/>
    <w:pPr>
      <w:ind w:firstLineChars="200" w:firstLine="420"/>
    </w:pPr>
  </w:style>
  <w:style w:type="character" w:customStyle="1" w:styleId="Char2">
    <w:name w:val="页眉 Char"/>
    <w:basedOn w:val="a0"/>
    <w:link w:val="a6"/>
    <w:uiPriority w:val="99"/>
    <w:qFormat/>
    <w:rsid w:val="00673AC6"/>
    <w:rPr>
      <w:sz w:val="18"/>
      <w:szCs w:val="18"/>
    </w:rPr>
  </w:style>
  <w:style w:type="character" w:customStyle="1" w:styleId="Char1">
    <w:name w:val="页脚 Char"/>
    <w:basedOn w:val="a0"/>
    <w:link w:val="a5"/>
    <w:uiPriority w:val="99"/>
    <w:qFormat/>
    <w:rsid w:val="00673AC6"/>
    <w:rPr>
      <w:sz w:val="18"/>
      <w:szCs w:val="18"/>
    </w:rPr>
  </w:style>
  <w:style w:type="character" w:customStyle="1" w:styleId="span03">
    <w:name w:val="span03"/>
    <w:basedOn w:val="a0"/>
    <w:qFormat/>
    <w:rsid w:val="00673AC6"/>
  </w:style>
  <w:style w:type="character" w:customStyle="1" w:styleId="span02">
    <w:name w:val="span02"/>
    <w:basedOn w:val="a0"/>
    <w:qFormat/>
    <w:rsid w:val="00673AC6"/>
    <w:rPr>
      <w:sz w:val="19"/>
      <w:szCs w:val="19"/>
    </w:rPr>
  </w:style>
  <w:style w:type="character" w:customStyle="1" w:styleId="span021">
    <w:name w:val="span021"/>
    <w:basedOn w:val="a0"/>
    <w:qFormat/>
    <w:rsid w:val="00673AC6"/>
  </w:style>
  <w:style w:type="character" w:customStyle="1" w:styleId="hover46">
    <w:name w:val="hover46"/>
    <w:basedOn w:val="a0"/>
    <w:qFormat/>
    <w:rsid w:val="00673AC6"/>
    <w:rPr>
      <w:shd w:val="clear" w:color="auto" w:fill="FEF2E7"/>
    </w:rPr>
  </w:style>
  <w:style w:type="character" w:customStyle="1" w:styleId="span3">
    <w:name w:val="span3"/>
    <w:basedOn w:val="a0"/>
    <w:qFormat/>
    <w:rsid w:val="00673AC6"/>
  </w:style>
  <w:style w:type="character" w:customStyle="1" w:styleId="span01">
    <w:name w:val="span01"/>
    <w:basedOn w:val="a0"/>
    <w:qFormat/>
    <w:rsid w:val="00673AC6"/>
    <w:rPr>
      <w:sz w:val="19"/>
      <w:szCs w:val="19"/>
    </w:rPr>
  </w:style>
  <w:style w:type="character" w:customStyle="1" w:styleId="span011">
    <w:name w:val="span011"/>
    <w:basedOn w:val="a0"/>
    <w:qFormat/>
    <w:rsid w:val="00673AC6"/>
  </w:style>
  <w:style w:type="character" w:customStyle="1" w:styleId="span4">
    <w:name w:val="span4"/>
    <w:basedOn w:val="a0"/>
    <w:qFormat/>
    <w:rsid w:val="00673AC6"/>
  </w:style>
  <w:style w:type="character" w:customStyle="1" w:styleId="on26">
    <w:name w:val="on26"/>
    <w:basedOn w:val="a0"/>
    <w:qFormat/>
    <w:rsid w:val="00673AC6"/>
    <w:rPr>
      <w:color w:val="F88413"/>
    </w:rPr>
  </w:style>
  <w:style w:type="character" w:customStyle="1" w:styleId="on27">
    <w:name w:val="on27"/>
    <w:basedOn w:val="a0"/>
    <w:qFormat/>
    <w:rsid w:val="00673AC6"/>
  </w:style>
  <w:style w:type="character" w:customStyle="1" w:styleId="icon2">
    <w:name w:val="icon2"/>
    <w:basedOn w:val="a0"/>
    <w:qFormat/>
    <w:rsid w:val="00673AC6"/>
  </w:style>
  <w:style w:type="character" w:customStyle="1" w:styleId="span1">
    <w:name w:val="span1"/>
    <w:basedOn w:val="a0"/>
    <w:qFormat/>
    <w:rsid w:val="00673AC6"/>
  </w:style>
  <w:style w:type="character" w:customStyle="1" w:styleId="span2">
    <w:name w:val="span2"/>
    <w:basedOn w:val="a0"/>
    <w:qFormat/>
    <w:rsid w:val="00673AC6"/>
  </w:style>
  <w:style w:type="character" w:customStyle="1" w:styleId="icon">
    <w:name w:val="icon"/>
    <w:basedOn w:val="a0"/>
    <w:qFormat/>
    <w:rsid w:val="00673AC6"/>
  </w:style>
  <w:style w:type="character" w:customStyle="1" w:styleId="span031">
    <w:name w:val="span031"/>
    <w:basedOn w:val="a0"/>
    <w:qFormat/>
    <w:rsid w:val="00673AC6"/>
  </w:style>
  <w:style w:type="character" w:customStyle="1" w:styleId="hover47">
    <w:name w:val="hover47"/>
    <w:basedOn w:val="a0"/>
    <w:qFormat/>
    <w:rsid w:val="00673AC6"/>
    <w:rPr>
      <w:shd w:val="clear" w:color="auto" w:fill="FEF2E7"/>
    </w:rPr>
  </w:style>
  <w:style w:type="character" w:customStyle="1" w:styleId="font21">
    <w:name w:val="font21"/>
    <w:basedOn w:val="a0"/>
    <w:qFormat/>
    <w:rsid w:val="00673AC6"/>
    <w:rPr>
      <w:rFonts w:ascii="宋体" w:eastAsia="宋体" w:hAnsi="宋体" w:cs="宋体" w:hint="eastAsia"/>
      <w:color w:val="000000"/>
      <w:sz w:val="20"/>
      <w:szCs w:val="20"/>
      <w:u w:val="none"/>
    </w:rPr>
  </w:style>
  <w:style w:type="character" w:customStyle="1" w:styleId="font11">
    <w:name w:val="font11"/>
    <w:basedOn w:val="a0"/>
    <w:qFormat/>
    <w:rsid w:val="00673AC6"/>
    <w:rPr>
      <w:rFonts w:ascii="Arial" w:hAnsi="Arial" w:cs="Arial"/>
      <w:color w:val="4C4C4C"/>
      <w:sz w:val="21"/>
      <w:szCs w:val="21"/>
      <w:u w:val="none"/>
    </w:rPr>
  </w:style>
  <w:style w:type="character" w:customStyle="1" w:styleId="fqrsyliswk">
    <w:name w:val="fqrsyl_iswk"/>
    <w:basedOn w:val="a0"/>
    <w:qFormat/>
    <w:rsid w:val="00673AC6"/>
  </w:style>
  <w:style w:type="character" w:customStyle="1" w:styleId="fmwfsyiswk">
    <w:name w:val="fmwfsy_iswk"/>
    <w:basedOn w:val="a0"/>
    <w:qFormat/>
    <w:rsid w:val="00673AC6"/>
  </w:style>
  <w:style w:type="character" w:customStyle="1" w:styleId="on">
    <w:name w:val="on"/>
    <w:basedOn w:val="a0"/>
    <w:qFormat/>
    <w:rsid w:val="00673AC6"/>
  </w:style>
  <w:style w:type="character" w:customStyle="1" w:styleId="on1">
    <w:name w:val="on1"/>
    <w:basedOn w:val="a0"/>
    <w:qFormat/>
    <w:rsid w:val="00673AC6"/>
    <w:rPr>
      <w:color w:val="F88413"/>
    </w:rPr>
  </w:style>
  <w:style w:type="character" w:customStyle="1" w:styleId="Char">
    <w:name w:val="批注文字 Char"/>
    <w:basedOn w:val="a0"/>
    <w:link w:val="a3"/>
    <w:uiPriority w:val="99"/>
    <w:semiHidden/>
    <w:qFormat/>
    <w:rsid w:val="00673AC6"/>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673AC6"/>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673AC6"/>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245E19"/>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w:divs>
    <w:div w:id="304512733">
      <w:bodyDiv w:val="1"/>
      <w:marLeft w:val="0"/>
      <w:marRight w:val="0"/>
      <w:marTop w:val="0"/>
      <w:marBottom w:val="0"/>
      <w:divBdr>
        <w:top w:val="none" w:sz="0" w:space="0" w:color="auto"/>
        <w:left w:val="none" w:sz="0" w:space="0" w:color="auto"/>
        <w:bottom w:val="none" w:sz="0" w:space="0" w:color="auto"/>
        <w:right w:val="none" w:sz="0" w:space="0" w:color="auto"/>
      </w:divBdr>
    </w:div>
    <w:div w:id="347566617">
      <w:bodyDiv w:val="1"/>
      <w:marLeft w:val="0"/>
      <w:marRight w:val="0"/>
      <w:marTop w:val="0"/>
      <w:marBottom w:val="0"/>
      <w:divBdr>
        <w:top w:val="none" w:sz="0" w:space="0" w:color="auto"/>
        <w:left w:val="none" w:sz="0" w:space="0" w:color="auto"/>
        <w:bottom w:val="none" w:sz="0" w:space="0" w:color="auto"/>
        <w:right w:val="none" w:sz="0" w:space="0" w:color="auto"/>
      </w:divBdr>
    </w:div>
    <w:div w:id="414404134">
      <w:bodyDiv w:val="1"/>
      <w:marLeft w:val="0"/>
      <w:marRight w:val="0"/>
      <w:marTop w:val="0"/>
      <w:marBottom w:val="0"/>
      <w:divBdr>
        <w:top w:val="none" w:sz="0" w:space="0" w:color="auto"/>
        <w:left w:val="none" w:sz="0" w:space="0" w:color="auto"/>
        <w:bottom w:val="none" w:sz="0" w:space="0" w:color="auto"/>
        <w:right w:val="none" w:sz="0" w:space="0" w:color="auto"/>
      </w:divBdr>
    </w:div>
    <w:div w:id="513495645">
      <w:bodyDiv w:val="1"/>
      <w:marLeft w:val="0"/>
      <w:marRight w:val="0"/>
      <w:marTop w:val="0"/>
      <w:marBottom w:val="0"/>
      <w:divBdr>
        <w:top w:val="none" w:sz="0" w:space="0" w:color="auto"/>
        <w:left w:val="none" w:sz="0" w:space="0" w:color="auto"/>
        <w:bottom w:val="none" w:sz="0" w:space="0" w:color="auto"/>
        <w:right w:val="none" w:sz="0" w:space="0" w:color="auto"/>
      </w:divBdr>
    </w:div>
    <w:div w:id="534850187">
      <w:bodyDiv w:val="1"/>
      <w:marLeft w:val="0"/>
      <w:marRight w:val="0"/>
      <w:marTop w:val="0"/>
      <w:marBottom w:val="0"/>
      <w:divBdr>
        <w:top w:val="none" w:sz="0" w:space="0" w:color="auto"/>
        <w:left w:val="none" w:sz="0" w:space="0" w:color="auto"/>
        <w:bottom w:val="none" w:sz="0" w:space="0" w:color="auto"/>
        <w:right w:val="none" w:sz="0" w:space="0" w:color="auto"/>
      </w:divBdr>
    </w:div>
    <w:div w:id="906375780">
      <w:bodyDiv w:val="1"/>
      <w:marLeft w:val="0"/>
      <w:marRight w:val="0"/>
      <w:marTop w:val="0"/>
      <w:marBottom w:val="0"/>
      <w:divBdr>
        <w:top w:val="none" w:sz="0" w:space="0" w:color="auto"/>
        <w:left w:val="none" w:sz="0" w:space="0" w:color="auto"/>
        <w:bottom w:val="none" w:sz="0" w:space="0" w:color="auto"/>
        <w:right w:val="none" w:sz="0" w:space="0" w:color="auto"/>
      </w:divBdr>
    </w:div>
    <w:div w:id="934215792">
      <w:bodyDiv w:val="1"/>
      <w:marLeft w:val="0"/>
      <w:marRight w:val="0"/>
      <w:marTop w:val="0"/>
      <w:marBottom w:val="0"/>
      <w:divBdr>
        <w:top w:val="none" w:sz="0" w:space="0" w:color="auto"/>
        <w:left w:val="none" w:sz="0" w:space="0" w:color="auto"/>
        <w:bottom w:val="none" w:sz="0" w:space="0" w:color="auto"/>
        <w:right w:val="none" w:sz="0" w:space="0" w:color="auto"/>
      </w:divBdr>
    </w:div>
    <w:div w:id="1053383019">
      <w:bodyDiv w:val="1"/>
      <w:marLeft w:val="0"/>
      <w:marRight w:val="0"/>
      <w:marTop w:val="0"/>
      <w:marBottom w:val="0"/>
      <w:divBdr>
        <w:top w:val="none" w:sz="0" w:space="0" w:color="auto"/>
        <w:left w:val="none" w:sz="0" w:space="0" w:color="auto"/>
        <w:bottom w:val="none" w:sz="0" w:space="0" w:color="auto"/>
        <w:right w:val="none" w:sz="0" w:space="0" w:color="auto"/>
      </w:divBdr>
    </w:div>
    <w:div w:id="1058625669">
      <w:bodyDiv w:val="1"/>
      <w:marLeft w:val="0"/>
      <w:marRight w:val="0"/>
      <w:marTop w:val="0"/>
      <w:marBottom w:val="0"/>
      <w:divBdr>
        <w:top w:val="none" w:sz="0" w:space="0" w:color="auto"/>
        <w:left w:val="none" w:sz="0" w:space="0" w:color="auto"/>
        <w:bottom w:val="none" w:sz="0" w:space="0" w:color="auto"/>
        <w:right w:val="none" w:sz="0" w:space="0" w:color="auto"/>
      </w:divBdr>
    </w:div>
    <w:div w:id="1667979671">
      <w:bodyDiv w:val="1"/>
      <w:marLeft w:val="0"/>
      <w:marRight w:val="0"/>
      <w:marTop w:val="0"/>
      <w:marBottom w:val="0"/>
      <w:divBdr>
        <w:top w:val="none" w:sz="0" w:space="0" w:color="auto"/>
        <w:left w:val="none" w:sz="0" w:space="0" w:color="auto"/>
        <w:bottom w:val="none" w:sz="0" w:space="0" w:color="auto"/>
        <w:right w:val="none" w:sz="0" w:space="0" w:color="auto"/>
      </w:divBdr>
    </w:div>
    <w:div w:id="1743092830">
      <w:bodyDiv w:val="1"/>
      <w:marLeft w:val="0"/>
      <w:marRight w:val="0"/>
      <w:marTop w:val="0"/>
      <w:marBottom w:val="0"/>
      <w:divBdr>
        <w:top w:val="none" w:sz="0" w:space="0" w:color="auto"/>
        <w:left w:val="none" w:sz="0" w:space="0" w:color="auto"/>
        <w:bottom w:val="none" w:sz="0" w:space="0" w:color="auto"/>
        <w:right w:val="none" w:sz="0" w:space="0" w:color="auto"/>
      </w:divBdr>
    </w:div>
    <w:div w:id="1837762194">
      <w:bodyDiv w:val="1"/>
      <w:marLeft w:val="0"/>
      <w:marRight w:val="0"/>
      <w:marTop w:val="0"/>
      <w:marBottom w:val="0"/>
      <w:divBdr>
        <w:top w:val="none" w:sz="0" w:space="0" w:color="auto"/>
        <w:left w:val="none" w:sz="0" w:space="0" w:color="auto"/>
        <w:bottom w:val="none" w:sz="0" w:space="0" w:color="auto"/>
        <w:right w:val="none" w:sz="0" w:space="0" w:color="auto"/>
      </w:divBdr>
    </w:div>
    <w:div w:id="193909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3017</Characters>
  <Application>Microsoft Office Word</Application>
  <DocSecurity>4</DocSecurity>
  <Lines>25</Lines>
  <Paragraphs>7</Paragraphs>
  <ScaleCrop>false</ScaleCrop>
  <Company>Microsoft</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邱文辉</dc:creator>
  <cp:lastModifiedBy>ZHONGM</cp:lastModifiedBy>
  <cp:revision>2</cp:revision>
  <cp:lastPrinted>2020-05-25T08:32:00Z</cp:lastPrinted>
  <dcterms:created xsi:type="dcterms:W3CDTF">2021-06-09T16:20:00Z</dcterms:created>
  <dcterms:modified xsi:type="dcterms:W3CDTF">2021-06-09T16:20:00Z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