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5C" w:rsidRPr="001E7589" w:rsidRDefault="00A10847" w:rsidP="001E7589">
      <w:pPr>
        <w:pStyle w:val="Default"/>
        <w:jc w:val="center"/>
        <w:rPr>
          <w:rFonts w:ascii="宋体" w:eastAsia="宋体" w:hAnsi="宋体"/>
          <w:b/>
          <w:bCs/>
          <w:sz w:val="28"/>
          <w:szCs w:val="28"/>
        </w:rPr>
      </w:pPr>
      <w:r w:rsidRPr="001E7589">
        <w:rPr>
          <w:rFonts w:ascii="宋体" w:eastAsia="宋体" w:hAnsi="宋体" w:hint="eastAsia"/>
          <w:b/>
          <w:bCs/>
          <w:sz w:val="28"/>
          <w:szCs w:val="28"/>
        </w:rPr>
        <w:t>关于泰达宏利基金管理有限公司旗下部分基金</w:t>
      </w:r>
      <w:r w:rsidR="00766924">
        <w:rPr>
          <w:rFonts w:ascii="宋体" w:eastAsia="宋体" w:hAnsi="宋体" w:hint="eastAsia"/>
          <w:b/>
          <w:bCs/>
          <w:sz w:val="28"/>
          <w:szCs w:val="28"/>
        </w:rPr>
        <w:t>新增</w:t>
      </w:r>
      <w:r w:rsidR="006B1474">
        <w:rPr>
          <w:rFonts w:ascii="宋体" w:eastAsia="宋体" w:hAnsi="宋体" w:hint="eastAsia"/>
          <w:b/>
          <w:bCs/>
          <w:sz w:val="28"/>
          <w:szCs w:val="28"/>
        </w:rPr>
        <w:t>东莞证券</w:t>
      </w:r>
      <w:r w:rsidRPr="001E7589">
        <w:rPr>
          <w:rFonts w:ascii="宋体" w:eastAsia="宋体" w:hAnsi="宋体" w:hint="eastAsia"/>
          <w:b/>
          <w:bCs/>
          <w:sz w:val="28"/>
          <w:szCs w:val="28"/>
        </w:rPr>
        <w:t>股份有限公司</w:t>
      </w:r>
      <w:r w:rsidR="00766924">
        <w:rPr>
          <w:rFonts w:ascii="宋体" w:eastAsia="宋体" w:hAnsi="宋体" w:hint="eastAsia"/>
          <w:b/>
          <w:bCs/>
          <w:sz w:val="28"/>
          <w:szCs w:val="28"/>
        </w:rPr>
        <w:t>为销售机构</w:t>
      </w:r>
      <w:r w:rsidRPr="001E7589">
        <w:rPr>
          <w:rFonts w:ascii="宋体" w:eastAsia="宋体" w:hAnsi="宋体" w:hint="eastAsia"/>
          <w:b/>
          <w:bCs/>
          <w:sz w:val="28"/>
          <w:szCs w:val="28"/>
        </w:rPr>
        <w:t>的公告</w:t>
      </w:r>
    </w:p>
    <w:p w:rsidR="00A10847" w:rsidRPr="001E7589" w:rsidRDefault="00A10847" w:rsidP="001E7589">
      <w:pPr>
        <w:pStyle w:val="Default"/>
        <w:jc w:val="center"/>
        <w:rPr>
          <w:rFonts w:ascii="宋体" w:eastAsia="宋体" w:hAnsi="宋体"/>
          <w:b/>
          <w:bCs/>
          <w:sz w:val="28"/>
          <w:szCs w:val="28"/>
        </w:rPr>
      </w:pPr>
    </w:p>
    <w:p w:rsidR="0066331C" w:rsidRDefault="00A10847" w:rsidP="0066331C">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根据泰达宏利基金管理有限公司（以下简称“本公司”）与</w:t>
      </w:r>
      <w:r w:rsidR="006B1474">
        <w:rPr>
          <w:rFonts w:ascii="宋体" w:eastAsia="宋体" w:hAnsi="宋体" w:cs="宋体" w:hint="eastAsia"/>
          <w:color w:val="000000"/>
          <w:kern w:val="0"/>
          <w:sz w:val="24"/>
          <w:szCs w:val="24"/>
        </w:rPr>
        <w:t>东莞证券</w:t>
      </w:r>
      <w:r w:rsidRPr="001E7589">
        <w:rPr>
          <w:rFonts w:ascii="宋体" w:eastAsia="宋体" w:hAnsi="宋体" w:cs="宋体" w:hint="eastAsia"/>
          <w:color w:val="000000"/>
          <w:kern w:val="0"/>
          <w:sz w:val="24"/>
          <w:szCs w:val="24"/>
        </w:rPr>
        <w:t>股份有限公司（以下简称“</w:t>
      </w:r>
      <w:r w:rsidR="006B1474">
        <w:rPr>
          <w:rFonts w:ascii="宋体" w:eastAsia="宋体" w:hAnsi="宋体" w:cs="宋体" w:hint="eastAsia"/>
          <w:color w:val="000000"/>
          <w:kern w:val="0"/>
          <w:sz w:val="24"/>
          <w:szCs w:val="24"/>
        </w:rPr>
        <w:t>东莞证券</w:t>
      </w:r>
      <w:r w:rsidRPr="001E7589">
        <w:rPr>
          <w:rFonts w:ascii="宋体" w:eastAsia="宋体" w:hAnsi="宋体" w:cs="宋体" w:hint="eastAsia"/>
          <w:color w:val="000000"/>
          <w:kern w:val="0"/>
          <w:sz w:val="24"/>
          <w:szCs w:val="24"/>
        </w:rPr>
        <w:t>”）签署的销售协议，自2</w:t>
      </w:r>
      <w:r w:rsidRPr="001E7589">
        <w:rPr>
          <w:rFonts w:ascii="宋体" w:eastAsia="宋体" w:hAnsi="宋体" w:cs="宋体"/>
          <w:color w:val="000000"/>
          <w:kern w:val="0"/>
          <w:sz w:val="24"/>
          <w:szCs w:val="24"/>
        </w:rPr>
        <w:t>02</w:t>
      </w:r>
      <w:r w:rsidR="006B1474">
        <w:rPr>
          <w:rFonts w:ascii="宋体" w:eastAsia="宋体" w:hAnsi="宋体" w:cs="宋体"/>
          <w:color w:val="000000"/>
          <w:kern w:val="0"/>
          <w:sz w:val="24"/>
          <w:szCs w:val="24"/>
        </w:rPr>
        <w:t>1</w:t>
      </w:r>
      <w:r w:rsidRPr="001E7589">
        <w:rPr>
          <w:rFonts w:ascii="宋体" w:eastAsia="宋体" w:hAnsi="宋体" w:cs="宋体" w:hint="eastAsia"/>
          <w:color w:val="000000"/>
          <w:kern w:val="0"/>
          <w:sz w:val="24"/>
          <w:szCs w:val="24"/>
        </w:rPr>
        <w:t>年</w:t>
      </w:r>
      <w:r w:rsidR="006B1474">
        <w:rPr>
          <w:rFonts w:ascii="宋体" w:eastAsia="宋体" w:hAnsi="宋体" w:cs="宋体"/>
          <w:color w:val="000000"/>
          <w:kern w:val="0"/>
          <w:sz w:val="24"/>
          <w:szCs w:val="24"/>
        </w:rPr>
        <w:t>6</w:t>
      </w:r>
      <w:r w:rsidRPr="001E7589">
        <w:rPr>
          <w:rFonts w:ascii="宋体" w:eastAsia="宋体" w:hAnsi="宋体" w:cs="宋体" w:hint="eastAsia"/>
          <w:color w:val="000000"/>
          <w:kern w:val="0"/>
          <w:sz w:val="24"/>
          <w:szCs w:val="24"/>
        </w:rPr>
        <w:t>月</w:t>
      </w:r>
      <w:r w:rsidR="006B1474">
        <w:rPr>
          <w:rFonts w:ascii="宋体" w:eastAsia="宋体" w:hAnsi="宋体" w:cs="宋体"/>
          <w:color w:val="000000"/>
          <w:kern w:val="0"/>
          <w:sz w:val="24"/>
          <w:szCs w:val="24"/>
        </w:rPr>
        <w:t>8</w:t>
      </w:r>
      <w:r w:rsidRPr="001E7589">
        <w:rPr>
          <w:rFonts w:ascii="宋体" w:eastAsia="宋体" w:hAnsi="宋体" w:cs="宋体" w:hint="eastAsia"/>
          <w:color w:val="000000"/>
          <w:kern w:val="0"/>
          <w:sz w:val="24"/>
          <w:szCs w:val="24"/>
        </w:rPr>
        <w:t>日起，投资者可以通过</w:t>
      </w:r>
      <w:r w:rsidR="009E3288">
        <w:rPr>
          <w:rFonts w:ascii="宋体" w:eastAsia="宋体" w:hAnsi="宋体" w:cs="宋体" w:hint="eastAsia"/>
          <w:color w:val="000000"/>
          <w:kern w:val="0"/>
          <w:sz w:val="24"/>
          <w:szCs w:val="24"/>
        </w:rPr>
        <w:t>东莞证券</w:t>
      </w:r>
      <w:r w:rsidR="006B0B72">
        <w:rPr>
          <w:rFonts w:ascii="宋体" w:eastAsia="宋体" w:hAnsi="宋体" w:cs="宋体" w:hint="eastAsia"/>
          <w:color w:val="000000"/>
          <w:kern w:val="0"/>
          <w:sz w:val="24"/>
          <w:szCs w:val="24"/>
        </w:rPr>
        <w:t>交易系统</w:t>
      </w:r>
      <w:r w:rsidRPr="001E7589">
        <w:rPr>
          <w:rFonts w:ascii="宋体" w:eastAsia="宋体" w:hAnsi="宋体" w:cs="宋体" w:hint="eastAsia"/>
          <w:color w:val="000000"/>
          <w:kern w:val="0"/>
          <w:sz w:val="24"/>
          <w:szCs w:val="24"/>
        </w:rPr>
        <w:t>办理以下基金的开户、申购、赎回、</w:t>
      </w:r>
      <w:r w:rsidR="00274A5C">
        <w:rPr>
          <w:rFonts w:ascii="宋体" w:eastAsia="宋体" w:hAnsi="宋体" w:cs="宋体" w:hint="eastAsia"/>
          <w:color w:val="000000"/>
          <w:kern w:val="0"/>
          <w:sz w:val="24"/>
          <w:szCs w:val="24"/>
        </w:rPr>
        <w:t>定期定额投资、</w:t>
      </w:r>
      <w:r w:rsidRPr="001E7589">
        <w:rPr>
          <w:rFonts w:ascii="宋体" w:eastAsia="宋体" w:hAnsi="宋体" w:cs="宋体" w:hint="eastAsia"/>
          <w:color w:val="000000"/>
          <w:kern w:val="0"/>
          <w:sz w:val="24"/>
          <w:szCs w:val="24"/>
        </w:rPr>
        <w:t>基金转换等业务</w:t>
      </w:r>
      <w:r w:rsidR="00D36838">
        <w:rPr>
          <w:rFonts w:ascii="宋体" w:eastAsia="宋体" w:hAnsi="宋体" w:cs="宋体" w:hint="eastAsia"/>
          <w:color w:val="000000"/>
          <w:kern w:val="0"/>
          <w:sz w:val="24"/>
          <w:szCs w:val="24"/>
        </w:rPr>
        <w:t>。</w:t>
      </w:r>
    </w:p>
    <w:p w:rsidR="000624D6" w:rsidRPr="000624D6" w:rsidRDefault="00D36838" w:rsidP="00DD45E1">
      <w:pPr>
        <w:pStyle w:val="a4"/>
        <w:numPr>
          <w:ilvl w:val="0"/>
          <w:numId w:val="2"/>
        </w:numPr>
        <w:autoSpaceDE w:val="0"/>
        <w:autoSpaceDN w:val="0"/>
        <w:adjustRightInd w:val="0"/>
        <w:spacing w:before="100" w:beforeAutospacing="1" w:line="360" w:lineRule="auto"/>
        <w:ind w:firstLineChars="0"/>
        <w:rPr>
          <w:rFonts w:ascii="宋体" w:eastAsia="宋体" w:hAnsi="宋体" w:cs="宋体"/>
          <w:color w:val="000000"/>
          <w:kern w:val="0"/>
          <w:sz w:val="24"/>
          <w:szCs w:val="24"/>
        </w:rPr>
      </w:pPr>
      <w:r w:rsidRPr="00DD45E1">
        <w:rPr>
          <w:rFonts w:ascii="宋体" w:eastAsia="宋体" w:hAnsi="宋体" w:cs="宋体" w:hint="eastAsia"/>
          <w:color w:val="000000"/>
          <w:kern w:val="0"/>
          <w:sz w:val="24"/>
          <w:szCs w:val="24"/>
        </w:rPr>
        <w:t>新增销售机构销售</w:t>
      </w:r>
      <w:r w:rsidR="00A10847" w:rsidRPr="00DD45E1">
        <w:rPr>
          <w:rFonts w:ascii="宋体" w:eastAsia="宋体" w:hAnsi="宋体" w:cs="宋体" w:hint="eastAsia"/>
          <w:color w:val="000000"/>
          <w:kern w:val="0"/>
          <w:sz w:val="24"/>
          <w:szCs w:val="24"/>
        </w:rPr>
        <w:t>基金如下</w:t>
      </w:r>
      <w:r w:rsidR="001E7589" w:rsidRPr="00DD45E1">
        <w:rPr>
          <w:rFonts w:ascii="宋体" w:eastAsia="宋体" w:hAnsi="宋体" w:cs="宋体" w:hint="eastAsia"/>
          <w:color w:val="000000"/>
          <w:kern w:val="0"/>
          <w:sz w:val="24"/>
          <w:szCs w:val="24"/>
        </w:rPr>
        <w:t>：</w:t>
      </w:r>
    </w:p>
    <w:tbl>
      <w:tblPr>
        <w:tblStyle w:val="a3"/>
        <w:tblW w:w="8500" w:type="dxa"/>
        <w:tblLook w:val="04A0"/>
      </w:tblPr>
      <w:tblGrid>
        <w:gridCol w:w="704"/>
        <w:gridCol w:w="1843"/>
        <w:gridCol w:w="5953"/>
      </w:tblGrid>
      <w:tr w:rsidR="000624D6" w:rsidTr="000624D6">
        <w:tc>
          <w:tcPr>
            <w:tcW w:w="704" w:type="dxa"/>
          </w:tcPr>
          <w:p w:rsidR="000624D6" w:rsidRPr="001E7589" w:rsidRDefault="000624D6" w:rsidP="002A1132">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序号</w:t>
            </w:r>
          </w:p>
        </w:tc>
        <w:tc>
          <w:tcPr>
            <w:tcW w:w="1843" w:type="dxa"/>
          </w:tcPr>
          <w:p w:rsidR="000624D6" w:rsidRPr="001E7589" w:rsidRDefault="000624D6" w:rsidP="002A1132">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基金代码</w:t>
            </w:r>
          </w:p>
        </w:tc>
        <w:tc>
          <w:tcPr>
            <w:tcW w:w="5953" w:type="dxa"/>
          </w:tcPr>
          <w:p w:rsidR="000624D6" w:rsidRPr="001E7589" w:rsidRDefault="000624D6" w:rsidP="002A1132">
            <w:pPr>
              <w:pStyle w:val="a4"/>
              <w:ind w:firstLineChars="0" w:firstLine="0"/>
              <w:jc w:val="center"/>
              <w:rPr>
                <w:rFonts w:ascii="宋体" w:eastAsia="宋体" w:hAnsi="宋体"/>
                <w:sz w:val="24"/>
                <w:szCs w:val="24"/>
              </w:rPr>
            </w:pPr>
            <w:r w:rsidRPr="001E7589">
              <w:rPr>
                <w:rFonts w:ascii="宋体" w:eastAsia="宋体" w:hAnsi="宋体" w:hint="eastAsia"/>
                <w:sz w:val="24"/>
                <w:szCs w:val="24"/>
              </w:rPr>
              <w:t>基金名称</w:t>
            </w:r>
          </w:p>
        </w:tc>
      </w:tr>
      <w:tr w:rsidR="000624D6" w:rsidRPr="003B303E" w:rsidTr="000624D6">
        <w:tc>
          <w:tcPr>
            <w:tcW w:w="704" w:type="dxa"/>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1</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162201</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泰达宏利价值优化型成长类行业混合型证券投资基金</w:t>
            </w:r>
          </w:p>
        </w:tc>
      </w:tr>
      <w:tr w:rsidR="000624D6" w:rsidRPr="003B303E" w:rsidTr="000624D6">
        <w:tc>
          <w:tcPr>
            <w:tcW w:w="704" w:type="dxa"/>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2</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162202</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泰达宏利价值优化型周期类行业混合型证券投资基金</w:t>
            </w:r>
          </w:p>
        </w:tc>
      </w:tr>
      <w:tr w:rsidR="000624D6" w:rsidRPr="003B303E" w:rsidTr="000624D6">
        <w:tc>
          <w:tcPr>
            <w:tcW w:w="704" w:type="dxa"/>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3</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162203</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泰达宏利价值优化型稳定类行业混合型证券投资基金</w:t>
            </w:r>
          </w:p>
        </w:tc>
      </w:tr>
      <w:tr w:rsidR="000624D6" w:rsidRPr="003B303E" w:rsidTr="000624D6">
        <w:tc>
          <w:tcPr>
            <w:tcW w:w="704" w:type="dxa"/>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4</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162204</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泰达宏利行业精选混合型证券投资基金</w:t>
            </w:r>
          </w:p>
        </w:tc>
      </w:tr>
      <w:tr w:rsidR="000624D6" w:rsidRPr="003B303E" w:rsidTr="000624D6">
        <w:tc>
          <w:tcPr>
            <w:tcW w:w="704" w:type="dxa"/>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5</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162205</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泰达宏利风险预算混合型证券投资基金</w:t>
            </w:r>
          </w:p>
        </w:tc>
      </w:tr>
      <w:tr w:rsidR="000624D6" w:rsidRPr="003B303E" w:rsidTr="000624D6">
        <w:tc>
          <w:tcPr>
            <w:tcW w:w="704" w:type="dxa"/>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6</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162208</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泰达宏利首选企业股票型证券投资基金</w:t>
            </w:r>
          </w:p>
        </w:tc>
      </w:tr>
      <w:tr w:rsidR="000624D6" w:rsidRPr="003B303E" w:rsidTr="000624D6">
        <w:tc>
          <w:tcPr>
            <w:tcW w:w="704" w:type="dxa"/>
            <w:vMerge w:val="restart"/>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7</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162213</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泰达宏利沪深300指数增强型证券投资基金A</w:t>
            </w:r>
          </w:p>
        </w:tc>
      </w:tr>
      <w:tr w:rsidR="000624D6" w:rsidRPr="003B303E" w:rsidTr="000624D6">
        <w:tc>
          <w:tcPr>
            <w:tcW w:w="704" w:type="dxa"/>
            <w:vMerge/>
          </w:tcPr>
          <w:p w:rsidR="000624D6" w:rsidRDefault="000624D6" w:rsidP="002A1132">
            <w:pPr>
              <w:pStyle w:val="a4"/>
              <w:ind w:firstLineChars="0" w:firstLine="0"/>
              <w:jc w:val="center"/>
              <w:rPr>
                <w:rFonts w:ascii="宋体" w:eastAsia="宋体" w:hAnsi="宋体"/>
                <w:sz w:val="24"/>
                <w:szCs w:val="24"/>
              </w:rPr>
            </w:pPr>
          </w:p>
        </w:tc>
        <w:tc>
          <w:tcPr>
            <w:tcW w:w="1843" w:type="dxa"/>
          </w:tcPr>
          <w:p w:rsidR="000624D6" w:rsidRPr="00F52B14" w:rsidRDefault="000624D6" w:rsidP="002A1132">
            <w:pPr>
              <w:pStyle w:val="a4"/>
              <w:ind w:firstLineChars="0" w:firstLine="0"/>
              <w:jc w:val="center"/>
              <w:rPr>
                <w:rFonts w:ascii="宋体" w:eastAsia="宋体" w:hAnsi="宋体"/>
                <w:sz w:val="24"/>
                <w:szCs w:val="24"/>
              </w:rPr>
            </w:pPr>
            <w:r w:rsidRPr="00F52B14">
              <w:rPr>
                <w:rFonts w:ascii="宋体" w:eastAsia="宋体" w:hAnsi="宋体"/>
                <w:sz w:val="24"/>
                <w:szCs w:val="24"/>
              </w:rPr>
              <w:t>003548</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F52B14">
              <w:rPr>
                <w:rFonts w:ascii="宋体" w:eastAsia="宋体" w:hAnsi="宋体"/>
                <w:sz w:val="24"/>
                <w:szCs w:val="24"/>
              </w:rPr>
              <w:t>泰达宏利沪深300指数增强型证券投资基金</w:t>
            </w:r>
            <w:r>
              <w:rPr>
                <w:rFonts w:ascii="宋体" w:eastAsia="宋体" w:hAnsi="宋体" w:hint="eastAsia"/>
                <w:sz w:val="24"/>
                <w:szCs w:val="24"/>
              </w:rPr>
              <w:t>C</w:t>
            </w:r>
          </w:p>
        </w:tc>
      </w:tr>
      <w:tr w:rsidR="000624D6" w:rsidRPr="003B303E" w:rsidTr="000624D6">
        <w:tc>
          <w:tcPr>
            <w:tcW w:w="704" w:type="dxa"/>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8</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162216</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643EFB">
              <w:rPr>
                <w:rFonts w:ascii="宋体" w:eastAsia="宋体" w:hAnsi="宋体"/>
                <w:sz w:val="24"/>
                <w:szCs w:val="24"/>
              </w:rPr>
              <w:t>泰达宏利中证500指数增强型证券投资基金(LOF)</w:t>
            </w:r>
          </w:p>
        </w:tc>
      </w:tr>
      <w:tr w:rsidR="000624D6" w:rsidRPr="003B303E" w:rsidTr="000624D6">
        <w:tc>
          <w:tcPr>
            <w:tcW w:w="704" w:type="dxa"/>
            <w:vMerge w:val="restart"/>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9</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000507</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泰达宏利宏达混合型证券投资基金A</w:t>
            </w:r>
          </w:p>
        </w:tc>
      </w:tr>
      <w:tr w:rsidR="000624D6" w:rsidRPr="003B303E" w:rsidTr="000624D6">
        <w:tc>
          <w:tcPr>
            <w:tcW w:w="704" w:type="dxa"/>
            <w:vMerge/>
          </w:tcPr>
          <w:p w:rsidR="000624D6" w:rsidRDefault="000624D6" w:rsidP="002A1132">
            <w:pPr>
              <w:pStyle w:val="a4"/>
              <w:ind w:firstLineChars="0" w:firstLine="0"/>
              <w:jc w:val="center"/>
              <w:rPr>
                <w:rFonts w:ascii="宋体" w:eastAsia="宋体" w:hAnsi="宋体"/>
                <w:sz w:val="24"/>
                <w:szCs w:val="24"/>
              </w:rPr>
            </w:pPr>
          </w:p>
        </w:tc>
        <w:tc>
          <w:tcPr>
            <w:tcW w:w="1843" w:type="dxa"/>
          </w:tcPr>
          <w:p w:rsidR="000624D6" w:rsidRPr="00F52B14" w:rsidRDefault="000624D6" w:rsidP="002A1132">
            <w:pPr>
              <w:pStyle w:val="a4"/>
              <w:ind w:firstLineChars="0" w:firstLine="0"/>
              <w:jc w:val="center"/>
              <w:rPr>
                <w:rFonts w:ascii="宋体" w:eastAsia="宋体" w:hAnsi="宋体"/>
                <w:sz w:val="24"/>
                <w:szCs w:val="24"/>
              </w:rPr>
            </w:pPr>
            <w:r w:rsidRPr="00F52B14">
              <w:rPr>
                <w:rFonts w:ascii="宋体" w:eastAsia="宋体" w:hAnsi="宋体"/>
                <w:sz w:val="24"/>
                <w:szCs w:val="24"/>
              </w:rPr>
              <w:t>000508</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F52B14">
              <w:rPr>
                <w:rFonts w:ascii="宋体" w:eastAsia="宋体" w:hAnsi="宋体"/>
                <w:sz w:val="24"/>
                <w:szCs w:val="24"/>
              </w:rPr>
              <w:t>泰达宏利宏达混合型证券投资基金</w:t>
            </w:r>
            <w:r>
              <w:rPr>
                <w:rFonts w:ascii="宋体" w:eastAsia="宋体" w:hAnsi="宋体" w:hint="eastAsia"/>
                <w:sz w:val="24"/>
                <w:szCs w:val="24"/>
              </w:rPr>
              <w:t>B</w:t>
            </w:r>
          </w:p>
        </w:tc>
      </w:tr>
      <w:tr w:rsidR="000624D6" w:rsidTr="000624D6">
        <w:tc>
          <w:tcPr>
            <w:tcW w:w="704" w:type="dxa"/>
          </w:tcPr>
          <w:p w:rsidR="000624D6" w:rsidRPr="008141A4" w:rsidRDefault="000624D6" w:rsidP="002A1132">
            <w:pPr>
              <w:pStyle w:val="a4"/>
              <w:ind w:firstLineChars="0" w:firstLine="0"/>
              <w:jc w:val="center"/>
              <w:rPr>
                <w:rFonts w:ascii="宋体" w:eastAsia="宋体" w:hAnsi="宋体"/>
                <w:sz w:val="24"/>
                <w:szCs w:val="24"/>
              </w:rPr>
            </w:pPr>
            <w:r w:rsidRPr="008141A4">
              <w:rPr>
                <w:rFonts w:ascii="宋体" w:eastAsia="宋体" w:hAnsi="宋体"/>
                <w:sz w:val="24"/>
                <w:szCs w:val="24"/>
              </w:rPr>
              <w:t>1</w:t>
            </w:r>
            <w:r>
              <w:rPr>
                <w:rFonts w:ascii="宋体" w:eastAsia="宋体" w:hAnsi="宋体" w:hint="eastAsia"/>
                <w:sz w:val="24"/>
                <w:szCs w:val="24"/>
              </w:rPr>
              <w:t>0</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000828</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泰达宏利转型机遇股票型证券投资基金</w:t>
            </w:r>
          </w:p>
        </w:tc>
      </w:tr>
      <w:tr w:rsidR="000624D6" w:rsidTr="000624D6">
        <w:tc>
          <w:tcPr>
            <w:tcW w:w="704" w:type="dxa"/>
            <w:vMerge w:val="restart"/>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11</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001017</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泰达宏利改革动力量化策略灵活配置混合型证券投资基金A</w:t>
            </w:r>
          </w:p>
        </w:tc>
      </w:tr>
      <w:tr w:rsidR="000624D6" w:rsidTr="000624D6">
        <w:tc>
          <w:tcPr>
            <w:tcW w:w="704" w:type="dxa"/>
            <w:vMerge/>
          </w:tcPr>
          <w:p w:rsidR="000624D6" w:rsidRDefault="000624D6" w:rsidP="002A1132">
            <w:pPr>
              <w:pStyle w:val="a4"/>
              <w:ind w:firstLineChars="0" w:firstLine="0"/>
              <w:jc w:val="center"/>
              <w:rPr>
                <w:rFonts w:ascii="宋体" w:eastAsia="宋体" w:hAnsi="宋体"/>
                <w:sz w:val="24"/>
                <w:szCs w:val="24"/>
              </w:rPr>
            </w:pPr>
          </w:p>
        </w:tc>
        <w:tc>
          <w:tcPr>
            <w:tcW w:w="1843" w:type="dxa"/>
          </w:tcPr>
          <w:p w:rsidR="000624D6" w:rsidRPr="00F52B14" w:rsidRDefault="000624D6" w:rsidP="002A1132">
            <w:pPr>
              <w:pStyle w:val="a4"/>
              <w:ind w:firstLineChars="0" w:firstLine="0"/>
              <w:jc w:val="center"/>
              <w:rPr>
                <w:rFonts w:ascii="宋体" w:eastAsia="宋体" w:hAnsi="宋体"/>
                <w:sz w:val="24"/>
                <w:szCs w:val="24"/>
              </w:rPr>
            </w:pPr>
            <w:r w:rsidRPr="00F52B14">
              <w:rPr>
                <w:rFonts w:ascii="宋体" w:eastAsia="宋体" w:hAnsi="宋体"/>
                <w:sz w:val="24"/>
                <w:szCs w:val="24"/>
              </w:rPr>
              <w:t>003550</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F52B14">
              <w:rPr>
                <w:rFonts w:ascii="宋体" w:eastAsia="宋体" w:hAnsi="宋体"/>
                <w:sz w:val="24"/>
                <w:szCs w:val="24"/>
              </w:rPr>
              <w:t>泰达宏利改革动力量化策略灵活配置混合型证券投资基金</w:t>
            </w:r>
            <w:r>
              <w:rPr>
                <w:rFonts w:ascii="宋体" w:eastAsia="宋体" w:hAnsi="宋体" w:hint="eastAsia"/>
                <w:sz w:val="24"/>
                <w:szCs w:val="24"/>
              </w:rPr>
              <w:t>C</w:t>
            </w:r>
          </w:p>
        </w:tc>
      </w:tr>
      <w:tr w:rsidR="000624D6" w:rsidTr="000624D6">
        <w:tc>
          <w:tcPr>
            <w:tcW w:w="704" w:type="dxa"/>
            <w:vMerge w:val="restart"/>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12</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001419</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泰达宏利新思路灵活配置混合型证券投资基金A</w:t>
            </w:r>
          </w:p>
        </w:tc>
      </w:tr>
      <w:tr w:rsidR="000624D6" w:rsidTr="000624D6">
        <w:tc>
          <w:tcPr>
            <w:tcW w:w="704" w:type="dxa"/>
            <w:vMerge/>
          </w:tcPr>
          <w:p w:rsidR="000624D6" w:rsidRDefault="000624D6" w:rsidP="002A1132">
            <w:pPr>
              <w:pStyle w:val="a4"/>
              <w:ind w:firstLineChars="0" w:firstLine="0"/>
              <w:jc w:val="center"/>
              <w:rPr>
                <w:rFonts w:ascii="宋体" w:eastAsia="宋体" w:hAnsi="宋体"/>
                <w:sz w:val="24"/>
                <w:szCs w:val="24"/>
              </w:rPr>
            </w:pPr>
          </w:p>
        </w:tc>
        <w:tc>
          <w:tcPr>
            <w:tcW w:w="1843" w:type="dxa"/>
          </w:tcPr>
          <w:p w:rsidR="000624D6" w:rsidRPr="00F52B14" w:rsidRDefault="000624D6" w:rsidP="002A1132">
            <w:pPr>
              <w:pStyle w:val="a4"/>
              <w:ind w:firstLineChars="0" w:firstLine="0"/>
              <w:jc w:val="center"/>
              <w:rPr>
                <w:rFonts w:ascii="宋体" w:eastAsia="宋体" w:hAnsi="宋体"/>
                <w:sz w:val="24"/>
                <w:szCs w:val="24"/>
              </w:rPr>
            </w:pPr>
            <w:r w:rsidRPr="00F52B14">
              <w:rPr>
                <w:rFonts w:ascii="宋体" w:eastAsia="宋体" w:hAnsi="宋体"/>
                <w:sz w:val="24"/>
                <w:szCs w:val="24"/>
              </w:rPr>
              <w:t>002314</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F52B14">
              <w:rPr>
                <w:rFonts w:ascii="宋体" w:eastAsia="宋体" w:hAnsi="宋体"/>
                <w:sz w:val="24"/>
                <w:szCs w:val="24"/>
              </w:rPr>
              <w:t>泰达宏利新思路灵活配置混合型证券投资基金</w:t>
            </w:r>
            <w:r>
              <w:rPr>
                <w:rFonts w:ascii="宋体" w:eastAsia="宋体" w:hAnsi="宋体" w:hint="eastAsia"/>
                <w:sz w:val="24"/>
                <w:szCs w:val="24"/>
              </w:rPr>
              <w:t>B</w:t>
            </w:r>
          </w:p>
        </w:tc>
      </w:tr>
      <w:tr w:rsidR="000624D6" w:rsidRPr="003B303E" w:rsidTr="000624D6">
        <w:tc>
          <w:tcPr>
            <w:tcW w:w="704" w:type="dxa"/>
            <w:vMerge w:val="restart"/>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13</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003793</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泰达宏利溢利债券型证券投资基金A</w:t>
            </w:r>
          </w:p>
        </w:tc>
      </w:tr>
      <w:tr w:rsidR="000624D6" w:rsidRPr="003B303E" w:rsidTr="000624D6">
        <w:tc>
          <w:tcPr>
            <w:tcW w:w="704" w:type="dxa"/>
            <w:vMerge/>
          </w:tcPr>
          <w:p w:rsidR="000624D6" w:rsidRDefault="000624D6" w:rsidP="002A1132">
            <w:pPr>
              <w:pStyle w:val="a4"/>
              <w:ind w:firstLineChars="0" w:firstLine="0"/>
              <w:jc w:val="center"/>
              <w:rPr>
                <w:rFonts w:ascii="宋体" w:eastAsia="宋体" w:hAnsi="宋体"/>
                <w:sz w:val="24"/>
                <w:szCs w:val="24"/>
              </w:rPr>
            </w:pPr>
          </w:p>
        </w:tc>
        <w:tc>
          <w:tcPr>
            <w:tcW w:w="1843" w:type="dxa"/>
          </w:tcPr>
          <w:p w:rsidR="000624D6" w:rsidRPr="00F52B14" w:rsidRDefault="000624D6" w:rsidP="002A1132">
            <w:pPr>
              <w:pStyle w:val="a4"/>
              <w:ind w:firstLineChars="0" w:firstLine="0"/>
              <w:jc w:val="center"/>
              <w:rPr>
                <w:rFonts w:ascii="宋体" w:eastAsia="宋体" w:hAnsi="宋体"/>
                <w:sz w:val="24"/>
                <w:szCs w:val="24"/>
              </w:rPr>
            </w:pPr>
            <w:r w:rsidRPr="00F52B14">
              <w:rPr>
                <w:rFonts w:ascii="宋体" w:eastAsia="宋体" w:hAnsi="宋体"/>
                <w:sz w:val="24"/>
                <w:szCs w:val="24"/>
              </w:rPr>
              <w:t>003794</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F52B14">
              <w:rPr>
                <w:rFonts w:ascii="宋体" w:eastAsia="宋体" w:hAnsi="宋体"/>
                <w:sz w:val="24"/>
                <w:szCs w:val="24"/>
              </w:rPr>
              <w:t>泰达宏利溢利债券型证券投资基金</w:t>
            </w:r>
            <w:r>
              <w:rPr>
                <w:rFonts w:ascii="宋体" w:eastAsia="宋体" w:hAnsi="宋体" w:hint="eastAsia"/>
                <w:sz w:val="24"/>
                <w:szCs w:val="24"/>
              </w:rPr>
              <w:t>C</w:t>
            </w:r>
          </w:p>
        </w:tc>
      </w:tr>
      <w:tr w:rsidR="000624D6" w:rsidTr="000624D6">
        <w:tc>
          <w:tcPr>
            <w:tcW w:w="704" w:type="dxa"/>
            <w:vMerge w:val="restart"/>
          </w:tcPr>
          <w:p w:rsidR="000624D6" w:rsidRPr="008141A4" w:rsidRDefault="000624D6" w:rsidP="002A1132">
            <w:pPr>
              <w:pStyle w:val="a4"/>
              <w:ind w:firstLineChars="0" w:firstLine="0"/>
              <w:jc w:val="center"/>
              <w:rPr>
                <w:rFonts w:ascii="宋体" w:eastAsia="宋体" w:hAnsi="宋体"/>
                <w:sz w:val="24"/>
                <w:szCs w:val="24"/>
              </w:rPr>
            </w:pPr>
            <w:r>
              <w:rPr>
                <w:rFonts w:ascii="宋体" w:eastAsia="宋体" w:hAnsi="宋体" w:hint="eastAsia"/>
                <w:sz w:val="24"/>
                <w:szCs w:val="24"/>
              </w:rPr>
              <w:t>14</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008928</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泰达宏利中证主要消费红利指数型证券投资基金A</w:t>
            </w:r>
          </w:p>
        </w:tc>
      </w:tr>
      <w:tr w:rsidR="000624D6" w:rsidTr="000624D6">
        <w:tc>
          <w:tcPr>
            <w:tcW w:w="704" w:type="dxa"/>
            <w:vMerge/>
          </w:tcPr>
          <w:p w:rsidR="000624D6" w:rsidRDefault="000624D6" w:rsidP="002A1132">
            <w:pPr>
              <w:pStyle w:val="a4"/>
              <w:ind w:firstLineChars="0" w:firstLine="0"/>
              <w:jc w:val="center"/>
              <w:rPr>
                <w:rFonts w:ascii="宋体" w:eastAsia="宋体" w:hAnsi="宋体"/>
                <w:sz w:val="24"/>
                <w:szCs w:val="24"/>
              </w:rPr>
            </w:pPr>
          </w:p>
        </w:tc>
        <w:tc>
          <w:tcPr>
            <w:tcW w:w="1843" w:type="dxa"/>
          </w:tcPr>
          <w:p w:rsidR="000624D6" w:rsidRPr="00F52B14" w:rsidRDefault="000624D6" w:rsidP="002A1132">
            <w:pPr>
              <w:pStyle w:val="a4"/>
              <w:ind w:firstLineChars="0" w:firstLine="0"/>
              <w:jc w:val="center"/>
              <w:rPr>
                <w:rFonts w:ascii="宋体" w:eastAsia="宋体" w:hAnsi="宋体"/>
                <w:sz w:val="24"/>
                <w:szCs w:val="24"/>
              </w:rPr>
            </w:pPr>
            <w:r w:rsidRPr="00F52B14">
              <w:rPr>
                <w:rFonts w:ascii="宋体" w:eastAsia="宋体" w:hAnsi="宋体"/>
                <w:sz w:val="24"/>
                <w:szCs w:val="24"/>
              </w:rPr>
              <w:t>008929</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F52B14">
              <w:rPr>
                <w:rFonts w:ascii="宋体" w:eastAsia="宋体" w:hAnsi="宋体"/>
                <w:sz w:val="24"/>
                <w:szCs w:val="24"/>
              </w:rPr>
              <w:t>泰达宏利中证主要消费红利指数型证券投资基金</w:t>
            </w:r>
            <w:r>
              <w:rPr>
                <w:rFonts w:ascii="宋体" w:eastAsia="宋体" w:hAnsi="宋体" w:hint="eastAsia"/>
                <w:sz w:val="24"/>
                <w:szCs w:val="24"/>
              </w:rPr>
              <w:t>C</w:t>
            </w:r>
          </w:p>
        </w:tc>
      </w:tr>
      <w:tr w:rsidR="000624D6" w:rsidRPr="003B303E" w:rsidTr="000624D6">
        <w:tc>
          <w:tcPr>
            <w:tcW w:w="704" w:type="dxa"/>
          </w:tcPr>
          <w:p w:rsidR="000624D6" w:rsidRPr="008141A4" w:rsidRDefault="000624D6" w:rsidP="002A1132">
            <w:pPr>
              <w:pStyle w:val="a4"/>
              <w:ind w:firstLineChars="0" w:firstLine="0"/>
              <w:jc w:val="center"/>
              <w:rPr>
                <w:rFonts w:ascii="宋体" w:eastAsia="宋体" w:hAnsi="宋体"/>
                <w:sz w:val="24"/>
                <w:szCs w:val="24"/>
              </w:rPr>
            </w:pPr>
            <w:bookmarkStart w:id="0" w:name="_Hlk73694568"/>
            <w:r>
              <w:rPr>
                <w:rFonts w:ascii="宋体" w:eastAsia="宋体" w:hAnsi="宋体" w:hint="eastAsia"/>
                <w:sz w:val="24"/>
                <w:szCs w:val="24"/>
              </w:rPr>
              <w:t>15</w:t>
            </w:r>
          </w:p>
        </w:tc>
        <w:tc>
          <w:tcPr>
            <w:tcW w:w="184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229002</w:t>
            </w:r>
          </w:p>
        </w:tc>
        <w:tc>
          <w:tcPr>
            <w:tcW w:w="5953" w:type="dxa"/>
          </w:tcPr>
          <w:p w:rsidR="000624D6" w:rsidRPr="003B303E" w:rsidRDefault="000624D6" w:rsidP="002A1132">
            <w:pPr>
              <w:pStyle w:val="a4"/>
              <w:ind w:firstLineChars="0" w:firstLine="0"/>
              <w:jc w:val="center"/>
              <w:rPr>
                <w:rFonts w:ascii="宋体" w:eastAsia="宋体" w:hAnsi="宋体"/>
                <w:sz w:val="24"/>
                <w:szCs w:val="24"/>
              </w:rPr>
            </w:pPr>
            <w:r w:rsidRPr="003B303E">
              <w:rPr>
                <w:rFonts w:ascii="宋体" w:eastAsia="宋体" w:hAnsi="宋体"/>
                <w:sz w:val="24"/>
                <w:szCs w:val="24"/>
              </w:rPr>
              <w:t>泰达宏利逆向策略混合型证券投资基金</w:t>
            </w:r>
          </w:p>
        </w:tc>
      </w:tr>
      <w:bookmarkEnd w:id="0"/>
    </w:tbl>
    <w:p w:rsidR="00DD45E1" w:rsidRPr="000624D6" w:rsidRDefault="00DD45E1" w:rsidP="00DD45E1">
      <w:pPr>
        <w:autoSpaceDE w:val="0"/>
        <w:autoSpaceDN w:val="0"/>
        <w:adjustRightInd w:val="0"/>
        <w:spacing w:before="100" w:beforeAutospacing="1" w:line="360" w:lineRule="auto"/>
        <w:rPr>
          <w:rFonts w:ascii="宋体" w:eastAsia="宋体" w:hAnsi="宋体" w:cs="宋体"/>
          <w:color w:val="000000"/>
          <w:kern w:val="0"/>
          <w:sz w:val="24"/>
          <w:szCs w:val="24"/>
        </w:rPr>
      </w:pPr>
    </w:p>
    <w:p w:rsidR="0066331C" w:rsidRDefault="0066331C"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二、重要提示：</w:t>
      </w:r>
    </w:p>
    <w:p w:rsidR="0066331C" w:rsidRPr="0066331C" w:rsidRDefault="0066331C" w:rsidP="0066331C">
      <w:pPr>
        <w:pStyle w:val="Default"/>
        <w:spacing w:line="460" w:lineRule="exact"/>
        <w:ind w:firstLineChars="200" w:firstLine="480"/>
        <w:jc w:val="both"/>
        <w:rPr>
          <w:rFonts w:ascii="宋体" w:eastAsia="宋体" w:hAnsi="宋体" w:cs="宋体"/>
        </w:rPr>
      </w:pPr>
      <w:r w:rsidRPr="0066331C">
        <w:rPr>
          <w:rFonts w:ascii="宋体" w:eastAsia="宋体" w:hAnsi="宋体" w:cs="宋体" w:hint="eastAsia"/>
        </w:rPr>
        <w:lastRenderedPageBreak/>
        <w:t>投资者在</w:t>
      </w:r>
      <w:r w:rsidR="009E3288">
        <w:rPr>
          <w:rFonts w:ascii="宋体" w:eastAsia="宋体" w:hAnsi="宋体" w:cs="宋体" w:hint="eastAsia"/>
        </w:rPr>
        <w:t>东莞证券</w:t>
      </w:r>
      <w:r w:rsidR="00D36838">
        <w:rPr>
          <w:rFonts w:ascii="宋体" w:eastAsia="宋体" w:hAnsi="宋体" w:cs="宋体" w:hint="eastAsia"/>
        </w:rPr>
        <w:t>交易系统</w:t>
      </w:r>
      <w:r w:rsidRPr="0066331C">
        <w:rPr>
          <w:rFonts w:ascii="宋体" w:eastAsia="宋体" w:hAnsi="宋体" w:cs="宋体" w:hint="eastAsia"/>
        </w:rPr>
        <w:t>办理本基金开户、申购、赎回、定期定额投资、基金转换等业务应了解该基金具体业务开通情况，具体可以登陆本公司网站查询相关基金公告。</w:t>
      </w:r>
    </w:p>
    <w:p w:rsidR="00A10847" w:rsidRPr="001E7589" w:rsidRDefault="00A10847"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投资者欲了解上述基金的详细情况，请仔细阅读上述基金的基金合同、招募说明书（更新）和相关业务公告等法律文件。投资者可通过以下途径咨询</w:t>
      </w:r>
      <w:r w:rsidR="001E7589" w:rsidRPr="001E7589">
        <w:rPr>
          <w:rFonts w:ascii="宋体" w:eastAsia="宋体" w:hAnsi="宋体" w:cs="宋体" w:hint="eastAsia"/>
          <w:color w:val="000000"/>
          <w:kern w:val="0"/>
          <w:sz w:val="24"/>
          <w:szCs w:val="24"/>
        </w:rPr>
        <w:t>相关情况：</w:t>
      </w:r>
    </w:p>
    <w:p w:rsidR="001E7589" w:rsidRPr="001E7589" w:rsidRDefault="009E3288"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Pr>
          <w:rFonts w:ascii="宋体" w:eastAsia="宋体" w:hAnsi="宋体" w:cs="宋体" w:hint="eastAsia"/>
          <w:color w:val="000000"/>
          <w:kern w:val="0"/>
          <w:sz w:val="24"/>
          <w:szCs w:val="24"/>
        </w:rPr>
        <w:t>东莞证券</w:t>
      </w:r>
      <w:r w:rsidR="001E7589" w:rsidRPr="001E7589">
        <w:rPr>
          <w:rFonts w:ascii="宋体" w:eastAsia="宋体" w:hAnsi="宋体" w:cs="宋体" w:hint="eastAsia"/>
          <w:color w:val="000000"/>
          <w:kern w:val="0"/>
          <w:sz w:val="24"/>
          <w:szCs w:val="24"/>
        </w:rPr>
        <w:t>股份有限公司</w:t>
      </w:r>
    </w:p>
    <w:p w:rsidR="001E7589" w:rsidRPr="00800297"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w:t>
      </w:r>
      <w:r w:rsidR="00800297">
        <w:rPr>
          <w:rFonts w:ascii="微软雅黑" w:eastAsia="微软雅黑" w:hAnsi="微软雅黑" w:hint="eastAsia"/>
          <w:szCs w:val="21"/>
        </w:rPr>
        <w:t>95328</w:t>
      </w:r>
    </w:p>
    <w:p w:rsidR="00764C3D" w:rsidRPr="00764C3D" w:rsidRDefault="001E7589" w:rsidP="00764C3D">
      <w:pPr>
        <w:autoSpaceDE w:val="0"/>
        <w:autoSpaceDN w:val="0"/>
        <w:adjustRightInd w:val="0"/>
        <w:spacing w:before="100" w:beforeAutospacing="1" w:line="360" w:lineRule="auto"/>
        <w:ind w:firstLine="465"/>
        <w:rPr>
          <w:rFonts w:ascii="微软雅黑" w:eastAsia="微软雅黑" w:hAnsi="微软雅黑"/>
          <w:szCs w:val="21"/>
        </w:rPr>
      </w:pPr>
      <w:r w:rsidRPr="001E7589">
        <w:rPr>
          <w:rFonts w:ascii="宋体" w:eastAsia="宋体" w:hAnsi="宋体" w:cs="宋体" w:hint="eastAsia"/>
          <w:color w:val="000000"/>
          <w:kern w:val="0"/>
          <w:sz w:val="24"/>
          <w:szCs w:val="24"/>
        </w:rPr>
        <w:t>公司网站：</w:t>
      </w:r>
      <w:r w:rsidR="009E3288" w:rsidRPr="001E7589">
        <w:rPr>
          <w:rFonts w:ascii="宋体" w:eastAsia="宋体" w:hAnsi="宋体" w:cs="宋体"/>
          <w:color w:val="000000"/>
          <w:kern w:val="0"/>
          <w:sz w:val="24"/>
          <w:szCs w:val="24"/>
        </w:rPr>
        <w:t xml:space="preserve"> </w:t>
      </w:r>
      <w:hyperlink r:id="rId7" w:history="1">
        <w:r w:rsidR="00037723">
          <w:rPr>
            <w:rStyle w:val="a5"/>
            <w:rFonts w:ascii="微软雅黑" w:eastAsia="微软雅黑" w:hAnsi="微软雅黑" w:hint="eastAsia"/>
            <w:szCs w:val="21"/>
          </w:rPr>
          <w:t>http://www.dgzq.com.cn</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泰达宏利基金管理有限公司</w:t>
      </w:r>
      <w:bookmarkStart w:id="1" w:name="_GoBack"/>
      <w:bookmarkEnd w:id="1"/>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客服电话：4</w:t>
      </w:r>
      <w:r w:rsidRPr="001E7589">
        <w:rPr>
          <w:rFonts w:ascii="宋体" w:eastAsia="宋体" w:hAnsi="宋体" w:cs="宋体"/>
          <w:color w:val="000000"/>
          <w:kern w:val="0"/>
          <w:sz w:val="24"/>
          <w:szCs w:val="24"/>
        </w:rPr>
        <w:t>00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698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8888</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010</w:t>
      </w:r>
      <w:r w:rsidRPr="001E7589">
        <w:rPr>
          <w:rFonts w:ascii="宋体" w:eastAsia="宋体" w:hAnsi="宋体" w:cs="宋体" w:hint="eastAsia"/>
          <w:color w:val="000000"/>
          <w:kern w:val="0"/>
          <w:sz w:val="24"/>
          <w:szCs w:val="24"/>
        </w:rPr>
        <w:t>-</w:t>
      </w:r>
      <w:r w:rsidRPr="001E7589">
        <w:rPr>
          <w:rFonts w:ascii="宋体" w:eastAsia="宋体" w:hAnsi="宋体" w:cs="宋体"/>
          <w:color w:val="000000"/>
          <w:kern w:val="0"/>
          <w:sz w:val="24"/>
          <w:szCs w:val="24"/>
        </w:rPr>
        <w:t>66555662</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公司网站：</w:t>
      </w:r>
      <w:hyperlink r:id="rId8" w:history="1">
        <w:r w:rsidRPr="001E7589">
          <w:rPr>
            <w:rFonts w:ascii="宋体" w:eastAsia="宋体" w:hAnsi="宋体" w:cs="宋体" w:hint="eastAsia"/>
            <w:color w:val="000000"/>
            <w:kern w:val="0"/>
            <w:sz w:val="24"/>
            <w:szCs w:val="24"/>
          </w:rPr>
          <w:t>w</w:t>
        </w:r>
        <w:r w:rsidRPr="001E7589">
          <w:rPr>
            <w:rFonts w:ascii="宋体" w:eastAsia="宋体" w:hAnsi="宋体" w:cs="宋体"/>
            <w:color w:val="000000"/>
            <w:kern w:val="0"/>
            <w:sz w:val="24"/>
            <w:szCs w:val="24"/>
          </w:rPr>
          <w:t>ww.mfcteda.com</w:t>
        </w:r>
      </w:hyperlink>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p>
    <w:p w:rsid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风险提示：基金管理人承诺以诚实信用、勤勉尽责的原则管理和运用基金资产，但不保证基金一定盈利，也不保证最低收益。投资者投资于本公司旗下基金前应认真阅读各基金的基金合同和招募说明书。</w:t>
      </w:r>
    </w:p>
    <w:p w:rsidR="001E7589" w:rsidRPr="001E7589" w:rsidRDefault="001E7589" w:rsidP="001E7589">
      <w:pPr>
        <w:autoSpaceDE w:val="0"/>
        <w:autoSpaceDN w:val="0"/>
        <w:adjustRightInd w:val="0"/>
        <w:spacing w:before="100" w:beforeAutospacing="1" w:line="360" w:lineRule="auto"/>
        <w:ind w:firstLine="465"/>
        <w:rPr>
          <w:rFonts w:ascii="宋体" w:eastAsia="宋体" w:hAnsi="宋体" w:cs="宋体"/>
          <w:color w:val="000000"/>
          <w:kern w:val="0"/>
          <w:sz w:val="24"/>
          <w:szCs w:val="24"/>
        </w:rPr>
      </w:pPr>
      <w:r w:rsidRPr="001E7589">
        <w:rPr>
          <w:rFonts w:ascii="宋体" w:eastAsia="宋体" w:hAnsi="宋体" w:cs="宋体" w:hint="eastAsia"/>
          <w:color w:val="000000"/>
          <w:kern w:val="0"/>
          <w:sz w:val="24"/>
          <w:szCs w:val="24"/>
        </w:rPr>
        <w:t>特此公告。</w:t>
      </w:r>
    </w:p>
    <w:p w:rsidR="001E7589" w:rsidRPr="00D706E8"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r w:rsidRPr="00D706E8">
        <w:rPr>
          <w:rFonts w:ascii="宋体" w:eastAsia="宋体" w:hAnsi="宋体" w:cs="宋体" w:hint="eastAsia"/>
          <w:color w:val="000000"/>
          <w:kern w:val="0"/>
          <w:sz w:val="24"/>
          <w:szCs w:val="24"/>
        </w:rPr>
        <w:t>泰达宏利基金管理有限公司</w:t>
      </w:r>
    </w:p>
    <w:p w:rsidR="001E7589" w:rsidRPr="00D706E8" w:rsidRDefault="001E7589" w:rsidP="00912917">
      <w:pPr>
        <w:autoSpaceDE w:val="0"/>
        <w:autoSpaceDN w:val="0"/>
        <w:adjustRightInd w:val="0"/>
        <w:spacing w:before="100" w:beforeAutospacing="1" w:line="360" w:lineRule="auto"/>
        <w:ind w:right="720" w:firstLine="465"/>
        <w:jc w:val="right"/>
        <w:rPr>
          <w:rFonts w:ascii="宋体" w:eastAsia="宋体" w:hAnsi="宋体" w:cs="宋体"/>
          <w:color w:val="000000"/>
          <w:kern w:val="0"/>
          <w:sz w:val="24"/>
          <w:szCs w:val="24"/>
        </w:rPr>
      </w:pPr>
      <w:r w:rsidRPr="00D706E8">
        <w:rPr>
          <w:rFonts w:ascii="宋体" w:eastAsia="宋体" w:hAnsi="宋体" w:cs="宋体"/>
          <w:color w:val="000000"/>
          <w:kern w:val="0"/>
          <w:sz w:val="24"/>
          <w:szCs w:val="24"/>
        </w:rPr>
        <w:t>202</w:t>
      </w:r>
      <w:r w:rsidR="009E3288">
        <w:rPr>
          <w:rFonts w:ascii="宋体" w:eastAsia="宋体" w:hAnsi="宋体" w:cs="宋体"/>
          <w:color w:val="000000"/>
          <w:kern w:val="0"/>
          <w:sz w:val="24"/>
          <w:szCs w:val="24"/>
        </w:rPr>
        <w:t>1</w:t>
      </w:r>
      <w:r w:rsidRPr="00D706E8">
        <w:rPr>
          <w:rFonts w:ascii="宋体" w:eastAsia="宋体" w:hAnsi="宋体" w:cs="宋体" w:hint="eastAsia"/>
          <w:color w:val="000000"/>
          <w:kern w:val="0"/>
          <w:sz w:val="24"/>
          <w:szCs w:val="24"/>
        </w:rPr>
        <w:t>年</w:t>
      </w:r>
      <w:r w:rsidR="009E3288">
        <w:rPr>
          <w:rFonts w:ascii="宋体" w:eastAsia="宋体" w:hAnsi="宋体" w:cs="宋体"/>
          <w:color w:val="000000"/>
          <w:kern w:val="0"/>
          <w:sz w:val="24"/>
          <w:szCs w:val="24"/>
        </w:rPr>
        <w:t>6</w:t>
      </w:r>
      <w:r w:rsidRPr="00D706E8">
        <w:rPr>
          <w:rFonts w:ascii="宋体" w:eastAsia="宋体" w:hAnsi="宋体" w:cs="宋体" w:hint="eastAsia"/>
          <w:color w:val="000000"/>
          <w:kern w:val="0"/>
          <w:sz w:val="24"/>
          <w:szCs w:val="24"/>
        </w:rPr>
        <w:t>月</w:t>
      </w:r>
      <w:r w:rsidR="009E3288">
        <w:rPr>
          <w:rFonts w:ascii="宋体" w:eastAsia="宋体" w:hAnsi="宋体" w:cs="宋体"/>
          <w:color w:val="000000"/>
          <w:kern w:val="0"/>
          <w:sz w:val="24"/>
          <w:szCs w:val="24"/>
        </w:rPr>
        <w:t>5</w:t>
      </w:r>
      <w:r w:rsidRPr="00D706E8">
        <w:rPr>
          <w:rFonts w:ascii="宋体" w:eastAsia="宋体" w:hAnsi="宋体" w:cs="宋体" w:hint="eastAsia"/>
          <w:color w:val="000000"/>
          <w:kern w:val="0"/>
          <w:sz w:val="24"/>
          <w:szCs w:val="24"/>
        </w:rPr>
        <w:t>日</w:t>
      </w:r>
    </w:p>
    <w:p w:rsidR="001E7589" w:rsidRPr="001E7589" w:rsidRDefault="001E7589" w:rsidP="00912917">
      <w:pPr>
        <w:autoSpaceDE w:val="0"/>
        <w:autoSpaceDN w:val="0"/>
        <w:adjustRightInd w:val="0"/>
        <w:spacing w:before="100" w:beforeAutospacing="1" w:line="360" w:lineRule="auto"/>
        <w:ind w:firstLine="465"/>
        <w:jc w:val="right"/>
        <w:rPr>
          <w:rFonts w:ascii="宋体" w:eastAsia="宋体" w:hAnsi="宋体" w:cs="宋体"/>
          <w:color w:val="000000"/>
          <w:kern w:val="0"/>
          <w:sz w:val="24"/>
          <w:szCs w:val="24"/>
        </w:rPr>
      </w:pPr>
    </w:p>
    <w:sectPr w:rsidR="001E7589" w:rsidRPr="001E7589" w:rsidSect="00BE5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2E3" w:rsidRDefault="006932E3" w:rsidP="006932E3">
      <w:r>
        <w:separator/>
      </w:r>
    </w:p>
  </w:endnote>
  <w:endnote w:type="continuationSeparator" w:id="0">
    <w:p w:rsidR="006932E3" w:rsidRDefault="006932E3" w:rsidP="00693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A0F3C52" w:usb2="00000016" w:usb3="00000000" w:csb0="0004001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2E3" w:rsidRDefault="006932E3" w:rsidP="006932E3">
      <w:r>
        <w:separator/>
      </w:r>
    </w:p>
  </w:footnote>
  <w:footnote w:type="continuationSeparator" w:id="0">
    <w:p w:rsidR="006932E3" w:rsidRDefault="006932E3" w:rsidP="00693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1FEF"/>
    <w:multiLevelType w:val="hybridMultilevel"/>
    <w:tmpl w:val="6696F858"/>
    <w:lvl w:ilvl="0" w:tplc="0C380F26">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
    <w:nsid w:val="393975BB"/>
    <w:multiLevelType w:val="hybridMultilevel"/>
    <w:tmpl w:val="4CACEDA0"/>
    <w:lvl w:ilvl="0" w:tplc="14C66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065"/>
    <w:rsid w:val="00000324"/>
    <w:rsid w:val="00037723"/>
    <w:rsid w:val="000624D6"/>
    <w:rsid w:val="001E7589"/>
    <w:rsid w:val="00206065"/>
    <w:rsid w:val="00274A5C"/>
    <w:rsid w:val="002D45CD"/>
    <w:rsid w:val="0030045C"/>
    <w:rsid w:val="003C3EC0"/>
    <w:rsid w:val="004330EB"/>
    <w:rsid w:val="00445434"/>
    <w:rsid w:val="0047358B"/>
    <w:rsid w:val="004E6349"/>
    <w:rsid w:val="005D2717"/>
    <w:rsid w:val="00602DF1"/>
    <w:rsid w:val="0066331C"/>
    <w:rsid w:val="006932E3"/>
    <w:rsid w:val="006B0B72"/>
    <w:rsid w:val="006B1474"/>
    <w:rsid w:val="00764C3D"/>
    <w:rsid w:val="00766924"/>
    <w:rsid w:val="00800297"/>
    <w:rsid w:val="00912917"/>
    <w:rsid w:val="009E3288"/>
    <w:rsid w:val="00A10847"/>
    <w:rsid w:val="00AA123B"/>
    <w:rsid w:val="00BE5D30"/>
    <w:rsid w:val="00C22FB4"/>
    <w:rsid w:val="00D36838"/>
    <w:rsid w:val="00DD45E1"/>
    <w:rsid w:val="00FB0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D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E7589"/>
    <w:pPr>
      <w:ind w:firstLineChars="200" w:firstLine="420"/>
    </w:pPr>
  </w:style>
  <w:style w:type="character" w:styleId="a5">
    <w:name w:val="Hyperlink"/>
    <w:basedOn w:val="a0"/>
    <w:uiPriority w:val="99"/>
    <w:unhideWhenUsed/>
    <w:rsid w:val="001E7589"/>
    <w:rPr>
      <w:color w:val="0563C1" w:themeColor="hyperlink"/>
      <w:u w:val="single"/>
    </w:rPr>
  </w:style>
  <w:style w:type="character" w:customStyle="1" w:styleId="UnresolvedMention">
    <w:name w:val="Unresolved Mention"/>
    <w:basedOn w:val="a0"/>
    <w:uiPriority w:val="99"/>
    <w:semiHidden/>
    <w:unhideWhenUsed/>
    <w:rsid w:val="001E7589"/>
    <w:rPr>
      <w:color w:val="605E5C"/>
      <w:shd w:val="clear" w:color="auto" w:fill="E1DFDD"/>
    </w:rPr>
  </w:style>
  <w:style w:type="paragraph" w:customStyle="1" w:styleId="Default">
    <w:name w:val="Default"/>
    <w:rsid w:val="001E7589"/>
    <w:pPr>
      <w:widowControl w:val="0"/>
      <w:autoSpaceDE w:val="0"/>
      <w:autoSpaceDN w:val="0"/>
      <w:adjustRightInd w:val="0"/>
    </w:pPr>
    <w:rPr>
      <w:rFonts w:ascii="微软雅黑" w:eastAsia="微软雅黑" w:cs="微软雅黑"/>
      <w:color w:val="000000"/>
      <w:kern w:val="0"/>
      <w:sz w:val="24"/>
      <w:szCs w:val="24"/>
    </w:rPr>
  </w:style>
  <w:style w:type="paragraph" w:styleId="a6">
    <w:name w:val="header"/>
    <w:basedOn w:val="a"/>
    <w:link w:val="Char"/>
    <w:uiPriority w:val="99"/>
    <w:semiHidden/>
    <w:unhideWhenUsed/>
    <w:rsid w:val="00693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6932E3"/>
    <w:rPr>
      <w:sz w:val="18"/>
      <w:szCs w:val="18"/>
    </w:rPr>
  </w:style>
  <w:style w:type="paragraph" w:styleId="a7">
    <w:name w:val="footer"/>
    <w:basedOn w:val="a"/>
    <w:link w:val="Char0"/>
    <w:uiPriority w:val="99"/>
    <w:semiHidden/>
    <w:unhideWhenUsed/>
    <w:rsid w:val="006932E3"/>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6932E3"/>
    <w:rPr>
      <w:sz w:val="18"/>
      <w:szCs w:val="18"/>
    </w:rPr>
  </w:style>
</w:styles>
</file>

<file path=word/webSettings.xml><?xml version="1.0" encoding="utf-8"?>
<w:webSettings xmlns:r="http://schemas.openxmlformats.org/officeDocument/2006/relationships" xmlns:w="http://schemas.openxmlformats.org/wordprocessingml/2006/main">
  <w:divs>
    <w:div w:id="137502162">
      <w:bodyDiv w:val="1"/>
      <w:marLeft w:val="0"/>
      <w:marRight w:val="0"/>
      <w:marTop w:val="0"/>
      <w:marBottom w:val="0"/>
      <w:divBdr>
        <w:top w:val="none" w:sz="0" w:space="0" w:color="auto"/>
        <w:left w:val="none" w:sz="0" w:space="0" w:color="auto"/>
        <w:bottom w:val="none" w:sz="0" w:space="0" w:color="auto"/>
        <w:right w:val="none" w:sz="0" w:space="0" w:color="auto"/>
      </w:divBdr>
    </w:div>
    <w:div w:id="146366610">
      <w:bodyDiv w:val="1"/>
      <w:marLeft w:val="0"/>
      <w:marRight w:val="0"/>
      <w:marTop w:val="0"/>
      <w:marBottom w:val="0"/>
      <w:divBdr>
        <w:top w:val="none" w:sz="0" w:space="0" w:color="auto"/>
        <w:left w:val="none" w:sz="0" w:space="0" w:color="auto"/>
        <w:bottom w:val="none" w:sz="0" w:space="0" w:color="auto"/>
        <w:right w:val="none" w:sz="0" w:space="0" w:color="auto"/>
      </w:divBdr>
    </w:div>
    <w:div w:id="285158954">
      <w:bodyDiv w:val="1"/>
      <w:marLeft w:val="0"/>
      <w:marRight w:val="0"/>
      <w:marTop w:val="0"/>
      <w:marBottom w:val="0"/>
      <w:divBdr>
        <w:top w:val="none" w:sz="0" w:space="0" w:color="auto"/>
        <w:left w:val="none" w:sz="0" w:space="0" w:color="auto"/>
        <w:bottom w:val="none" w:sz="0" w:space="0" w:color="auto"/>
        <w:right w:val="none" w:sz="0" w:space="0" w:color="auto"/>
      </w:divBdr>
    </w:div>
    <w:div w:id="469713346">
      <w:bodyDiv w:val="1"/>
      <w:marLeft w:val="0"/>
      <w:marRight w:val="0"/>
      <w:marTop w:val="0"/>
      <w:marBottom w:val="0"/>
      <w:divBdr>
        <w:top w:val="none" w:sz="0" w:space="0" w:color="auto"/>
        <w:left w:val="none" w:sz="0" w:space="0" w:color="auto"/>
        <w:bottom w:val="none" w:sz="0" w:space="0" w:color="auto"/>
        <w:right w:val="none" w:sz="0" w:space="0" w:color="auto"/>
      </w:divBdr>
    </w:div>
    <w:div w:id="899174728">
      <w:bodyDiv w:val="1"/>
      <w:marLeft w:val="0"/>
      <w:marRight w:val="0"/>
      <w:marTop w:val="0"/>
      <w:marBottom w:val="0"/>
      <w:divBdr>
        <w:top w:val="none" w:sz="0" w:space="0" w:color="auto"/>
        <w:left w:val="none" w:sz="0" w:space="0" w:color="auto"/>
        <w:bottom w:val="none" w:sz="0" w:space="0" w:color="auto"/>
        <w:right w:val="none" w:sz="0" w:space="0" w:color="auto"/>
      </w:divBdr>
    </w:div>
    <w:div w:id="964890277">
      <w:bodyDiv w:val="1"/>
      <w:marLeft w:val="0"/>
      <w:marRight w:val="0"/>
      <w:marTop w:val="0"/>
      <w:marBottom w:val="0"/>
      <w:divBdr>
        <w:top w:val="none" w:sz="0" w:space="0" w:color="auto"/>
        <w:left w:val="none" w:sz="0" w:space="0" w:color="auto"/>
        <w:bottom w:val="none" w:sz="0" w:space="0" w:color="auto"/>
        <w:right w:val="none" w:sz="0" w:space="0" w:color="auto"/>
      </w:divBdr>
    </w:div>
    <w:div w:id="995645105">
      <w:bodyDiv w:val="1"/>
      <w:marLeft w:val="0"/>
      <w:marRight w:val="0"/>
      <w:marTop w:val="0"/>
      <w:marBottom w:val="0"/>
      <w:divBdr>
        <w:top w:val="none" w:sz="0" w:space="0" w:color="auto"/>
        <w:left w:val="none" w:sz="0" w:space="0" w:color="auto"/>
        <w:bottom w:val="none" w:sz="0" w:space="0" w:color="auto"/>
        <w:right w:val="none" w:sz="0" w:space="0" w:color="auto"/>
      </w:divBdr>
    </w:div>
    <w:div w:id="1365868355">
      <w:bodyDiv w:val="1"/>
      <w:marLeft w:val="0"/>
      <w:marRight w:val="0"/>
      <w:marTop w:val="0"/>
      <w:marBottom w:val="0"/>
      <w:divBdr>
        <w:top w:val="none" w:sz="0" w:space="0" w:color="auto"/>
        <w:left w:val="none" w:sz="0" w:space="0" w:color="auto"/>
        <w:bottom w:val="none" w:sz="0" w:space="0" w:color="auto"/>
        <w:right w:val="none" w:sz="0" w:space="0" w:color="auto"/>
      </w:divBdr>
    </w:div>
    <w:div w:id="1544057269">
      <w:bodyDiv w:val="1"/>
      <w:marLeft w:val="0"/>
      <w:marRight w:val="0"/>
      <w:marTop w:val="0"/>
      <w:marBottom w:val="0"/>
      <w:divBdr>
        <w:top w:val="none" w:sz="0" w:space="0" w:color="auto"/>
        <w:left w:val="none" w:sz="0" w:space="0" w:color="auto"/>
        <w:bottom w:val="none" w:sz="0" w:space="0" w:color="auto"/>
        <w:right w:val="none" w:sz="0" w:space="0" w:color="auto"/>
      </w:divBdr>
    </w:div>
    <w:div w:id="1744522772">
      <w:bodyDiv w:val="1"/>
      <w:marLeft w:val="0"/>
      <w:marRight w:val="0"/>
      <w:marTop w:val="0"/>
      <w:marBottom w:val="0"/>
      <w:divBdr>
        <w:top w:val="none" w:sz="0" w:space="0" w:color="auto"/>
        <w:left w:val="none" w:sz="0" w:space="0" w:color="auto"/>
        <w:bottom w:val="none" w:sz="0" w:space="0" w:color="auto"/>
        <w:right w:val="none" w:sz="0" w:space="0" w:color="auto"/>
      </w:divBdr>
    </w:div>
    <w:div w:id="19767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teda.com" TargetMode="External"/><Relationship Id="rId3" Type="http://schemas.openxmlformats.org/officeDocument/2006/relationships/settings" Target="settings.xml"/><Relationship Id="rId7" Type="http://schemas.openxmlformats.org/officeDocument/2006/relationships/hyperlink" Target="http://www.dgzq.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1112</Characters>
  <Application>Microsoft Office Word</Application>
  <DocSecurity>4</DocSecurity>
  <Lines>9</Lines>
  <Paragraphs>2</Paragraphs>
  <ScaleCrop>false</ScaleCrop>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陈静红</dc:creator>
  <cp:keywords/>
  <dc:description/>
  <cp:lastModifiedBy>ZHONGM</cp:lastModifiedBy>
  <cp:revision>2</cp:revision>
  <dcterms:created xsi:type="dcterms:W3CDTF">2021-06-04T16:23:00Z</dcterms:created>
  <dcterms:modified xsi:type="dcterms:W3CDTF">2021-06-04T16:23:00Z</dcterms:modified>
</cp:coreProperties>
</file>