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22" w:rsidRPr="00EE6F31" w:rsidRDefault="00EE6F31" w:rsidP="00EE6F31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E6F31">
        <w:rPr>
          <w:rFonts w:ascii="宋体" w:eastAsia="宋体" w:hAnsi="宋体" w:hint="eastAsia"/>
          <w:b/>
          <w:spacing w:val="-3"/>
          <w:sz w:val="36"/>
          <w:szCs w:val="36"/>
        </w:rPr>
        <w:t>财通证券资产管理有限公司关于</w:t>
      </w:r>
      <w:r w:rsidR="003E3111">
        <w:rPr>
          <w:rFonts w:ascii="宋体" w:eastAsia="宋体" w:hAnsi="宋体" w:hint="eastAsia"/>
          <w:b/>
          <w:spacing w:val="-3"/>
          <w:sz w:val="36"/>
          <w:szCs w:val="36"/>
        </w:rPr>
        <w:t>旗下部分基金</w:t>
      </w:r>
      <w:r w:rsidR="00D42B18">
        <w:rPr>
          <w:rFonts w:ascii="宋体" w:eastAsia="宋体" w:hAnsi="宋体" w:hint="eastAsia"/>
          <w:b/>
          <w:spacing w:val="-3"/>
          <w:sz w:val="36"/>
          <w:szCs w:val="36"/>
        </w:rPr>
        <w:t>开通</w:t>
      </w:r>
      <w:r w:rsidRPr="00EE6F31">
        <w:rPr>
          <w:rFonts w:ascii="宋体" w:eastAsia="宋体" w:hAnsi="宋体" w:hint="eastAsia"/>
          <w:b/>
          <w:spacing w:val="-3"/>
          <w:sz w:val="36"/>
          <w:szCs w:val="36"/>
        </w:rPr>
        <w:t>直销渠道</w:t>
      </w:r>
      <w:r w:rsidR="00D42B18">
        <w:rPr>
          <w:rFonts w:ascii="宋体" w:eastAsia="宋体" w:hAnsi="宋体" w:hint="eastAsia"/>
          <w:b/>
          <w:spacing w:val="-3"/>
          <w:sz w:val="36"/>
          <w:szCs w:val="36"/>
        </w:rPr>
        <w:t>交易</w:t>
      </w:r>
      <w:r w:rsidR="003E3111">
        <w:rPr>
          <w:rFonts w:ascii="宋体" w:eastAsia="宋体" w:hAnsi="宋体" w:hint="eastAsia"/>
          <w:b/>
          <w:spacing w:val="-3"/>
          <w:sz w:val="36"/>
          <w:szCs w:val="36"/>
        </w:rPr>
        <w:t>业务的公告</w:t>
      </w:r>
    </w:p>
    <w:p w:rsidR="00EE6F31" w:rsidRDefault="00EE6F31" w:rsidP="00EE6F31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 xml:space="preserve">　</w:t>
      </w:r>
    </w:p>
    <w:p w:rsidR="00BF77D9" w:rsidRDefault="00EE6F31" w:rsidP="003E3111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为更好地满足投资者的理财需求，</w:t>
      </w:r>
      <w:r w:rsidR="009E244B"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财通证券资产管理有限公司（以下简称“本公司”）</w:t>
      </w:r>
      <w:r w:rsidR="00D42B18"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决定，</w:t>
      </w: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自2</w:t>
      </w:r>
      <w:r w:rsidRPr="00601E5F">
        <w:rPr>
          <w:rFonts w:ascii="宋体" w:eastAsia="宋体" w:hAnsi="Arial" w:cs="宋体"/>
          <w:color w:val="000000"/>
          <w:kern w:val="0"/>
          <w:sz w:val="24"/>
          <w:szCs w:val="24"/>
        </w:rPr>
        <w:t>021</w:t>
      </w: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年6月</w:t>
      </w:r>
      <w:r w:rsidR="00956D40" w:rsidRPr="00601E5F">
        <w:rPr>
          <w:rFonts w:ascii="宋体" w:eastAsia="宋体" w:hAnsi="Arial" w:cs="宋体"/>
          <w:color w:val="000000"/>
          <w:kern w:val="0"/>
          <w:sz w:val="24"/>
          <w:szCs w:val="24"/>
        </w:rPr>
        <w:t>3</w:t>
      </w: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日起，</w:t>
      </w:r>
      <w:r w:rsidR="00D42B18"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旗下部分基金</w:t>
      </w: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</w:t>
      </w:r>
      <w:r w:rsidR="00D42B18"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</w:t>
      </w: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直销渠道</w:t>
      </w:r>
      <w:r w:rsidR="00D42B18"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（包括网上直销交易平台、直销柜台）开通</w:t>
      </w:r>
      <w:r w:rsidR="003E3111"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申购、赎回业务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</w:t>
      </w:r>
    </w:p>
    <w:p w:rsidR="00D42B18" w:rsidRDefault="00D42B18" w:rsidP="003E3111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D42B18" w:rsidRPr="00D42B18" w:rsidRDefault="00D42B18" w:rsidP="003E3111">
      <w:pPr>
        <w:autoSpaceDE w:val="0"/>
        <w:autoSpaceDN w:val="0"/>
        <w:adjustRightInd w:val="0"/>
        <w:spacing w:before="29" w:line="288" w:lineRule="auto"/>
        <w:ind w:left="17" w:firstLineChars="200" w:firstLine="482"/>
        <w:rPr>
          <w:rFonts w:ascii="宋体" w:eastAsia="宋体" w:hAnsi="Arial" w:cs="宋体"/>
          <w:b/>
          <w:color w:val="000000"/>
          <w:kern w:val="0"/>
          <w:sz w:val="24"/>
          <w:szCs w:val="24"/>
        </w:rPr>
      </w:pPr>
      <w:r w:rsidRPr="00D42B18">
        <w:rPr>
          <w:rFonts w:ascii="宋体" w:eastAsia="宋体" w:hAnsi="Arial" w:cs="宋体" w:hint="eastAsia"/>
          <w:b/>
          <w:color w:val="000000"/>
          <w:kern w:val="0"/>
          <w:sz w:val="24"/>
          <w:szCs w:val="24"/>
        </w:rPr>
        <w:t>一、适用基金</w:t>
      </w:r>
    </w:p>
    <w:tbl>
      <w:tblPr>
        <w:tblStyle w:val="a3"/>
        <w:tblW w:w="0" w:type="auto"/>
        <w:tblLook w:val="04A0"/>
      </w:tblPr>
      <w:tblGrid>
        <w:gridCol w:w="5240"/>
        <w:gridCol w:w="3056"/>
      </w:tblGrid>
      <w:tr w:rsidR="00D42B18" w:rsidRPr="00D42B18" w:rsidTr="00D42B18">
        <w:tc>
          <w:tcPr>
            <w:tcW w:w="5240" w:type="dxa"/>
          </w:tcPr>
          <w:p w:rsidR="00D42B18" w:rsidRPr="00D42B18" w:rsidRDefault="00D42B18" w:rsidP="00D42B1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宋体" w:eastAsia="宋体" w:hAnsi="Arial" w:cs="宋体"/>
                <w:b/>
                <w:color w:val="000000"/>
                <w:kern w:val="0"/>
                <w:sz w:val="24"/>
                <w:szCs w:val="24"/>
              </w:rPr>
            </w:pPr>
            <w:r w:rsidRPr="00D42B18">
              <w:rPr>
                <w:rFonts w:ascii="宋体" w:eastAsia="宋体" w:hAnsi="Arial" w:cs="宋体" w:hint="eastAsia"/>
                <w:b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3056" w:type="dxa"/>
          </w:tcPr>
          <w:p w:rsidR="00D42B18" w:rsidRPr="00D42B18" w:rsidRDefault="00D42B18" w:rsidP="00D42B1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宋体" w:eastAsia="宋体" w:hAnsi="Arial" w:cs="宋体"/>
                <w:b/>
                <w:color w:val="000000"/>
                <w:kern w:val="0"/>
                <w:sz w:val="24"/>
                <w:szCs w:val="24"/>
              </w:rPr>
            </w:pPr>
            <w:r w:rsidRPr="00D42B18">
              <w:rPr>
                <w:rFonts w:ascii="宋体" w:eastAsia="宋体" w:hAnsi="Arial" w:cs="宋体" w:hint="eastAsia"/>
                <w:b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D42B18" w:rsidRPr="00D42B18" w:rsidTr="00D42B18">
        <w:tc>
          <w:tcPr>
            <w:tcW w:w="5240" w:type="dxa"/>
          </w:tcPr>
          <w:p w:rsidR="00D42B18" w:rsidRPr="00D42B18" w:rsidRDefault="00D42B18" w:rsidP="00D42B1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E244B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财通资管鸿达纯债债券型证券投资基金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3056" w:type="dxa"/>
          </w:tcPr>
          <w:p w:rsidR="00D42B18" w:rsidRPr="00D42B18" w:rsidRDefault="00D42B18" w:rsidP="00D42B1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E6F31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011067</w:t>
            </w:r>
          </w:p>
        </w:tc>
      </w:tr>
    </w:tbl>
    <w:p w:rsidR="00D42B18" w:rsidRDefault="00D42B18" w:rsidP="00D42B18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D42B18" w:rsidRPr="00D42B18" w:rsidRDefault="00D42B18" w:rsidP="00D42B18">
      <w:pPr>
        <w:autoSpaceDE w:val="0"/>
        <w:autoSpaceDN w:val="0"/>
        <w:adjustRightInd w:val="0"/>
        <w:spacing w:before="29" w:line="288" w:lineRule="auto"/>
        <w:ind w:left="17" w:firstLineChars="200" w:firstLine="482"/>
        <w:rPr>
          <w:rFonts w:ascii="宋体" w:eastAsia="宋体" w:hAnsi="Arial" w:cs="宋体"/>
          <w:b/>
          <w:color w:val="000000"/>
          <w:kern w:val="0"/>
          <w:sz w:val="24"/>
          <w:szCs w:val="24"/>
        </w:rPr>
      </w:pPr>
      <w:r w:rsidRPr="00D42B18">
        <w:rPr>
          <w:rFonts w:ascii="宋体" w:eastAsia="宋体" w:hAnsi="Arial" w:cs="宋体" w:hint="eastAsia"/>
          <w:b/>
          <w:color w:val="000000"/>
          <w:kern w:val="0"/>
          <w:sz w:val="24"/>
          <w:szCs w:val="24"/>
        </w:rPr>
        <w:t>二、申购、赎回业务</w:t>
      </w:r>
    </w:p>
    <w:p w:rsidR="00BF77D9" w:rsidRPr="00601E5F" w:rsidRDefault="00D42B18" w:rsidP="00D42B18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D42B1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自</w:t>
      </w: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 w:rsidRPr="00601E5F">
        <w:rPr>
          <w:rFonts w:ascii="宋体" w:eastAsia="宋体" w:hAnsi="Arial" w:cs="宋体"/>
          <w:color w:val="000000"/>
          <w:kern w:val="0"/>
          <w:sz w:val="24"/>
          <w:szCs w:val="24"/>
        </w:rPr>
        <w:t>021</w:t>
      </w: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年6月</w:t>
      </w:r>
      <w:r w:rsidR="00FE52DA" w:rsidRPr="00601E5F">
        <w:rPr>
          <w:rFonts w:ascii="宋体" w:eastAsia="宋体" w:hAnsi="Arial" w:cs="宋体"/>
          <w:color w:val="000000"/>
          <w:kern w:val="0"/>
          <w:sz w:val="24"/>
          <w:szCs w:val="24"/>
        </w:rPr>
        <w:t>3</w:t>
      </w: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日起，投资者可通过本公司直销渠道办理上述基金的申购、赎回业务。通过本公司</w:t>
      </w:r>
      <w:r w:rsidRPr="00601E5F">
        <w:rPr>
          <w:rFonts w:ascii="宋体" w:eastAsia="宋体" w:hAnsi="宋体" w:cs="Calibri"/>
          <w:sz w:val="24"/>
          <w:szCs w:val="24"/>
        </w:rPr>
        <w:t>网上直销交易平台</w:t>
      </w:r>
      <w:r w:rsidRPr="00601E5F">
        <w:rPr>
          <w:rFonts w:ascii="宋体" w:eastAsia="宋体" w:hAnsi="宋体" w:cs="Calibri" w:hint="eastAsia"/>
          <w:sz w:val="24"/>
          <w:szCs w:val="24"/>
        </w:rPr>
        <w:t>首次</w:t>
      </w:r>
      <w:r w:rsidRPr="00601E5F">
        <w:rPr>
          <w:rFonts w:ascii="宋体" w:eastAsia="宋体" w:hAnsi="宋体" w:cs="Calibri"/>
          <w:sz w:val="24"/>
          <w:szCs w:val="24"/>
        </w:rPr>
        <w:t>申购</w:t>
      </w:r>
      <w:r w:rsidRPr="00601E5F">
        <w:rPr>
          <w:rFonts w:ascii="宋体" w:eastAsia="宋体" w:hAnsi="宋体" w:cs="Calibri" w:hint="eastAsia"/>
          <w:sz w:val="24"/>
          <w:szCs w:val="24"/>
        </w:rPr>
        <w:t>、</w:t>
      </w:r>
      <w:r w:rsidRPr="00601E5F">
        <w:rPr>
          <w:rFonts w:ascii="宋体" w:eastAsia="宋体" w:hAnsi="宋体" w:cs="Calibri"/>
          <w:sz w:val="24"/>
          <w:szCs w:val="24"/>
        </w:rPr>
        <w:t>追加申购</w:t>
      </w:r>
      <w:r w:rsidR="00777A72" w:rsidRPr="00601E5F">
        <w:rPr>
          <w:rFonts w:ascii="宋体" w:eastAsia="宋体" w:hAnsi="宋体" w:cs="Calibri" w:hint="eastAsia"/>
          <w:sz w:val="24"/>
          <w:szCs w:val="24"/>
        </w:rPr>
        <w:t>上述基金</w:t>
      </w:r>
      <w:r w:rsidRPr="00601E5F">
        <w:rPr>
          <w:rFonts w:ascii="宋体" w:eastAsia="宋体" w:hAnsi="宋体" w:cs="Calibri"/>
          <w:sz w:val="24"/>
          <w:szCs w:val="24"/>
        </w:rPr>
        <w:t>单笔最低金额为1元</w:t>
      </w:r>
      <w:r w:rsidRPr="00601E5F">
        <w:rPr>
          <w:rFonts w:ascii="宋体" w:eastAsia="宋体" w:hAnsi="宋体" w:cs="Calibri" w:hint="eastAsia"/>
          <w:sz w:val="24"/>
          <w:szCs w:val="24"/>
        </w:rPr>
        <w:t>（含申购费）。</w:t>
      </w: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通过本公司直销柜台申购上述基金最低申购金额为5</w:t>
      </w:r>
      <w:r w:rsidRPr="00601E5F">
        <w:rPr>
          <w:rFonts w:ascii="宋体" w:eastAsia="宋体" w:hAnsi="Arial" w:cs="宋体"/>
          <w:color w:val="000000"/>
          <w:kern w:val="0"/>
          <w:sz w:val="24"/>
          <w:szCs w:val="24"/>
        </w:rPr>
        <w:t>0</w:t>
      </w: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万元，追加申购单笔最低金额为1</w:t>
      </w:r>
      <w:r w:rsidRPr="00601E5F">
        <w:rPr>
          <w:rFonts w:ascii="宋体" w:eastAsia="宋体" w:hAnsi="Arial" w:cs="宋体"/>
          <w:color w:val="000000"/>
          <w:kern w:val="0"/>
          <w:sz w:val="24"/>
          <w:szCs w:val="24"/>
        </w:rPr>
        <w:t>000</w:t>
      </w: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元。</w:t>
      </w:r>
    </w:p>
    <w:p w:rsidR="009564D6" w:rsidRPr="009564D6" w:rsidRDefault="009564D6" w:rsidP="009564D6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宋体" w:cs="Calibri"/>
          <w:sz w:val="24"/>
          <w:szCs w:val="24"/>
        </w:rPr>
      </w:pPr>
      <w:r w:rsidRPr="00601E5F">
        <w:rPr>
          <w:rFonts w:ascii="宋体" w:eastAsia="宋体" w:hAnsi="宋体" w:cs="Calibri" w:hint="eastAsia"/>
          <w:sz w:val="24"/>
          <w:szCs w:val="24"/>
        </w:rPr>
        <w:t>根据本公司2</w:t>
      </w:r>
      <w:r w:rsidRPr="00601E5F">
        <w:rPr>
          <w:rFonts w:ascii="宋体" w:eastAsia="宋体" w:hAnsi="宋体" w:cs="Calibri"/>
          <w:sz w:val="24"/>
          <w:szCs w:val="24"/>
        </w:rPr>
        <w:t>021</w:t>
      </w:r>
      <w:r w:rsidRPr="00601E5F">
        <w:rPr>
          <w:rFonts w:ascii="宋体" w:eastAsia="宋体" w:hAnsi="宋体" w:cs="Calibri" w:hint="eastAsia"/>
          <w:sz w:val="24"/>
          <w:szCs w:val="24"/>
        </w:rPr>
        <w:t>年6月</w:t>
      </w:r>
      <w:r w:rsidR="001B650E" w:rsidRPr="00601E5F">
        <w:rPr>
          <w:rFonts w:ascii="宋体" w:eastAsia="宋体" w:hAnsi="宋体" w:cs="Calibri"/>
          <w:sz w:val="24"/>
          <w:szCs w:val="24"/>
        </w:rPr>
        <w:t>2</w:t>
      </w:r>
      <w:r w:rsidRPr="00601E5F">
        <w:rPr>
          <w:rFonts w:ascii="宋体" w:eastAsia="宋体" w:hAnsi="宋体" w:cs="Calibri" w:hint="eastAsia"/>
          <w:sz w:val="24"/>
          <w:szCs w:val="24"/>
        </w:rPr>
        <w:t>日公告，自2021年6月</w:t>
      </w:r>
      <w:r w:rsidR="0000114F" w:rsidRPr="00601E5F">
        <w:rPr>
          <w:rFonts w:ascii="宋体" w:eastAsia="宋体" w:hAnsi="宋体" w:cs="Calibri"/>
          <w:sz w:val="24"/>
          <w:szCs w:val="24"/>
        </w:rPr>
        <w:t>3</w:t>
      </w:r>
      <w:r w:rsidRPr="00601E5F">
        <w:rPr>
          <w:rFonts w:ascii="宋体" w:eastAsia="宋体" w:hAnsi="宋体" w:cs="Calibri" w:hint="eastAsia"/>
          <w:sz w:val="24"/>
          <w:szCs w:val="24"/>
        </w:rPr>
        <w:t>日起暂停直销渠道办理财通资管鸿达纯债债券型证券投资基金C类份额</w:t>
      </w:r>
      <w:r w:rsidR="00DA01F8" w:rsidRPr="00601E5F">
        <w:rPr>
          <w:rFonts w:ascii="宋体" w:eastAsia="宋体" w:hAnsi="宋体" w:cs="Calibri" w:hint="eastAsia"/>
          <w:sz w:val="24"/>
          <w:szCs w:val="24"/>
        </w:rPr>
        <w:t>（</w:t>
      </w:r>
      <w:r w:rsidR="00DA01F8" w:rsidRPr="00601E5F">
        <w:rPr>
          <w:rFonts w:ascii="宋体" w:eastAsia="宋体" w:hAnsi="宋体" w:cs="Calibri"/>
          <w:sz w:val="24"/>
          <w:szCs w:val="24"/>
        </w:rPr>
        <w:t>005308</w:t>
      </w:r>
      <w:r w:rsidR="00DA01F8" w:rsidRPr="00601E5F">
        <w:rPr>
          <w:rFonts w:ascii="宋体" w:eastAsia="宋体" w:hAnsi="宋体" w:cs="Calibri" w:hint="eastAsia"/>
          <w:sz w:val="24"/>
          <w:szCs w:val="24"/>
        </w:rPr>
        <w:t>）</w:t>
      </w:r>
      <w:r w:rsidRPr="00601E5F">
        <w:rPr>
          <w:rFonts w:ascii="宋体" w:eastAsia="宋体" w:hAnsi="宋体" w:cs="Calibri" w:hint="eastAsia"/>
          <w:sz w:val="24"/>
          <w:szCs w:val="24"/>
        </w:rPr>
        <w:t>和E类份额</w:t>
      </w:r>
      <w:r w:rsidR="00DA01F8" w:rsidRPr="00601E5F">
        <w:rPr>
          <w:rFonts w:ascii="宋体" w:eastAsia="宋体" w:hAnsi="宋体" w:cs="Calibri" w:hint="eastAsia"/>
          <w:sz w:val="24"/>
          <w:szCs w:val="24"/>
        </w:rPr>
        <w:t>（</w:t>
      </w:r>
      <w:r w:rsidR="00DA01F8"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005882</w:t>
      </w:r>
      <w:r w:rsidR="00DA01F8" w:rsidRPr="00601E5F">
        <w:rPr>
          <w:rFonts w:ascii="宋体" w:eastAsia="宋体" w:hAnsi="宋体" w:cs="Calibri" w:hint="eastAsia"/>
          <w:sz w:val="24"/>
          <w:szCs w:val="24"/>
        </w:rPr>
        <w:t>）</w:t>
      </w:r>
      <w:r w:rsidRPr="009564D6">
        <w:rPr>
          <w:rFonts w:ascii="宋体" w:eastAsia="宋体" w:hAnsi="宋体" w:cs="Calibri" w:hint="eastAsia"/>
          <w:sz w:val="24"/>
          <w:szCs w:val="24"/>
        </w:rPr>
        <w:t>的申购（含转换转入、定期定额投资）业务。</w:t>
      </w:r>
      <w:r w:rsidRPr="00D14FF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暂停上述相关业务期间，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上述基金</w:t>
      </w:r>
      <w:r w:rsidRPr="00D14FF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的赎回等业务照常办理。</w:t>
      </w:r>
    </w:p>
    <w:p w:rsidR="00D42B18" w:rsidRPr="009564D6" w:rsidRDefault="00D42B18" w:rsidP="009564D6">
      <w:pPr>
        <w:autoSpaceDE w:val="0"/>
        <w:autoSpaceDN w:val="0"/>
        <w:adjustRightInd w:val="0"/>
        <w:spacing w:before="29" w:line="288" w:lineRule="auto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D42B18" w:rsidRPr="003A3800" w:rsidRDefault="00D42B18" w:rsidP="00D42B18">
      <w:pPr>
        <w:spacing w:line="360" w:lineRule="auto"/>
        <w:ind w:firstLine="482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3A380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三</w:t>
      </w:r>
      <w:r w:rsidRPr="003A3800">
        <w:rPr>
          <w:rFonts w:ascii="宋体" w:eastAsia="宋体" w:hAnsi="宋体" w:cs="Times New Roman"/>
          <w:b/>
          <w:bCs/>
          <w:kern w:val="0"/>
          <w:sz w:val="24"/>
          <w:szCs w:val="24"/>
        </w:rPr>
        <w:t>、投资者可通过以下途径了解或咨询相关情况</w:t>
      </w:r>
    </w:p>
    <w:p w:rsidR="00D42B18" w:rsidRPr="00D42B18" w:rsidRDefault="00D42B18" w:rsidP="00D42B18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D42B18">
        <w:rPr>
          <w:rFonts w:ascii="宋体" w:eastAsia="宋体" w:hAnsi="Arial" w:cs="宋体"/>
          <w:color w:val="000000"/>
          <w:kern w:val="0"/>
          <w:sz w:val="24"/>
          <w:szCs w:val="24"/>
        </w:rPr>
        <w:t xml:space="preserve">财通证券资产管理有限公司 </w:t>
      </w:r>
    </w:p>
    <w:p w:rsidR="00D42B18" w:rsidRPr="00D42B18" w:rsidRDefault="00D42B18" w:rsidP="00D42B18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D42B18">
        <w:rPr>
          <w:rFonts w:ascii="宋体" w:eastAsia="宋体" w:hAnsi="Arial" w:cs="宋体"/>
          <w:color w:val="000000"/>
          <w:kern w:val="0"/>
          <w:sz w:val="24"/>
          <w:szCs w:val="24"/>
        </w:rPr>
        <w:t xml:space="preserve">客服电话：95336 </w:t>
      </w:r>
    </w:p>
    <w:p w:rsidR="00D42B18" w:rsidRDefault="00D42B18" w:rsidP="00D42B18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D42B18">
        <w:rPr>
          <w:rFonts w:ascii="宋体" w:eastAsia="宋体" w:hAnsi="Arial" w:cs="宋体"/>
          <w:color w:val="000000"/>
          <w:kern w:val="0"/>
          <w:sz w:val="24"/>
          <w:szCs w:val="24"/>
        </w:rPr>
        <w:t>网址：</w:t>
      </w:r>
      <w:r w:rsidR="00A91821" w:rsidRPr="00D2787E">
        <w:rPr>
          <w:rFonts w:ascii="宋体" w:eastAsia="宋体" w:hAnsi="Arial" w:cs="宋体"/>
          <w:color w:val="000000"/>
          <w:kern w:val="0"/>
          <w:sz w:val="24"/>
          <w:szCs w:val="24"/>
        </w:rPr>
        <w:t>www.ctzg.com</w:t>
      </w:r>
    </w:p>
    <w:p w:rsidR="00A91821" w:rsidRPr="00D42B18" w:rsidRDefault="00A91821" w:rsidP="00D42B18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A91821" w:rsidRPr="003A3800" w:rsidRDefault="00A91821" w:rsidP="00A91821">
      <w:pPr>
        <w:spacing w:line="360" w:lineRule="auto"/>
        <w:ind w:firstLine="482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3A380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四</w:t>
      </w:r>
      <w:r w:rsidRPr="003A3800">
        <w:rPr>
          <w:rFonts w:ascii="宋体" w:eastAsia="宋体" w:hAnsi="宋体" w:cs="Times New Roman"/>
          <w:b/>
          <w:bCs/>
          <w:kern w:val="0"/>
          <w:sz w:val="24"/>
          <w:szCs w:val="24"/>
        </w:rPr>
        <w:t>、重要提示</w:t>
      </w:r>
    </w:p>
    <w:p w:rsidR="00BF77D9" w:rsidRDefault="00BF77D9" w:rsidP="009E244B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9E244B">
        <w:rPr>
          <w:rFonts w:ascii="宋体" w:eastAsia="宋体" w:hAnsi="Arial" w:cs="宋体"/>
          <w:color w:val="000000"/>
          <w:kern w:val="0"/>
          <w:sz w:val="24"/>
          <w:szCs w:val="24"/>
        </w:rPr>
        <w:t>投资者欲了解基金产品的详细情况，敬请仔细阅读刊登于本公司网站（www.ctzg.com）的</w:t>
      </w:r>
      <w:r w:rsidRPr="009E244B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《财通资管鸿达纯债债券型证券投资基金基金合同》和《财通资管鸿达纯债债券型证券投资基金招募说明书》</w:t>
      </w:r>
      <w:r w:rsidRPr="009E244B">
        <w:rPr>
          <w:rFonts w:ascii="宋体" w:eastAsia="宋体" w:hAnsi="Arial" w:cs="宋体"/>
          <w:color w:val="000000"/>
          <w:kern w:val="0"/>
          <w:sz w:val="24"/>
          <w:szCs w:val="24"/>
        </w:rPr>
        <w:t>等法律文件以及相关业务公告，了解所投资基金的风险收益特征，并根据自身情况购买与本人风险承受能力相匹配的产品。</w:t>
      </w:r>
    </w:p>
    <w:p w:rsidR="00A91821" w:rsidRPr="009E244B" w:rsidRDefault="00A91821" w:rsidP="009E244B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A91821" w:rsidRPr="003A3800" w:rsidRDefault="00A91821" w:rsidP="00A91821">
      <w:pPr>
        <w:spacing w:line="360" w:lineRule="auto"/>
        <w:ind w:firstLine="482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3A380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lastRenderedPageBreak/>
        <w:t>五</w:t>
      </w:r>
      <w:r w:rsidRPr="003A3800">
        <w:rPr>
          <w:rFonts w:ascii="宋体" w:eastAsia="宋体" w:hAnsi="宋体" w:cs="Times New Roman"/>
          <w:b/>
          <w:bCs/>
          <w:kern w:val="0"/>
          <w:sz w:val="24"/>
          <w:szCs w:val="24"/>
        </w:rPr>
        <w:t>、风险提示</w:t>
      </w:r>
    </w:p>
    <w:p w:rsidR="00BF77D9" w:rsidRPr="009E244B" w:rsidRDefault="00BF77D9" w:rsidP="009E244B">
      <w:pPr>
        <w:autoSpaceDE w:val="0"/>
        <w:autoSpaceDN w:val="0"/>
        <w:adjustRightInd w:val="0"/>
        <w:spacing w:before="29" w:line="288" w:lineRule="auto"/>
        <w:ind w:left="17" w:firstLineChars="200" w:firstLine="480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9E244B">
        <w:rPr>
          <w:rFonts w:ascii="宋体" w:eastAsia="宋体" w:hAnsi="Arial" w:cs="宋体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本公司提醒投资者，投资者投资基金前应认真阅读本基金的基金合同、招募说明书等文件。敬请投资者注意投资风险。基金的过往业绩不预示未来表现，基金管理人管理的其他基金的业绩并不构成基金业绩表现的保证。</w:t>
      </w:r>
    </w:p>
    <w:p w:rsidR="00BF77D9" w:rsidRDefault="00BF77D9" w:rsidP="00BF77D9"/>
    <w:p w:rsidR="00BF77D9" w:rsidRDefault="00BF77D9" w:rsidP="00BF77D9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BF77D9" w:rsidRDefault="00BF77D9" w:rsidP="00BF77D9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BF77D9" w:rsidRDefault="00BF77D9" w:rsidP="00BF77D9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财通证券资产管理有限公司</w:t>
      </w:r>
    </w:p>
    <w:p w:rsidR="00BF77D9" w:rsidRDefault="00BF77D9" w:rsidP="00BF77D9">
      <w:pPr>
        <w:jc w:val="right"/>
      </w:pP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2021年6月</w:t>
      </w:r>
      <w:r w:rsidR="00441BEF" w:rsidRPr="00601E5F">
        <w:rPr>
          <w:rFonts w:ascii="宋体" w:eastAsia="宋体" w:hAnsi="Arial" w:cs="宋体"/>
          <w:color w:val="000000"/>
          <w:kern w:val="0"/>
          <w:sz w:val="24"/>
          <w:szCs w:val="24"/>
        </w:rPr>
        <w:t>3</w:t>
      </w:r>
      <w:r w:rsidRPr="00601E5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p w:rsidR="00BF77D9" w:rsidRPr="00BF77D9" w:rsidRDefault="00BF77D9" w:rsidP="00BF77D9"/>
    <w:sectPr w:rsidR="00BF77D9" w:rsidRPr="00BF77D9" w:rsidSect="009C4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05" w:rsidRDefault="000B1905" w:rsidP="009564D6">
      <w:r>
        <w:separator/>
      </w:r>
    </w:p>
  </w:endnote>
  <w:endnote w:type="continuationSeparator" w:id="0">
    <w:p w:rsidR="000B1905" w:rsidRDefault="000B1905" w:rsidP="0095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05" w:rsidRDefault="000B1905" w:rsidP="009564D6">
      <w:r>
        <w:separator/>
      </w:r>
    </w:p>
  </w:footnote>
  <w:footnote w:type="continuationSeparator" w:id="0">
    <w:p w:rsidR="000B1905" w:rsidRDefault="000B1905" w:rsidP="00956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36B"/>
    <w:rsid w:val="0000114F"/>
    <w:rsid w:val="000B1905"/>
    <w:rsid w:val="00121B46"/>
    <w:rsid w:val="0017228E"/>
    <w:rsid w:val="001B650E"/>
    <w:rsid w:val="002B7422"/>
    <w:rsid w:val="00397BB8"/>
    <w:rsid w:val="003E3111"/>
    <w:rsid w:val="004020EA"/>
    <w:rsid w:val="00441BEF"/>
    <w:rsid w:val="00601E5F"/>
    <w:rsid w:val="00602773"/>
    <w:rsid w:val="0067341C"/>
    <w:rsid w:val="006B6263"/>
    <w:rsid w:val="00701C6B"/>
    <w:rsid w:val="00777A72"/>
    <w:rsid w:val="007B08E4"/>
    <w:rsid w:val="007D27F3"/>
    <w:rsid w:val="00880370"/>
    <w:rsid w:val="009261D5"/>
    <w:rsid w:val="009564D6"/>
    <w:rsid w:val="00956D40"/>
    <w:rsid w:val="009C41CE"/>
    <w:rsid w:val="009E244B"/>
    <w:rsid w:val="00A5181B"/>
    <w:rsid w:val="00A91821"/>
    <w:rsid w:val="00AC736B"/>
    <w:rsid w:val="00AD6E22"/>
    <w:rsid w:val="00BF77D9"/>
    <w:rsid w:val="00C124C7"/>
    <w:rsid w:val="00CB5221"/>
    <w:rsid w:val="00D2787E"/>
    <w:rsid w:val="00D42B18"/>
    <w:rsid w:val="00D86A72"/>
    <w:rsid w:val="00DA01F8"/>
    <w:rsid w:val="00EE6F31"/>
    <w:rsid w:val="00F12FAD"/>
    <w:rsid w:val="00F320FF"/>
    <w:rsid w:val="00F87C5C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182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56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64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6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64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4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田苗</dc:creator>
  <cp:keywords/>
  <dc:description/>
  <cp:lastModifiedBy>ZHONGM</cp:lastModifiedBy>
  <cp:revision>2</cp:revision>
  <dcterms:created xsi:type="dcterms:W3CDTF">2021-06-02T16:22:00Z</dcterms:created>
  <dcterms:modified xsi:type="dcterms:W3CDTF">2021-06-02T16:22:00Z</dcterms:modified>
</cp:coreProperties>
</file>