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2AB6">
      <w:pPr>
        <w:jc w:val="center"/>
        <w:rPr>
          <w:rFonts w:ascii="Times New Roman" w:eastAsia="Times New Roman" w:hAnsi="Times New Roman" w:cs="Times New Roman" w:hint="eastAsia"/>
          <w:b/>
          <w:color w:val="000000"/>
          <w:sz w:val="30"/>
          <w:szCs w:val="30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 w:hint="eastAsia"/>
          <w:b/>
          <w:color w:val="000000"/>
          <w:sz w:val="30"/>
          <w:szCs w:val="30"/>
        </w:rPr>
        <w:t>中海基金管理有限公司关于旗下部分</w:t>
      </w:r>
      <w:r>
        <w:rPr>
          <w:rFonts w:ascii="Times New Roman" w:eastAsia="Times New Roman" w:hAnsi="Times New Roman" w:cs="Times New Roman" w:hint="eastAsia"/>
          <w:b/>
          <w:color w:val="000000"/>
          <w:sz w:val="30"/>
          <w:szCs w:val="30"/>
        </w:rPr>
        <w:t>基金</w:t>
      </w:r>
      <w:r>
        <w:rPr>
          <w:rFonts w:ascii="Times New Roman" w:eastAsia="Times New Roman" w:hAnsi="Times New Roman" w:cs="Times New Roman" w:hint="eastAsia"/>
          <w:b/>
          <w:color w:val="000000"/>
          <w:sz w:val="30"/>
          <w:szCs w:val="30"/>
        </w:rPr>
        <w:t>新增中国人寿保险股份有限公司为销售机构并开通基金转换、定期定额投资业务及相关费率优惠活动的公告</w:t>
      </w:r>
    </w:p>
    <w:bookmarkEnd w:id="0"/>
    <w:bookmarkEnd w:id="1"/>
    <w:p w:rsidR="00000000" w:rsidRDefault="00072AB6">
      <w:pPr>
        <w:spacing w:line="360" w:lineRule="auto"/>
        <w:ind w:firstLineChars="200" w:firstLine="640"/>
        <w:jc w:val="center"/>
        <w:rPr>
          <w:rFonts w:ascii="宋体" w:hAnsi="宋体" w:hint="eastAsia"/>
          <w:b/>
          <w:sz w:val="32"/>
          <w:szCs w:val="32"/>
        </w:rPr>
      </w:pP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根据中海基金管理有限公司（以下简称“本公司”）与中国人寿保险股份有限公司（以下简称“</w:t>
      </w:r>
      <w:r>
        <w:rPr>
          <w:rFonts w:ascii="宋体" w:eastAsia="Times New Roman" w:hAnsi="宋体" w:cs="Arial" w:hint="eastAsia"/>
          <w:kern w:val="0"/>
          <w:sz w:val="24"/>
        </w:rPr>
        <w:t>中国人寿</w:t>
      </w:r>
      <w:r>
        <w:rPr>
          <w:rFonts w:ascii="宋体" w:eastAsia="Times New Roman" w:hAnsi="宋体" w:cs="Arial" w:hint="eastAsia"/>
          <w:kern w:val="0"/>
          <w:sz w:val="24"/>
        </w:rPr>
        <w:t>”）签署的开放式证券投资基金销售代理协议及补充协议，现将相关业务开通情况公告如下：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一、从202</w:t>
      </w:r>
      <w:r>
        <w:rPr>
          <w:rFonts w:ascii="宋体" w:eastAsia="Times New Roman" w:hAnsi="宋体" w:cs="Arial" w:hint="eastAsia"/>
          <w:kern w:val="0"/>
          <w:sz w:val="24"/>
        </w:rPr>
        <w:t>1</w:t>
      </w:r>
      <w:r>
        <w:rPr>
          <w:rFonts w:ascii="宋体" w:eastAsia="Times New Roman" w:hAnsi="宋体" w:cs="Arial" w:hint="eastAsia"/>
          <w:kern w:val="0"/>
          <w:sz w:val="24"/>
        </w:rPr>
        <w:t>年</w:t>
      </w:r>
      <w:r>
        <w:rPr>
          <w:rFonts w:ascii="宋体" w:eastAsia="Times New Roman" w:hAnsi="宋体" w:cs="Arial" w:hint="eastAsia"/>
          <w:kern w:val="0"/>
          <w:sz w:val="24"/>
        </w:rPr>
        <w:t>5</w:t>
      </w:r>
      <w:r>
        <w:rPr>
          <w:rFonts w:ascii="宋体" w:eastAsia="Times New Roman" w:hAnsi="宋体" w:cs="Arial" w:hint="eastAsia"/>
          <w:kern w:val="0"/>
          <w:sz w:val="24"/>
        </w:rPr>
        <w:t>月</w:t>
      </w:r>
      <w:r>
        <w:rPr>
          <w:rFonts w:ascii="宋体" w:eastAsia="Times New Roman" w:hAnsi="宋体" w:cs="Arial" w:hint="eastAsia"/>
          <w:kern w:val="0"/>
          <w:sz w:val="24"/>
        </w:rPr>
        <w:t>19</w:t>
      </w:r>
      <w:r>
        <w:rPr>
          <w:rFonts w:ascii="宋体" w:eastAsia="Times New Roman" w:hAnsi="宋体" w:cs="Arial" w:hint="eastAsia"/>
          <w:kern w:val="0"/>
          <w:sz w:val="24"/>
        </w:rPr>
        <w:t>日起，</w:t>
      </w:r>
      <w:r>
        <w:rPr>
          <w:rFonts w:ascii="宋体" w:eastAsia="Times New Roman" w:hAnsi="宋体" w:cs="Arial" w:hint="eastAsia"/>
          <w:kern w:val="0"/>
          <w:sz w:val="24"/>
        </w:rPr>
        <w:t>中国人寿</w:t>
      </w:r>
      <w:r>
        <w:rPr>
          <w:rFonts w:ascii="宋体" w:eastAsia="Times New Roman" w:hAnsi="宋体" w:cs="Arial" w:hint="eastAsia"/>
          <w:kern w:val="0"/>
          <w:sz w:val="24"/>
        </w:rPr>
        <w:t>开始代理销售本公司旗下中海货币市场证券投资基金A（基金代码：392001)、中海货币市场证券投资基金B（基金代码：392002)、中海中短债债券型证券投资基金（基金</w:t>
      </w:r>
      <w:r>
        <w:rPr>
          <w:rFonts w:ascii="宋体" w:eastAsia="Times New Roman" w:hAnsi="宋体" w:cs="Arial" w:hint="eastAsia"/>
          <w:kern w:val="0"/>
          <w:sz w:val="24"/>
        </w:rPr>
        <w:t>代码：000674)、中海纯债债券型证券投资基金A（基金代码：000298)、中海纯债债券型证券投资基金C（基金代码：000299)、中海惠裕纯债债券型发起式证券投资基金（LOF）（基金代码：163907)、中海增强收益债券型证券投资基金A（基金代码：395011)、中海增强收益债券型证券投资基金C（基金代码：395012)、中海稳健收益债券型证券投资基金（基金代码：395001)、中海添瑞定期开放混合型证券投资基金（基金代码：005252)、中海合嘉增强收益债券型证券投资基金A（基金代码：002965)、</w:t>
      </w:r>
      <w:r>
        <w:rPr>
          <w:rFonts w:ascii="宋体" w:eastAsia="Times New Roman" w:hAnsi="宋体" w:cs="Arial" w:hint="eastAsia"/>
          <w:kern w:val="0"/>
          <w:sz w:val="24"/>
        </w:rPr>
        <w:t>中海合嘉增强收益债券型证券投资基金C（基金代码：002966)、中海可转换债券型证券投资基金A（基金代码：000003)、中海可转换债券型证券投资基金C（基金代码：000004)、中海积极收益灵活配置混合型证券投资基金（基金代码：000597)、中海魅力长三角灵活配置混合型证券投资基金（基金代码：001864)、中海优质成长证券投资基金（基金代码：398001)、中海医药健康产业灵活配置混合型证券投资基金A（基金代码：000878)、中海医药健康产业灵活配置混合型证券投资基金C（基金代码：000879)、中</w:t>
      </w:r>
      <w:r>
        <w:rPr>
          <w:rFonts w:ascii="宋体" w:eastAsia="Times New Roman" w:hAnsi="宋体" w:cs="Arial" w:hint="eastAsia"/>
          <w:kern w:val="0"/>
          <w:sz w:val="24"/>
        </w:rPr>
        <w:t>海分红增利混合型证券投资基金（基金代码：398011)、中海混改红利主题精选灵活配置混合型证券投资基金（基金代码：001574)、中海量化策略混合型证券投资基金（基金代码：398041)、中海能源策略混合型证券投资基金（基金代码：398021)、中海消费主题精选混合型证券投资基金（基金代码：398061)、中海优势精选灵活配置混合型证券投资基金（基金代码：393001)、中海沪港深价值优选灵活配置混合型</w:t>
      </w:r>
      <w:r>
        <w:rPr>
          <w:rFonts w:ascii="宋体" w:eastAsia="Times New Roman" w:hAnsi="宋体" w:cs="Arial" w:hint="eastAsia"/>
          <w:kern w:val="0"/>
          <w:sz w:val="24"/>
        </w:rPr>
        <w:lastRenderedPageBreak/>
        <w:t>证券投资基金（基金代码：002214)、中海沪港深多策略灵活配置混合型证券投资基金（基金代码：005646</w:t>
      </w:r>
      <w:r>
        <w:rPr>
          <w:rFonts w:ascii="宋体" w:eastAsia="Times New Roman" w:hAnsi="宋体" w:cs="Arial" w:hint="eastAsia"/>
          <w:kern w:val="0"/>
          <w:sz w:val="24"/>
        </w:rPr>
        <w:t>)、中海进取收益灵活配置混合型证券投资基金（基金代码：001252)、中海顺鑫灵活配置混合型证券投资基金（基金代码：002213)、中海积极增利灵活配置混合型证券投资基金（基金代码：001279)、中海信息产业精选混合型证券投资基金（基金代码：000166)、中海蓝筹灵活配置混合型证券投资基金（基金代码：398031)、中海环保新能源主题灵活配置混合型证券投资基金（基金代码：398051)、中海医疗保健主题股票型证券投资基金（基金代码：399011)、中海上证50指数增强证券投资基金（基金代码：399001</w:t>
      </w:r>
      <w:r>
        <w:rPr>
          <w:rFonts w:ascii="宋体" w:eastAsia="Times New Roman" w:hAnsi="宋体" w:cs="Arial" w:hint="eastAsia"/>
          <w:kern w:val="0"/>
          <w:sz w:val="24"/>
        </w:rPr>
        <w:t>)、中海海誉混合型证券投资基金A（基金代码：011514)</w:t>
      </w:r>
      <w:r>
        <w:rPr>
          <w:rFonts w:ascii="宋体" w:eastAsia="Times New Roman" w:hAnsi="宋体" w:cs="Arial" w:hint="eastAsia"/>
          <w:kern w:val="0"/>
          <w:sz w:val="24"/>
        </w:rPr>
        <w:t>、</w:t>
      </w:r>
      <w:r>
        <w:rPr>
          <w:rFonts w:ascii="宋体" w:eastAsia="Times New Roman" w:hAnsi="宋体" w:cs="Arial" w:hint="eastAsia"/>
          <w:kern w:val="0"/>
          <w:sz w:val="24"/>
        </w:rPr>
        <w:t>中海海誉混合型证券投资基金</w:t>
      </w:r>
      <w:r>
        <w:rPr>
          <w:rFonts w:ascii="宋体" w:eastAsia="Times New Roman" w:hAnsi="宋体" w:cs="Arial" w:hint="eastAsia"/>
          <w:kern w:val="0"/>
          <w:sz w:val="24"/>
        </w:rPr>
        <w:t>C</w:t>
      </w:r>
      <w:r>
        <w:rPr>
          <w:rFonts w:ascii="宋体" w:eastAsia="Times New Roman" w:hAnsi="宋体" w:cs="Arial" w:hint="eastAsia"/>
          <w:kern w:val="0"/>
          <w:sz w:val="24"/>
        </w:rPr>
        <w:t>（基金代码：01151</w:t>
      </w:r>
      <w:r>
        <w:rPr>
          <w:rFonts w:ascii="宋体" w:eastAsia="Times New Roman" w:hAnsi="宋体" w:cs="Arial" w:hint="eastAsia"/>
          <w:kern w:val="0"/>
          <w:sz w:val="24"/>
        </w:rPr>
        <w:t>5</w:t>
      </w:r>
      <w:r>
        <w:rPr>
          <w:rFonts w:ascii="宋体" w:eastAsia="Times New Roman" w:hAnsi="宋体" w:cs="Arial" w:hint="eastAsia"/>
          <w:kern w:val="0"/>
          <w:sz w:val="24"/>
        </w:rPr>
        <w:t>)</w:t>
      </w:r>
      <w:r>
        <w:rPr>
          <w:rFonts w:ascii="宋体" w:eastAsia="Times New Roman" w:hAnsi="宋体" w:cs="Arial" w:hint="eastAsia"/>
          <w:kern w:val="0"/>
          <w:sz w:val="24"/>
        </w:rPr>
        <w:t>，</w:t>
      </w:r>
      <w:r>
        <w:rPr>
          <w:rFonts w:ascii="宋体" w:eastAsia="Times New Roman" w:hAnsi="宋体" w:cs="Arial" w:hint="eastAsia"/>
          <w:kern w:val="0"/>
          <w:sz w:val="24"/>
        </w:rPr>
        <w:t>仅限前端收费模式。届时投资者可通过</w:t>
      </w:r>
      <w:r>
        <w:rPr>
          <w:rFonts w:ascii="宋体" w:eastAsia="Times New Roman" w:hAnsi="宋体" w:cs="Arial" w:hint="eastAsia"/>
          <w:kern w:val="0"/>
          <w:sz w:val="24"/>
        </w:rPr>
        <w:t>中国人寿</w:t>
      </w:r>
      <w:r>
        <w:rPr>
          <w:rFonts w:ascii="宋体" w:eastAsia="Times New Roman" w:hAnsi="宋体" w:cs="Arial" w:hint="eastAsia"/>
          <w:kern w:val="0"/>
          <w:sz w:val="24"/>
        </w:rPr>
        <w:t>办理上述基金开户、申购、赎回、基金转换、基金定投及其他相关业务</w:t>
      </w:r>
      <w:r>
        <w:rPr>
          <w:rFonts w:ascii="宋体" w:eastAsia="Times New Roman" w:hAnsi="宋体" w:cs="Arial" w:hint="eastAsia"/>
          <w:kern w:val="0"/>
          <w:sz w:val="24"/>
        </w:rPr>
        <w:t>（</w:t>
      </w:r>
      <w:r>
        <w:rPr>
          <w:rFonts w:ascii="宋体" w:eastAsia="Times New Roman" w:hAnsi="宋体" w:cs="Arial" w:hint="eastAsia"/>
          <w:kern w:val="0"/>
          <w:sz w:val="24"/>
        </w:rPr>
        <w:t>基金有限制的除外</w:t>
      </w:r>
      <w:r>
        <w:rPr>
          <w:rFonts w:ascii="宋体" w:eastAsia="Times New Roman" w:hAnsi="宋体" w:cs="Arial" w:hint="eastAsia"/>
          <w:kern w:val="0"/>
          <w:sz w:val="24"/>
        </w:rPr>
        <w:t>）</w:t>
      </w:r>
      <w:r>
        <w:rPr>
          <w:rFonts w:ascii="宋体" w:eastAsia="Times New Roman" w:hAnsi="宋体" w:cs="Arial" w:hint="eastAsia"/>
          <w:kern w:val="0"/>
          <w:sz w:val="24"/>
        </w:rPr>
        <w:t>，同时面向投资者推出基金申购及定投费率优惠活动。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二、本公司将同时在</w:t>
      </w:r>
      <w:r>
        <w:rPr>
          <w:rFonts w:ascii="宋体" w:eastAsia="Times New Roman" w:hAnsi="宋体" w:cs="Arial" w:hint="eastAsia"/>
          <w:kern w:val="0"/>
          <w:sz w:val="24"/>
        </w:rPr>
        <w:t>中国人寿</w:t>
      </w:r>
      <w:r>
        <w:rPr>
          <w:rFonts w:ascii="宋体" w:eastAsia="Times New Roman" w:hAnsi="宋体" w:cs="Arial" w:hint="eastAsia"/>
          <w:kern w:val="0"/>
          <w:sz w:val="24"/>
        </w:rPr>
        <w:t>开通上述基金转换业务，单笔转出最低申请份额为1份。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三、本公司将同时在</w:t>
      </w:r>
      <w:r>
        <w:rPr>
          <w:rFonts w:ascii="宋体" w:eastAsia="Times New Roman" w:hAnsi="宋体" w:cs="Arial" w:hint="eastAsia"/>
          <w:kern w:val="0"/>
          <w:sz w:val="24"/>
        </w:rPr>
        <w:t>中国人寿</w:t>
      </w:r>
      <w:r>
        <w:rPr>
          <w:rFonts w:ascii="宋体" w:eastAsia="Times New Roman" w:hAnsi="宋体" w:cs="Arial" w:hint="eastAsia"/>
          <w:kern w:val="0"/>
          <w:sz w:val="24"/>
        </w:rPr>
        <w:t>开通上述基金定期定额投资业务。每期定投最低扣款金额</w:t>
      </w:r>
      <w:r>
        <w:rPr>
          <w:rFonts w:ascii="宋体" w:eastAsia="Times New Roman" w:hAnsi="宋体" w:cs="Arial" w:hint="eastAsia"/>
          <w:kern w:val="0"/>
          <w:sz w:val="24"/>
        </w:rPr>
        <w:t>1</w:t>
      </w:r>
      <w:r>
        <w:rPr>
          <w:rFonts w:ascii="宋体" w:eastAsia="Times New Roman" w:hAnsi="宋体" w:cs="Arial" w:hint="eastAsia"/>
          <w:kern w:val="0"/>
          <w:sz w:val="24"/>
        </w:rPr>
        <w:t>00元。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四、基金费率优惠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1、自 202</w:t>
      </w:r>
      <w:r>
        <w:rPr>
          <w:rFonts w:ascii="宋体" w:eastAsia="Times New Roman" w:hAnsi="宋体" w:cs="Arial" w:hint="eastAsia"/>
          <w:kern w:val="0"/>
          <w:sz w:val="24"/>
        </w:rPr>
        <w:t>1</w:t>
      </w:r>
      <w:r>
        <w:rPr>
          <w:rFonts w:ascii="宋体" w:eastAsia="Times New Roman" w:hAnsi="宋体" w:cs="Arial" w:hint="eastAsia"/>
          <w:kern w:val="0"/>
          <w:sz w:val="24"/>
        </w:rPr>
        <w:t xml:space="preserve"> 年</w:t>
      </w:r>
      <w:r>
        <w:rPr>
          <w:rFonts w:ascii="宋体" w:eastAsia="Times New Roman" w:hAnsi="宋体" w:cs="Arial" w:hint="eastAsia"/>
          <w:kern w:val="0"/>
          <w:sz w:val="24"/>
        </w:rPr>
        <w:t>5</w:t>
      </w:r>
      <w:r>
        <w:rPr>
          <w:rFonts w:ascii="宋体" w:eastAsia="Times New Roman" w:hAnsi="宋体" w:cs="Arial" w:hint="eastAsia"/>
          <w:kern w:val="0"/>
          <w:sz w:val="24"/>
        </w:rPr>
        <w:t xml:space="preserve"> 月</w:t>
      </w:r>
      <w:r>
        <w:rPr>
          <w:rFonts w:ascii="宋体" w:eastAsia="Times New Roman" w:hAnsi="宋体" w:cs="Arial" w:hint="eastAsia"/>
          <w:kern w:val="0"/>
          <w:sz w:val="24"/>
        </w:rPr>
        <w:t>19</w:t>
      </w:r>
      <w:r>
        <w:rPr>
          <w:rFonts w:ascii="宋体" w:eastAsia="Times New Roman" w:hAnsi="宋体" w:cs="Arial" w:hint="eastAsia"/>
          <w:kern w:val="0"/>
          <w:sz w:val="24"/>
        </w:rPr>
        <w:t>日</w:t>
      </w:r>
      <w:r>
        <w:rPr>
          <w:rFonts w:ascii="宋体" w:eastAsia="Times New Roman" w:hAnsi="宋体" w:cs="Arial" w:hint="eastAsia"/>
          <w:kern w:val="0"/>
          <w:sz w:val="24"/>
        </w:rPr>
        <w:t>至 2021 年 6 月 30 日</w:t>
      </w:r>
      <w:r>
        <w:rPr>
          <w:rFonts w:ascii="宋体" w:eastAsia="Times New Roman" w:hAnsi="宋体" w:cs="Arial" w:hint="eastAsia"/>
          <w:kern w:val="0"/>
          <w:sz w:val="24"/>
        </w:rPr>
        <w:t>，通过</w:t>
      </w:r>
      <w:r>
        <w:rPr>
          <w:rFonts w:ascii="宋体" w:eastAsia="Times New Roman" w:hAnsi="宋体" w:cs="Arial" w:hint="eastAsia"/>
          <w:kern w:val="0"/>
          <w:sz w:val="24"/>
        </w:rPr>
        <w:t>中国人寿</w:t>
      </w:r>
      <w:r>
        <w:rPr>
          <w:rFonts w:ascii="宋体" w:eastAsia="Times New Roman" w:hAnsi="宋体" w:cs="Arial" w:hint="eastAsia"/>
          <w:kern w:val="0"/>
          <w:sz w:val="24"/>
        </w:rPr>
        <w:t>柜面、官网、微信等移动平台申购</w:t>
      </w:r>
      <w:r>
        <w:rPr>
          <w:rFonts w:ascii="宋体" w:eastAsia="Times New Roman" w:hAnsi="宋体" w:cs="Arial" w:hint="eastAsia"/>
          <w:kern w:val="0"/>
          <w:sz w:val="24"/>
        </w:rPr>
        <w:t>本公司旗下部分开放式基金（限前端收费模式）</w:t>
      </w:r>
      <w:r>
        <w:rPr>
          <w:rFonts w:ascii="宋体" w:eastAsia="Times New Roman" w:hAnsi="宋体" w:cs="Arial" w:hint="eastAsia"/>
          <w:kern w:val="0"/>
          <w:sz w:val="24"/>
        </w:rPr>
        <w:t>的合法个人及机构投资者，其申购费率按基金原费率的零点零一执行</w:t>
      </w:r>
      <w:r>
        <w:rPr>
          <w:rFonts w:ascii="宋体" w:eastAsia="Times New Roman" w:hAnsi="宋体" w:cs="Arial" w:hint="eastAsia"/>
          <w:kern w:val="0"/>
          <w:sz w:val="24"/>
        </w:rPr>
        <w:t>。本优惠活动仅适用前端收费模式、可正常申购的本公司旗下部分开放式基金，不包括后端收费模式的相应基金产品。对相应基金产品原申购费率为固定费率的，按照相应固定费率执行，不参加本活动优惠。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适用基金包括：中海中短债债券型证券投资基金（基金代码：000674)、中海纯债债券型证券投资基金A（基金代码：000298)、中海惠裕纯债债券型发起</w:t>
      </w:r>
      <w:r>
        <w:rPr>
          <w:rFonts w:ascii="宋体" w:eastAsia="Times New Roman" w:hAnsi="宋体" w:cs="Arial" w:hint="eastAsia"/>
          <w:kern w:val="0"/>
          <w:sz w:val="24"/>
        </w:rPr>
        <w:t>式证券投资基金（LOF）（基金代码：163907)、中海增强收益债券型证券投资</w:t>
      </w:r>
      <w:r>
        <w:rPr>
          <w:rFonts w:ascii="宋体" w:eastAsia="Times New Roman" w:hAnsi="宋体" w:cs="Arial" w:hint="eastAsia"/>
          <w:kern w:val="0"/>
          <w:sz w:val="24"/>
        </w:rPr>
        <w:lastRenderedPageBreak/>
        <w:t>基金A（基金代码：395011)、中海添瑞定期开放混合型证券投资基金（基金代码：005252)、中海合嘉增强收益债券型证券投资基金A（基金代码：002965)、中海可转换债券型证券投资基金A（基金代码：000003)、中海积极收益灵活配置混合型证券投资基金（基金代码：000597)、中海魅力长三角灵活配置混合型证券投资基金（基金代码：001864)、中海优质成长证券投资基金（基金代码：398001)、中海医药健康产业灵活配置混合型</w:t>
      </w:r>
      <w:r>
        <w:rPr>
          <w:rFonts w:ascii="宋体" w:eastAsia="Times New Roman" w:hAnsi="宋体" w:cs="Arial" w:hint="eastAsia"/>
          <w:kern w:val="0"/>
          <w:sz w:val="24"/>
        </w:rPr>
        <w:t>证券投资基金A（基金代码：000878)、中海分红增利混合型证券投资基金（基金代码：398011)、中海混改红利主题精选灵活配置混合型证券投资基金（基金代码：001574)、中海量化策略混合型证券投资基金（基金代码：398041)、中海能源策略混合型证券投资基金（基金代码：398021)、中海消费主题精选混合型证券投资基金（基金代码：398061)、中海优势精选灵活配置混合型证券投资基金（基金代码：393001)、中海沪港深价值优选灵活配置混合型证券投资基金（基金代码：002214)、中海沪港深多策略灵活配</w:t>
      </w:r>
      <w:r>
        <w:rPr>
          <w:rFonts w:ascii="宋体" w:eastAsia="Times New Roman" w:hAnsi="宋体" w:cs="Arial" w:hint="eastAsia"/>
          <w:kern w:val="0"/>
          <w:sz w:val="24"/>
        </w:rPr>
        <w:t>置混合型证券投资基金（基金代码：005646)、中海进取收益灵活配置混合型证券投资基金（基金代码：001252)、中海顺鑫灵活配置混合型证券投资基金（基金代码：002213)、中海积极增利灵活配置混合型证券投资基金（基金代码：001279)、中海信息产业精选混合型证券投资基金（基金代码：000166)、中海蓝筹灵活配置混合型证券投资基金（基金代码：398031)、中海环保新能源主题灵活配置混合型证券投资基金（基金代码：398051)、中海医疗保健主题股票型证券投资基金（基金代码：399011)、中海上证50</w:t>
      </w:r>
      <w:r>
        <w:rPr>
          <w:rFonts w:ascii="宋体" w:eastAsia="Times New Roman" w:hAnsi="宋体" w:cs="Arial" w:hint="eastAsia"/>
          <w:kern w:val="0"/>
          <w:sz w:val="24"/>
        </w:rPr>
        <w:t>指数增强证券投资基金（基金代码：399001)、中海海誉混合型证券投资基金A（基金代码：011514)</w:t>
      </w:r>
      <w:r>
        <w:rPr>
          <w:rFonts w:ascii="宋体" w:eastAsia="Times New Roman" w:hAnsi="宋体" w:cs="Arial" w:hint="eastAsia"/>
          <w:kern w:val="0"/>
          <w:sz w:val="24"/>
        </w:rPr>
        <w:t>。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活动期间投资者定期定额申购基金，申购费率按本活动费率优惠政策执行。超出活动期间的定期定额申购交易，不再执行本次活动费率优惠政策。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后续新增相应基金产品情况请参见本公司网站的后续公告。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投资者欲了解各基金产品的详细情况，请仔细阅读各基金的基金合同、招募说明书等法律文件</w:t>
      </w:r>
      <w:r>
        <w:rPr>
          <w:rFonts w:ascii="宋体" w:eastAsia="Times New Roman" w:hAnsi="宋体" w:cs="Arial" w:hint="eastAsia"/>
          <w:kern w:val="0"/>
          <w:sz w:val="24"/>
        </w:rPr>
        <w:t>。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基金原费率参见各基金相关法律文件及最新业务公告。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以上费率优惠政策如有变更，请以</w:t>
      </w:r>
      <w:r>
        <w:rPr>
          <w:rFonts w:ascii="宋体" w:eastAsia="Times New Roman" w:hAnsi="宋体" w:cs="Arial" w:hint="eastAsia"/>
          <w:kern w:val="0"/>
          <w:sz w:val="24"/>
        </w:rPr>
        <w:t>中国人寿</w:t>
      </w:r>
      <w:r>
        <w:rPr>
          <w:rFonts w:ascii="宋体" w:eastAsia="Times New Roman" w:hAnsi="宋体" w:cs="Arial" w:hint="eastAsia"/>
          <w:kern w:val="0"/>
          <w:sz w:val="24"/>
        </w:rPr>
        <w:t>公告为准。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五、投资者可通过以下途径咨询有关详</w:t>
      </w:r>
      <w:r>
        <w:rPr>
          <w:rFonts w:ascii="宋体" w:eastAsia="Times New Roman" w:hAnsi="宋体" w:cs="Arial" w:hint="eastAsia"/>
          <w:kern w:val="0"/>
          <w:sz w:val="24"/>
        </w:rPr>
        <w:t xml:space="preserve">情： 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1、中国人寿保险股份有限公司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客户服务电话：</w:t>
      </w:r>
      <w:r>
        <w:rPr>
          <w:rFonts w:ascii="宋体" w:eastAsia="Times New Roman" w:hAnsi="宋体" w:cs="Arial" w:hint="eastAsia"/>
          <w:kern w:val="0"/>
          <w:sz w:val="24"/>
        </w:rPr>
        <w:t>95519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2、本公司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客户服务电话：400-888-9788（免长途话费）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公司网址：</w:t>
      </w:r>
      <w:hyperlink r:id="rId6" w:history="1">
        <w:r>
          <w:rPr>
            <w:rFonts w:ascii="宋体" w:eastAsia="Times New Roman" w:hAnsi="宋体" w:cs="Arial" w:hint="eastAsia"/>
            <w:kern w:val="0"/>
            <w:sz w:val="24"/>
          </w:rPr>
          <w:t>www.zhfund.com</w:t>
        </w:r>
      </w:hyperlink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投资者欲了解上述基金详情，请仔细阅读上述基金的基金合同、招募说明书等相关文件，或致电本公司客户服务电话（400-888-9788或021-38789788），或登陆本公司网站（</w:t>
      </w:r>
      <w:hyperlink r:id="rId7" w:history="1">
        <w:r>
          <w:rPr>
            <w:rFonts w:ascii="宋体" w:eastAsia="Times New Roman" w:hAnsi="宋体" w:cs="Arial" w:hint="eastAsia"/>
            <w:kern w:val="0"/>
            <w:sz w:val="24"/>
          </w:rPr>
          <w:t>www.zh</w:t>
        </w:r>
        <w:r>
          <w:rPr>
            <w:rFonts w:ascii="宋体" w:eastAsia="Times New Roman" w:hAnsi="宋体" w:cs="Arial" w:hint="eastAsia"/>
            <w:kern w:val="0"/>
            <w:sz w:val="24"/>
          </w:rPr>
          <w:t>fund.com</w:t>
        </w:r>
      </w:hyperlink>
      <w:r>
        <w:rPr>
          <w:rFonts w:ascii="宋体" w:eastAsia="Times New Roman" w:hAnsi="宋体" w:cs="Arial" w:hint="eastAsia"/>
          <w:kern w:val="0"/>
          <w:sz w:val="24"/>
        </w:rPr>
        <w:t>）查询。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特此公告。</w:t>
      </w: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</w:p>
    <w:p w:rsidR="00000000" w:rsidRDefault="00072AB6">
      <w:pPr>
        <w:spacing w:line="360" w:lineRule="auto"/>
        <w:ind w:firstLineChars="200" w:firstLine="480"/>
        <w:rPr>
          <w:rFonts w:ascii="宋体" w:eastAsia="Times New Roman" w:hAnsi="宋体" w:cs="Arial" w:hint="eastAsia"/>
          <w:kern w:val="0"/>
          <w:sz w:val="24"/>
        </w:rPr>
      </w:pPr>
    </w:p>
    <w:p w:rsidR="00000000" w:rsidRDefault="00072AB6">
      <w:pPr>
        <w:spacing w:line="360" w:lineRule="auto"/>
        <w:ind w:firstLineChars="200" w:firstLine="480"/>
        <w:jc w:val="right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中海基金管理有限公司</w:t>
      </w:r>
    </w:p>
    <w:p w:rsidR="00000000" w:rsidRDefault="00072AB6">
      <w:pPr>
        <w:spacing w:line="360" w:lineRule="auto"/>
        <w:ind w:firstLineChars="200" w:firstLine="480"/>
        <w:jc w:val="right"/>
        <w:rPr>
          <w:rFonts w:ascii="宋体" w:eastAsia="Times New Roman" w:hAnsi="宋体" w:cs="Arial" w:hint="eastAsia"/>
          <w:kern w:val="0"/>
          <w:sz w:val="24"/>
        </w:rPr>
      </w:pPr>
      <w:r>
        <w:rPr>
          <w:rFonts w:ascii="宋体" w:eastAsia="Times New Roman" w:hAnsi="宋体" w:cs="Arial" w:hint="eastAsia"/>
          <w:kern w:val="0"/>
          <w:sz w:val="24"/>
        </w:rPr>
        <w:t>202</w:t>
      </w:r>
      <w:r>
        <w:rPr>
          <w:rFonts w:ascii="宋体" w:eastAsia="Times New Roman" w:hAnsi="宋体" w:cs="Arial" w:hint="eastAsia"/>
          <w:kern w:val="0"/>
          <w:sz w:val="24"/>
        </w:rPr>
        <w:t>1</w:t>
      </w:r>
      <w:r>
        <w:rPr>
          <w:rFonts w:ascii="宋体" w:eastAsia="Times New Roman" w:hAnsi="宋体" w:cs="Arial" w:hint="eastAsia"/>
          <w:kern w:val="0"/>
          <w:sz w:val="24"/>
        </w:rPr>
        <w:t>年</w:t>
      </w:r>
      <w:r>
        <w:rPr>
          <w:rFonts w:ascii="宋体" w:eastAsia="Times New Roman" w:hAnsi="宋体" w:cs="Arial" w:hint="eastAsia"/>
          <w:kern w:val="0"/>
          <w:sz w:val="24"/>
        </w:rPr>
        <w:t>5</w:t>
      </w:r>
      <w:r>
        <w:rPr>
          <w:rFonts w:ascii="宋体" w:eastAsia="Times New Roman" w:hAnsi="宋体" w:cs="Arial" w:hint="eastAsia"/>
          <w:kern w:val="0"/>
          <w:sz w:val="24"/>
        </w:rPr>
        <w:t>月</w:t>
      </w:r>
      <w:r>
        <w:rPr>
          <w:rFonts w:ascii="宋体" w:eastAsia="Times New Roman" w:hAnsi="宋体" w:cs="Arial" w:hint="eastAsia"/>
          <w:kern w:val="0"/>
          <w:sz w:val="24"/>
        </w:rPr>
        <w:t>12</w:t>
      </w:r>
      <w:r>
        <w:rPr>
          <w:rFonts w:ascii="宋体" w:eastAsia="Times New Roman" w:hAnsi="宋体" w:cs="Arial" w:hint="eastAsia"/>
          <w:kern w:val="0"/>
          <w:sz w:val="24"/>
        </w:rPr>
        <w:t>日</w:t>
      </w:r>
    </w:p>
    <w:sectPr w:rsidR="0000000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72AB6">
      <w:r>
        <w:separator/>
      </w:r>
    </w:p>
  </w:endnote>
  <w:endnote w:type="continuationSeparator" w:id="0">
    <w:p w:rsidR="00000000" w:rsidRDefault="0007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2AB6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fldChar w:fldCharType="end"/>
    </w:r>
  </w:p>
  <w:p w:rsidR="00000000" w:rsidRDefault="00072A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2AB6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  <w:noProof/>
      </w:rPr>
      <w:t>1</w:t>
    </w:r>
    <w:r>
      <w:fldChar w:fldCharType="end"/>
    </w:r>
  </w:p>
  <w:p w:rsidR="00000000" w:rsidRDefault="00072A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72AB6">
      <w:r>
        <w:separator/>
      </w:r>
    </w:p>
  </w:footnote>
  <w:footnote w:type="continuationSeparator" w:id="0">
    <w:p w:rsidR="00000000" w:rsidRDefault="00072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4B3"/>
    <w:rsid w:val="00031F63"/>
    <w:rsid w:val="00042DDD"/>
    <w:rsid w:val="00045FE0"/>
    <w:rsid w:val="00051ADA"/>
    <w:rsid w:val="0005344D"/>
    <w:rsid w:val="00061D45"/>
    <w:rsid w:val="00065EC0"/>
    <w:rsid w:val="00066031"/>
    <w:rsid w:val="00067734"/>
    <w:rsid w:val="00072AB6"/>
    <w:rsid w:val="00077755"/>
    <w:rsid w:val="00077E74"/>
    <w:rsid w:val="00087A7A"/>
    <w:rsid w:val="000A5C7D"/>
    <w:rsid w:val="000B2F02"/>
    <w:rsid w:val="000B6358"/>
    <w:rsid w:val="000C48BB"/>
    <w:rsid w:val="000E37DC"/>
    <w:rsid w:val="000F5523"/>
    <w:rsid w:val="00117704"/>
    <w:rsid w:val="001179E1"/>
    <w:rsid w:val="00134446"/>
    <w:rsid w:val="0016558D"/>
    <w:rsid w:val="00180BCE"/>
    <w:rsid w:val="00181BEF"/>
    <w:rsid w:val="001855DF"/>
    <w:rsid w:val="00187D1D"/>
    <w:rsid w:val="00187D7D"/>
    <w:rsid w:val="0019648C"/>
    <w:rsid w:val="001A543F"/>
    <w:rsid w:val="001B70F6"/>
    <w:rsid w:val="001C2F50"/>
    <w:rsid w:val="001C6042"/>
    <w:rsid w:val="001D6AEB"/>
    <w:rsid w:val="001E2E2F"/>
    <w:rsid w:val="001E6690"/>
    <w:rsid w:val="001E77D3"/>
    <w:rsid w:val="00202BB9"/>
    <w:rsid w:val="00204BCA"/>
    <w:rsid w:val="00205819"/>
    <w:rsid w:val="002163E6"/>
    <w:rsid w:val="00222C0E"/>
    <w:rsid w:val="002341A5"/>
    <w:rsid w:val="00236339"/>
    <w:rsid w:val="00243FF3"/>
    <w:rsid w:val="00253A0A"/>
    <w:rsid w:val="0026488C"/>
    <w:rsid w:val="002721F7"/>
    <w:rsid w:val="002768FC"/>
    <w:rsid w:val="002B01B2"/>
    <w:rsid w:val="002B4826"/>
    <w:rsid w:val="002C3F87"/>
    <w:rsid w:val="002E46ED"/>
    <w:rsid w:val="002E63AA"/>
    <w:rsid w:val="002F2C0B"/>
    <w:rsid w:val="002F404C"/>
    <w:rsid w:val="00307681"/>
    <w:rsid w:val="00320C0D"/>
    <w:rsid w:val="003217A7"/>
    <w:rsid w:val="003550D5"/>
    <w:rsid w:val="00363AFB"/>
    <w:rsid w:val="0038620C"/>
    <w:rsid w:val="003917E3"/>
    <w:rsid w:val="003B7A96"/>
    <w:rsid w:val="003C2E3D"/>
    <w:rsid w:val="003C32DF"/>
    <w:rsid w:val="003D11ED"/>
    <w:rsid w:val="003E3DE4"/>
    <w:rsid w:val="003F1CDE"/>
    <w:rsid w:val="004016C9"/>
    <w:rsid w:val="004511D4"/>
    <w:rsid w:val="00467A3C"/>
    <w:rsid w:val="00474787"/>
    <w:rsid w:val="00486011"/>
    <w:rsid w:val="00495999"/>
    <w:rsid w:val="004B41A7"/>
    <w:rsid w:val="004B4824"/>
    <w:rsid w:val="004B5BE2"/>
    <w:rsid w:val="004C034B"/>
    <w:rsid w:val="004C3369"/>
    <w:rsid w:val="004C731A"/>
    <w:rsid w:val="004D05F2"/>
    <w:rsid w:val="004F6F95"/>
    <w:rsid w:val="004F712C"/>
    <w:rsid w:val="00501559"/>
    <w:rsid w:val="00513D2E"/>
    <w:rsid w:val="005245A2"/>
    <w:rsid w:val="00534F43"/>
    <w:rsid w:val="00543F04"/>
    <w:rsid w:val="00545643"/>
    <w:rsid w:val="00547245"/>
    <w:rsid w:val="005552FA"/>
    <w:rsid w:val="005650BA"/>
    <w:rsid w:val="005850D0"/>
    <w:rsid w:val="00594AEA"/>
    <w:rsid w:val="005A1C0A"/>
    <w:rsid w:val="005A1F49"/>
    <w:rsid w:val="005A7E43"/>
    <w:rsid w:val="005C1DC3"/>
    <w:rsid w:val="005C53A0"/>
    <w:rsid w:val="005D25C0"/>
    <w:rsid w:val="005E36D1"/>
    <w:rsid w:val="005E3C70"/>
    <w:rsid w:val="005E6551"/>
    <w:rsid w:val="005F0D34"/>
    <w:rsid w:val="005F1D57"/>
    <w:rsid w:val="00601B2C"/>
    <w:rsid w:val="00604654"/>
    <w:rsid w:val="00606359"/>
    <w:rsid w:val="006072B8"/>
    <w:rsid w:val="00612AC5"/>
    <w:rsid w:val="00630D07"/>
    <w:rsid w:val="006315E3"/>
    <w:rsid w:val="00635F55"/>
    <w:rsid w:val="00643F26"/>
    <w:rsid w:val="006475AD"/>
    <w:rsid w:val="00651B58"/>
    <w:rsid w:val="00656757"/>
    <w:rsid w:val="006604D0"/>
    <w:rsid w:val="00674323"/>
    <w:rsid w:val="006840B3"/>
    <w:rsid w:val="006869F8"/>
    <w:rsid w:val="00690CD4"/>
    <w:rsid w:val="006A0FF2"/>
    <w:rsid w:val="006A7470"/>
    <w:rsid w:val="006B328D"/>
    <w:rsid w:val="006B763C"/>
    <w:rsid w:val="006C32F7"/>
    <w:rsid w:val="006C4E99"/>
    <w:rsid w:val="006E2A45"/>
    <w:rsid w:val="00703610"/>
    <w:rsid w:val="00714B06"/>
    <w:rsid w:val="00715FA6"/>
    <w:rsid w:val="0072353C"/>
    <w:rsid w:val="0073050C"/>
    <w:rsid w:val="0073100B"/>
    <w:rsid w:val="007431EC"/>
    <w:rsid w:val="007556C5"/>
    <w:rsid w:val="007645B7"/>
    <w:rsid w:val="00773FC8"/>
    <w:rsid w:val="00781FFD"/>
    <w:rsid w:val="00794A31"/>
    <w:rsid w:val="0079727D"/>
    <w:rsid w:val="007A43A4"/>
    <w:rsid w:val="007A550F"/>
    <w:rsid w:val="007D22CE"/>
    <w:rsid w:val="007D6753"/>
    <w:rsid w:val="007E4183"/>
    <w:rsid w:val="007F2C7E"/>
    <w:rsid w:val="007F3CD5"/>
    <w:rsid w:val="00805D3F"/>
    <w:rsid w:val="008204FC"/>
    <w:rsid w:val="008265B7"/>
    <w:rsid w:val="00840792"/>
    <w:rsid w:val="008467D9"/>
    <w:rsid w:val="0085436F"/>
    <w:rsid w:val="00854551"/>
    <w:rsid w:val="008B2ED5"/>
    <w:rsid w:val="008B6682"/>
    <w:rsid w:val="008C78A0"/>
    <w:rsid w:val="008D12C3"/>
    <w:rsid w:val="008D5CFE"/>
    <w:rsid w:val="00903752"/>
    <w:rsid w:val="00911E01"/>
    <w:rsid w:val="00911F96"/>
    <w:rsid w:val="009132BD"/>
    <w:rsid w:val="00926DC0"/>
    <w:rsid w:val="00930BD7"/>
    <w:rsid w:val="00933B35"/>
    <w:rsid w:val="0093567A"/>
    <w:rsid w:val="0094324F"/>
    <w:rsid w:val="009447A3"/>
    <w:rsid w:val="00960098"/>
    <w:rsid w:val="00974C32"/>
    <w:rsid w:val="00977AC4"/>
    <w:rsid w:val="00992339"/>
    <w:rsid w:val="009940FB"/>
    <w:rsid w:val="009A3698"/>
    <w:rsid w:val="009A6BA9"/>
    <w:rsid w:val="009B3497"/>
    <w:rsid w:val="009B4BBB"/>
    <w:rsid w:val="009C0311"/>
    <w:rsid w:val="009C0F55"/>
    <w:rsid w:val="009D3A56"/>
    <w:rsid w:val="009D765E"/>
    <w:rsid w:val="00A01A14"/>
    <w:rsid w:val="00A047CA"/>
    <w:rsid w:val="00A06E4A"/>
    <w:rsid w:val="00A15C1C"/>
    <w:rsid w:val="00A163F5"/>
    <w:rsid w:val="00A16412"/>
    <w:rsid w:val="00A36937"/>
    <w:rsid w:val="00A40A0E"/>
    <w:rsid w:val="00A434A3"/>
    <w:rsid w:val="00A4739D"/>
    <w:rsid w:val="00A51346"/>
    <w:rsid w:val="00A63A94"/>
    <w:rsid w:val="00A75243"/>
    <w:rsid w:val="00A9097C"/>
    <w:rsid w:val="00A93DA2"/>
    <w:rsid w:val="00A94812"/>
    <w:rsid w:val="00AA66B5"/>
    <w:rsid w:val="00AB4C53"/>
    <w:rsid w:val="00AB51BF"/>
    <w:rsid w:val="00AB6723"/>
    <w:rsid w:val="00AB6EB1"/>
    <w:rsid w:val="00AE5356"/>
    <w:rsid w:val="00AF2F76"/>
    <w:rsid w:val="00B046C2"/>
    <w:rsid w:val="00B060B5"/>
    <w:rsid w:val="00B06674"/>
    <w:rsid w:val="00B2154A"/>
    <w:rsid w:val="00B217B2"/>
    <w:rsid w:val="00B21A8B"/>
    <w:rsid w:val="00B237FC"/>
    <w:rsid w:val="00B3661E"/>
    <w:rsid w:val="00B37DD1"/>
    <w:rsid w:val="00B4396E"/>
    <w:rsid w:val="00B43CEC"/>
    <w:rsid w:val="00B64814"/>
    <w:rsid w:val="00B87405"/>
    <w:rsid w:val="00B9188D"/>
    <w:rsid w:val="00B935B9"/>
    <w:rsid w:val="00B9374E"/>
    <w:rsid w:val="00B93964"/>
    <w:rsid w:val="00BA13A1"/>
    <w:rsid w:val="00BA1A75"/>
    <w:rsid w:val="00BB1FE7"/>
    <w:rsid w:val="00BB7068"/>
    <w:rsid w:val="00BC2487"/>
    <w:rsid w:val="00BD11E0"/>
    <w:rsid w:val="00BD2140"/>
    <w:rsid w:val="00BE4F2D"/>
    <w:rsid w:val="00BE746D"/>
    <w:rsid w:val="00BF1E2F"/>
    <w:rsid w:val="00BF1F32"/>
    <w:rsid w:val="00BF6F64"/>
    <w:rsid w:val="00C004CF"/>
    <w:rsid w:val="00C025B4"/>
    <w:rsid w:val="00C02C3C"/>
    <w:rsid w:val="00C045EB"/>
    <w:rsid w:val="00C22DEF"/>
    <w:rsid w:val="00C32AC9"/>
    <w:rsid w:val="00C33283"/>
    <w:rsid w:val="00C3742E"/>
    <w:rsid w:val="00C41602"/>
    <w:rsid w:val="00C60A6E"/>
    <w:rsid w:val="00C64B52"/>
    <w:rsid w:val="00C653B4"/>
    <w:rsid w:val="00C6673A"/>
    <w:rsid w:val="00C84DC2"/>
    <w:rsid w:val="00C86543"/>
    <w:rsid w:val="00C93876"/>
    <w:rsid w:val="00C95DD8"/>
    <w:rsid w:val="00CC15A7"/>
    <w:rsid w:val="00CD15A1"/>
    <w:rsid w:val="00CD2A0A"/>
    <w:rsid w:val="00CF009E"/>
    <w:rsid w:val="00CF0170"/>
    <w:rsid w:val="00CF12FC"/>
    <w:rsid w:val="00CF2ABC"/>
    <w:rsid w:val="00CF3AAB"/>
    <w:rsid w:val="00D147E4"/>
    <w:rsid w:val="00D16E32"/>
    <w:rsid w:val="00D23C9B"/>
    <w:rsid w:val="00D328D3"/>
    <w:rsid w:val="00D34772"/>
    <w:rsid w:val="00D4432F"/>
    <w:rsid w:val="00D449F6"/>
    <w:rsid w:val="00D7732E"/>
    <w:rsid w:val="00D81309"/>
    <w:rsid w:val="00D85D28"/>
    <w:rsid w:val="00D91F4E"/>
    <w:rsid w:val="00D95D8C"/>
    <w:rsid w:val="00DA09D0"/>
    <w:rsid w:val="00DA3EAD"/>
    <w:rsid w:val="00DA7E45"/>
    <w:rsid w:val="00DC153D"/>
    <w:rsid w:val="00DD22F0"/>
    <w:rsid w:val="00DD5ACC"/>
    <w:rsid w:val="00DE22AE"/>
    <w:rsid w:val="00DE369D"/>
    <w:rsid w:val="00DF1F65"/>
    <w:rsid w:val="00E0446C"/>
    <w:rsid w:val="00E13969"/>
    <w:rsid w:val="00E15675"/>
    <w:rsid w:val="00E24ABB"/>
    <w:rsid w:val="00E328C1"/>
    <w:rsid w:val="00E63EAD"/>
    <w:rsid w:val="00E733F1"/>
    <w:rsid w:val="00E77ABA"/>
    <w:rsid w:val="00E828A6"/>
    <w:rsid w:val="00E845FA"/>
    <w:rsid w:val="00E944D9"/>
    <w:rsid w:val="00E96897"/>
    <w:rsid w:val="00EA7B38"/>
    <w:rsid w:val="00EB5107"/>
    <w:rsid w:val="00EC2E9C"/>
    <w:rsid w:val="00EC47A7"/>
    <w:rsid w:val="00ED209E"/>
    <w:rsid w:val="00ED6469"/>
    <w:rsid w:val="00F0283D"/>
    <w:rsid w:val="00F2084B"/>
    <w:rsid w:val="00F20C00"/>
    <w:rsid w:val="00F225EA"/>
    <w:rsid w:val="00F2470A"/>
    <w:rsid w:val="00F34E18"/>
    <w:rsid w:val="00F34F9D"/>
    <w:rsid w:val="00F36DAD"/>
    <w:rsid w:val="00F4197E"/>
    <w:rsid w:val="00F4515C"/>
    <w:rsid w:val="00F5553A"/>
    <w:rsid w:val="00F6407B"/>
    <w:rsid w:val="00F66C0D"/>
    <w:rsid w:val="00F67BED"/>
    <w:rsid w:val="00F72BB1"/>
    <w:rsid w:val="00F77A00"/>
    <w:rsid w:val="00F97016"/>
    <w:rsid w:val="00FA06BA"/>
    <w:rsid w:val="00FA1FCD"/>
    <w:rsid w:val="00FC0CA4"/>
    <w:rsid w:val="00FC334F"/>
    <w:rsid w:val="00FC4665"/>
    <w:rsid w:val="00FE2E7B"/>
    <w:rsid w:val="00FF0B93"/>
    <w:rsid w:val="00FF2548"/>
    <w:rsid w:val="016E73F1"/>
    <w:rsid w:val="0B8B1CDA"/>
    <w:rsid w:val="2DA63458"/>
    <w:rsid w:val="3C4C4F51"/>
    <w:rsid w:val="4B41281E"/>
    <w:rsid w:val="4C4C1DC5"/>
    <w:rsid w:val="56610810"/>
    <w:rsid w:val="573727A4"/>
    <w:rsid w:val="5FB86B27"/>
    <w:rsid w:val="6A872D65"/>
    <w:rsid w:val="710011B8"/>
    <w:rsid w:val="74F9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Normal Table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character" w:customStyle="1" w:styleId="Char">
    <w:name w:val="批注文字 Char"/>
    <w:link w:val="a3"/>
    <w:rPr>
      <w:rFonts w:ascii="宋体" w:eastAsia="宋体" w:hAnsi="宋体"/>
      <w:lang w:bidi="ar-SA"/>
    </w:rPr>
  </w:style>
  <w:style w:type="paragraph" w:styleId="a4">
    <w:name w:val="Plain Text"/>
    <w:basedOn w:val="a"/>
    <w:link w:val="Char0"/>
    <w:pPr>
      <w:jc w:val="left"/>
    </w:pPr>
    <w:rPr>
      <w:rFonts w:ascii="Calibri" w:hAnsi="Courier New"/>
      <w:szCs w:val="21"/>
    </w:rPr>
  </w:style>
  <w:style w:type="character" w:customStyle="1" w:styleId="Char0">
    <w:name w:val="纯文本 Char"/>
    <w:link w:val="a4"/>
    <w:rPr>
      <w:rFonts w:ascii="Calibri" w:hAnsi="Courier New" w:cs="Courier New"/>
      <w:kern w:val="2"/>
      <w:sz w:val="21"/>
      <w:szCs w:val="21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Pr>
      <w:kern w:val="2"/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pPr>
      <w:widowControl w:val="0"/>
      <w:spacing w:before="0" w:beforeAutospacing="0" w:after="0" w:afterAutospacing="0"/>
    </w:pPr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21"/>
      <w:szCs w:val="21"/>
    </w:rPr>
  </w:style>
  <w:style w:type="character" w:customStyle="1" w:styleId="txtcontent1">
    <w:name w:val="txtcontent1"/>
    <w:basedOn w:val="a0"/>
  </w:style>
  <w:style w:type="paragraph" w:customStyle="1" w:styleId="Style30">
    <w:name w:val="_Style 30"/>
    <w:basedOn w:val="a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e">
    <w:name w:val="未处理的提及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hfu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fund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2736</Characters>
  <Application>Microsoft Office Word</Application>
  <DocSecurity>4</DocSecurity>
  <PresentationFormat/>
  <Lines>22</Lines>
  <Paragraphs>6</Paragraphs>
  <Slides>0</Slides>
  <Notes>0</Notes>
  <HiddenSlides>0</HiddenSlides>
  <MMClips>0</MMClips>
  <ScaleCrop>false</ScaleCrop>
  <Company>MC SYSTEM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中海基金管理有限公司关于新增华宝证券有限责任公司为旗下</dc:title>
  <dc:subject/>
  <dc:creator>MC SYSTEM</dc:creator>
  <cp:keywords/>
  <cp:lastModifiedBy>ZHONGM</cp:lastModifiedBy>
  <cp:revision>2</cp:revision>
  <cp:lastPrinted>2012-09-06T03:23:00Z</cp:lastPrinted>
  <dcterms:created xsi:type="dcterms:W3CDTF">2021-05-11T16:22:00Z</dcterms:created>
  <dcterms:modified xsi:type="dcterms:W3CDTF">2021-05-11T16:22:00Z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D1829CAFC9484AD8AC18BD4DFB63C24F</vt:lpwstr>
  </property>
</Properties>
</file>