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B4" w:rsidRDefault="00710748">
      <w:pPr>
        <w:widowControl/>
        <w:shd w:val="clear" w:color="auto" w:fill="FFFFFF"/>
        <w:spacing w:before="240" w:line="420" w:lineRule="atLeast"/>
        <w:jc w:val="center"/>
        <w:rPr>
          <w:rFonts w:ascii="微软雅黑" w:eastAsia="微软雅黑" w:hAnsi="微软雅黑" w:cs="宋体"/>
          <w:b/>
          <w:bCs/>
          <w:color w:val="993300"/>
          <w:kern w:val="0"/>
          <w:sz w:val="24"/>
          <w:szCs w:val="24"/>
        </w:rPr>
      </w:pPr>
      <w:r>
        <w:rPr>
          <w:rFonts w:ascii="微软雅黑" w:eastAsia="微软雅黑" w:hAnsi="微软雅黑" w:cs="宋体" w:hint="eastAsia"/>
          <w:b/>
          <w:bCs/>
          <w:color w:val="993300"/>
          <w:kern w:val="0"/>
          <w:sz w:val="24"/>
          <w:szCs w:val="24"/>
        </w:rPr>
        <w:t>招商基金管理有限公司关于旗下部分基金增加中正达广为销售机构的公告</w:t>
      </w:r>
    </w:p>
    <w:p w:rsidR="006158B4" w:rsidRDefault="00710748" w:rsidP="00833C30">
      <w:pPr>
        <w:widowControl/>
        <w:shd w:val="clear" w:color="auto" w:fill="FFFFFF"/>
        <w:spacing w:before="240" w:line="42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根据招商基金管理有限公司（以下简称“本公司”）与上海中正达广基金销售有限公司（以下简称“中正达广”）签署的基金销售协议，自2021年</w:t>
      </w:r>
      <w:r w:rsidR="00F871FB">
        <w:rPr>
          <w:rFonts w:ascii="微软雅黑" w:eastAsia="微软雅黑" w:hAnsi="微软雅黑" w:cs="宋体"/>
          <w:color w:val="333333"/>
          <w:kern w:val="0"/>
          <w:sz w:val="24"/>
          <w:szCs w:val="24"/>
        </w:rPr>
        <w:t>5</w:t>
      </w:r>
      <w:r>
        <w:rPr>
          <w:rFonts w:ascii="微软雅黑" w:eastAsia="微软雅黑" w:hAnsi="微软雅黑" w:cs="宋体" w:hint="eastAsia"/>
          <w:color w:val="333333"/>
          <w:kern w:val="0"/>
          <w:sz w:val="24"/>
          <w:szCs w:val="24"/>
        </w:rPr>
        <w:t>月</w:t>
      </w:r>
      <w:r>
        <w:rPr>
          <w:rFonts w:ascii="微软雅黑" w:eastAsia="微软雅黑" w:hAnsi="微软雅黑" w:cs="宋体"/>
          <w:color w:val="333333"/>
          <w:kern w:val="0"/>
          <w:sz w:val="24"/>
          <w:szCs w:val="24"/>
        </w:rPr>
        <w:t>1</w:t>
      </w:r>
      <w:r w:rsidR="00F871FB">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日起，本公司将增加中正达广为以下基金</w:t>
      </w:r>
      <w:r w:rsidR="00833C30">
        <w:rPr>
          <w:rFonts w:ascii="微软雅黑" w:eastAsia="微软雅黑" w:hAnsi="微软雅黑" w:cs="宋体" w:hint="eastAsia"/>
          <w:color w:val="333333"/>
          <w:kern w:val="0"/>
          <w:sz w:val="24"/>
          <w:szCs w:val="24"/>
        </w:rPr>
        <w:t>的销售机构并开通账户开户、申购、赎回、定投及转换等业务相关业务</w:t>
      </w:r>
    </w:p>
    <w:tbl>
      <w:tblPr>
        <w:tblW w:w="8500" w:type="dxa"/>
        <w:tblLook w:val="04A0"/>
      </w:tblPr>
      <w:tblGrid>
        <w:gridCol w:w="1255"/>
        <w:gridCol w:w="7245"/>
      </w:tblGrid>
      <w:tr w:rsidR="006158B4" w:rsidTr="00833C30">
        <w:trPr>
          <w:trHeight w:val="269"/>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8B4" w:rsidRDefault="00710748">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基金代码</w:t>
            </w:r>
          </w:p>
        </w:tc>
        <w:tc>
          <w:tcPr>
            <w:tcW w:w="7245" w:type="dxa"/>
            <w:tcBorders>
              <w:top w:val="single" w:sz="4" w:space="0" w:color="auto"/>
              <w:left w:val="nil"/>
              <w:bottom w:val="single" w:sz="4" w:space="0" w:color="auto"/>
              <w:right w:val="single" w:sz="4" w:space="0" w:color="auto"/>
            </w:tcBorders>
            <w:shd w:val="clear" w:color="auto" w:fill="auto"/>
            <w:noWrap/>
            <w:vAlign w:val="bottom"/>
          </w:tcPr>
          <w:p w:rsidR="006158B4" w:rsidRDefault="00710748">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基金全称</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004407</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招商上证消费</w:t>
            </w:r>
            <w:r>
              <w:rPr>
                <w:rFonts w:ascii="微软雅黑" w:eastAsia="微软雅黑" w:hAnsi="微软雅黑" w:cs="宋体"/>
                <w:color w:val="333333"/>
                <w:kern w:val="0"/>
                <w:sz w:val="24"/>
                <w:szCs w:val="24"/>
              </w:rPr>
              <w:t>80</w:t>
            </w:r>
            <w:r>
              <w:rPr>
                <w:rFonts w:ascii="微软雅黑" w:eastAsia="微软雅黑" w:hAnsi="微软雅黑" w:cs="宋体" w:hint="eastAsia"/>
                <w:color w:val="333333"/>
                <w:kern w:val="0"/>
                <w:sz w:val="24"/>
                <w:szCs w:val="24"/>
              </w:rPr>
              <w:t>交易型开放式指数证券投资基金联接基金</w:t>
            </w:r>
            <w:r>
              <w:rPr>
                <w:rFonts w:ascii="微软雅黑" w:eastAsia="微软雅黑" w:hAnsi="微软雅黑" w:cs="宋体"/>
                <w:color w:val="333333"/>
                <w:kern w:val="0"/>
                <w:sz w:val="24"/>
                <w:szCs w:val="24"/>
              </w:rPr>
              <w:t>C</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004408</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招商深证</w:t>
            </w:r>
            <w:r>
              <w:rPr>
                <w:rFonts w:ascii="微软雅黑" w:eastAsia="微软雅黑" w:hAnsi="微软雅黑" w:cs="宋体"/>
                <w:color w:val="333333"/>
                <w:kern w:val="0"/>
                <w:sz w:val="24"/>
                <w:szCs w:val="24"/>
              </w:rPr>
              <w:t>100</w:t>
            </w:r>
            <w:r>
              <w:rPr>
                <w:rFonts w:ascii="微软雅黑" w:eastAsia="微软雅黑" w:hAnsi="微软雅黑" w:cs="宋体" w:hint="eastAsia"/>
                <w:color w:val="333333"/>
                <w:kern w:val="0"/>
                <w:sz w:val="24"/>
                <w:szCs w:val="24"/>
              </w:rPr>
              <w:t>指数证券投资基金</w:t>
            </w:r>
            <w:r>
              <w:rPr>
                <w:rFonts w:ascii="微软雅黑" w:eastAsia="微软雅黑" w:hAnsi="微软雅黑" w:cs="宋体"/>
                <w:color w:val="333333"/>
                <w:kern w:val="0"/>
                <w:sz w:val="24"/>
                <w:szCs w:val="24"/>
              </w:rPr>
              <w:t>C</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004409</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招商深证电子信息传媒产业</w:t>
            </w:r>
            <w:r>
              <w:rPr>
                <w:rFonts w:ascii="微软雅黑" w:eastAsia="微软雅黑" w:hAnsi="微软雅黑" w:cs="宋体"/>
                <w:color w:val="333333"/>
                <w:kern w:val="0"/>
                <w:sz w:val="24"/>
                <w:szCs w:val="24"/>
              </w:rPr>
              <w:t>(TMT)50</w:t>
            </w:r>
            <w:r>
              <w:rPr>
                <w:rFonts w:ascii="微软雅黑" w:eastAsia="微软雅黑" w:hAnsi="微软雅黑" w:cs="宋体" w:hint="eastAsia"/>
                <w:color w:val="333333"/>
                <w:kern w:val="0"/>
                <w:sz w:val="24"/>
                <w:szCs w:val="24"/>
              </w:rPr>
              <w:t>交易型开放式指数证券投资基金联接基金</w:t>
            </w:r>
            <w:r>
              <w:rPr>
                <w:rFonts w:ascii="微软雅黑" w:eastAsia="微软雅黑" w:hAnsi="微软雅黑" w:cs="宋体"/>
                <w:color w:val="333333"/>
                <w:kern w:val="0"/>
                <w:sz w:val="24"/>
                <w:szCs w:val="24"/>
              </w:rPr>
              <w:t>C</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004410</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招商央视财经</w:t>
            </w:r>
            <w:r>
              <w:rPr>
                <w:rFonts w:ascii="微软雅黑" w:eastAsia="微软雅黑" w:hAnsi="微软雅黑" w:cs="宋体"/>
                <w:color w:val="333333"/>
                <w:kern w:val="0"/>
                <w:sz w:val="24"/>
                <w:szCs w:val="24"/>
              </w:rPr>
              <w:t>50</w:t>
            </w:r>
            <w:r>
              <w:rPr>
                <w:rFonts w:ascii="微软雅黑" w:eastAsia="微软雅黑" w:hAnsi="微软雅黑" w:cs="宋体" w:hint="eastAsia"/>
                <w:color w:val="333333"/>
                <w:kern w:val="0"/>
                <w:sz w:val="24"/>
                <w:szCs w:val="24"/>
              </w:rPr>
              <w:t>指数证券投资基金</w:t>
            </w:r>
            <w:r>
              <w:rPr>
                <w:rFonts w:ascii="微软雅黑" w:eastAsia="微软雅黑" w:hAnsi="微软雅黑" w:cs="宋体"/>
                <w:color w:val="333333"/>
                <w:kern w:val="0"/>
                <w:sz w:val="24"/>
                <w:szCs w:val="24"/>
              </w:rPr>
              <w:t>C</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161706</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招商优质成长混合型证券投资基金</w:t>
            </w:r>
            <w:r>
              <w:rPr>
                <w:rFonts w:ascii="微软雅黑" w:eastAsia="微软雅黑" w:hAnsi="微软雅黑" w:cs="宋体"/>
                <w:color w:val="333333"/>
                <w:kern w:val="0"/>
                <w:sz w:val="24"/>
                <w:szCs w:val="24"/>
              </w:rPr>
              <w:t>(LOF)</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161713</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招商信用添利债券型证券投资基金</w:t>
            </w:r>
            <w:r>
              <w:rPr>
                <w:rFonts w:ascii="微软雅黑" w:eastAsia="微软雅黑" w:hAnsi="微软雅黑" w:cs="宋体"/>
                <w:color w:val="333333"/>
                <w:kern w:val="0"/>
                <w:sz w:val="24"/>
                <w:szCs w:val="24"/>
              </w:rPr>
              <w:t>(LOF)</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161715</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招商中证大宗商品股票指数证券投资基金（LOF）</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161716</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招商双债增强债券型证券投资基金(LOF)C</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161718</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招商沪深300高贝塔指数证券投资基金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161719</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招商可转债债券型证券投资基金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161720</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招商中证全指证券公司指数证券投资基金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161721</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招商沪深300地产等权重指数证券投资基金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161722</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招商丰泰灵活配置混合型证券投资基金(LOF)</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161723</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招商中证银行指数证券投资基金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lastRenderedPageBreak/>
              <w:t>161724</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招商中证煤炭等权指数证券投资基金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161725</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招商中证白酒指数证券投资基金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161726</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招商国证生物医药指数证券投资基金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161727</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招商增荣灵活配置混合型证券投资基金（</w:t>
            </w:r>
            <w:r>
              <w:rPr>
                <w:rFonts w:ascii="微软雅黑" w:eastAsia="微软雅黑" w:hAnsi="微软雅黑" w:cs="宋体"/>
                <w:color w:val="333333"/>
                <w:kern w:val="0"/>
                <w:sz w:val="24"/>
                <w:szCs w:val="24"/>
              </w:rPr>
              <w:t>LOF</w:t>
            </w:r>
            <w:r>
              <w:rPr>
                <w:rFonts w:ascii="微软雅黑" w:eastAsia="微软雅黑" w:hAnsi="微软雅黑" w:cs="宋体" w:hint="eastAsia"/>
                <w:color w:val="333333"/>
                <w:kern w:val="0"/>
                <w:sz w:val="24"/>
                <w:szCs w:val="24"/>
              </w:rPr>
              <w:t>）</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161729</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招商3年封闭运作瑞利灵活配置混合型证券投资基金</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501067</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招商富时中国</w:t>
            </w:r>
            <w:r>
              <w:rPr>
                <w:rFonts w:ascii="微软雅黑" w:eastAsia="微软雅黑" w:hAnsi="微软雅黑" w:cs="宋体"/>
                <w:color w:val="333333"/>
                <w:kern w:val="0"/>
                <w:sz w:val="24"/>
                <w:szCs w:val="24"/>
              </w:rPr>
              <w:t>A-H50</w:t>
            </w:r>
            <w:r>
              <w:rPr>
                <w:rFonts w:ascii="微软雅黑" w:eastAsia="微软雅黑" w:hAnsi="微软雅黑" w:cs="宋体" w:hint="eastAsia"/>
                <w:color w:val="333333"/>
                <w:kern w:val="0"/>
                <w:sz w:val="24"/>
                <w:szCs w:val="24"/>
              </w:rPr>
              <w:t>指数型证券投资基金（</w:t>
            </w:r>
            <w:r>
              <w:rPr>
                <w:rFonts w:ascii="微软雅黑" w:eastAsia="微软雅黑" w:hAnsi="微软雅黑" w:cs="宋体"/>
                <w:color w:val="333333"/>
                <w:kern w:val="0"/>
                <w:sz w:val="24"/>
                <w:szCs w:val="24"/>
              </w:rPr>
              <w:t>LOF</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A</w:t>
            </w:r>
          </w:p>
        </w:tc>
      </w:tr>
      <w:tr w:rsidR="006158B4" w:rsidTr="00833C30">
        <w:trPr>
          <w:trHeight w:val="283"/>
        </w:trPr>
        <w:tc>
          <w:tcPr>
            <w:tcW w:w="1255" w:type="dxa"/>
            <w:tcBorders>
              <w:top w:val="nil"/>
              <w:left w:val="single" w:sz="4" w:space="0" w:color="auto"/>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501068</w:t>
            </w:r>
          </w:p>
        </w:tc>
        <w:tc>
          <w:tcPr>
            <w:tcW w:w="7245" w:type="dxa"/>
            <w:tcBorders>
              <w:top w:val="nil"/>
              <w:left w:val="nil"/>
              <w:bottom w:val="single" w:sz="4" w:space="0" w:color="auto"/>
              <w:right w:val="single" w:sz="4" w:space="0" w:color="auto"/>
            </w:tcBorders>
            <w:shd w:val="clear" w:color="auto" w:fill="auto"/>
            <w:noWrap/>
            <w:vAlign w:val="bottom"/>
          </w:tcPr>
          <w:p w:rsidR="006158B4" w:rsidRDefault="00710748">
            <w:pPr>
              <w:widowControl/>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招商富时中国</w:t>
            </w:r>
            <w:r>
              <w:rPr>
                <w:rFonts w:ascii="微软雅黑" w:eastAsia="微软雅黑" w:hAnsi="微软雅黑" w:cs="宋体"/>
                <w:color w:val="333333"/>
                <w:kern w:val="0"/>
                <w:sz w:val="24"/>
                <w:szCs w:val="24"/>
              </w:rPr>
              <w:t>A-H50</w:t>
            </w:r>
            <w:r>
              <w:rPr>
                <w:rFonts w:ascii="微软雅黑" w:eastAsia="微软雅黑" w:hAnsi="微软雅黑" w:cs="宋体" w:hint="eastAsia"/>
                <w:color w:val="333333"/>
                <w:kern w:val="0"/>
                <w:sz w:val="24"/>
                <w:szCs w:val="24"/>
              </w:rPr>
              <w:t>指数型证券投资基金（</w:t>
            </w:r>
            <w:r>
              <w:rPr>
                <w:rFonts w:ascii="微软雅黑" w:eastAsia="微软雅黑" w:hAnsi="微软雅黑" w:cs="宋体"/>
                <w:color w:val="333333"/>
                <w:kern w:val="0"/>
                <w:sz w:val="24"/>
                <w:szCs w:val="24"/>
              </w:rPr>
              <w:t>LOF</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C</w:t>
            </w:r>
          </w:p>
        </w:tc>
      </w:tr>
    </w:tbl>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自2021年</w:t>
      </w:r>
      <w:r w:rsidR="001F2CA7">
        <w:rPr>
          <w:rFonts w:ascii="微软雅黑" w:eastAsia="微软雅黑" w:hAnsi="微软雅黑" w:cs="宋体"/>
          <w:color w:val="333333"/>
          <w:kern w:val="0"/>
          <w:sz w:val="24"/>
          <w:szCs w:val="24"/>
        </w:rPr>
        <w:t>5</w:t>
      </w:r>
      <w:r>
        <w:rPr>
          <w:rFonts w:ascii="微软雅黑" w:eastAsia="微软雅黑" w:hAnsi="微软雅黑" w:cs="宋体" w:hint="eastAsia"/>
          <w:color w:val="333333"/>
          <w:kern w:val="0"/>
          <w:sz w:val="24"/>
          <w:szCs w:val="24"/>
        </w:rPr>
        <w:t>月1</w:t>
      </w:r>
      <w:r w:rsidR="001F2CA7">
        <w:rPr>
          <w:rFonts w:ascii="微软雅黑" w:eastAsia="微软雅黑" w:hAnsi="微软雅黑" w:cs="宋体"/>
          <w:color w:val="333333"/>
          <w:kern w:val="0"/>
          <w:sz w:val="24"/>
          <w:szCs w:val="24"/>
        </w:rPr>
        <w:t>3</w:t>
      </w:r>
      <w:r>
        <w:rPr>
          <w:rFonts w:ascii="微软雅黑" w:eastAsia="微软雅黑" w:hAnsi="微软雅黑" w:cs="宋体" w:hint="eastAsia"/>
          <w:color w:val="333333"/>
          <w:kern w:val="0"/>
          <w:sz w:val="24"/>
          <w:szCs w:val="24"/>
        </w:rPr>
        <w:t>日起，投资者通过中正达广申购上述本公司旗下基金，申购费率享费率优惠，具体折扣费率以中正达广页面公示为准。基金原费率请详见基金合同、招募说明书（更新）等法律文件，以及本公司发布的最新业务公告。</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费率优惠期限内，如本公司新增通过中正达广销售的基金产品，则自该基金产品开放申（认）购当日起，将同时开通该基金上述费率优惠。费率优惠期限，以中正达广官方网站所示公告为准。</w:t>
      </w:r>
    </w:p>
    <w:p w:rsidR="006158B4" w:rsidRDefault="00710748" w:rsidP="00124E38">
      <w:pPr>
        <w:widowControl/>
        <w:shd w:val="clear" w:color="auto" w:fill="FFFFFF"/>
        <w:jc w:val="left"/>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t>重要提示：</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有关费率优惠活动的具体规定如有变化，敬请投资者留意中正达广的有关规定。投资者欲了解基金产品的详细情况，请仔细阅读基金的基金合同、招募说明书等法律文件。</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投资者也可以通过以下途径咨询有关情况：</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1、中正达广网站：www.zhongzhengfund.com</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2、中正达广客服电话：400-6767-523</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3、招商基金管理有限公司网站：www.cmfchina.com</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4、招商基金管理有限公司客服电话：400-887-9555</w:t>
      </w:r>
    </w:p>
    <w:p w:rsidR="006158B4" w:rsidRDefault="00710748" w:rsidP="00124E38">
      <w:pPr>
        <w:widowControl/>
        <w:shd w:val="clear" w:color="auto" w:fill="FFFFFF"/>
        <w:jc w:val="left"/>
        <w:rPr>
          <w:rFonts w:ascii="微软雅黑" w:eastAsia="微软雅黑" w:hAnsi="微软雅黑" w:cs="宋体"/>
          <w:b/>
          <w:bCs/>
          <w:color w:val="333333"/>
          <w:kern w:val="0"/>
          <w:sz w:val="24"/>
          <w:szCs w:val="24"/>
        </w:rPr>
      </w:pPr>
      <w:r>
        <w:rPr>
          <w:rFonts w:ascii="微软雅黑" w:eastAsia="微软雅黑" w:hAnsi="微软雅黑" w:cs="宋体" w:hint="eastAsia"/>
          <w:b/>
          <w:bCs/>
          <w:color w:val="333333"/>
          <w:kern w:val="0"/>
          <w:sz w:val="24"/>
          <w:szCs w:val="24"/>
        </w:rPr>
        <w:lastRenderedPageBreak/>
        <w:t>风险提示：</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一）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（二）本公司承诺以诚实信用、勤勉尽责的原则管理和运用基金资产，但不保证基金一定盈利，也不保证最低收益。投资者投资于</w:t>
      </w:r>
      <w:r w:rsidR="0082584B">
        <w:rPr>
          <w:rFonts w:ascii="微软雅黑" w:eastAsia="微软雅黑" w:hAnsi="微软雅黑" w:cs="宋体" w:hint="eastAsia"/>
          <w:color w:val="333333"/>
          <w:kern w:val="0"/>
          <w:sz w:val="24"/>
          <w:szCs w:val="24"/>
        </w:rPr>
        <w:t>上述基金</w:t>
      </w:r>
      <w:r>
        <w:rPr>
          <w:rFonts w:ascii="微软雅黑" w:eastAsia="微软雅黑" w:hAnsi="微软雅黑" w:cs="宋体" w:hint="eastAsia"/>
          <w:color w:val="333333"/>
          <w:kern w:val="0"/>
          <w:sz w:val="24"/>
          <w:szCs w:val="24"/>
        </w:rPr>
        <w:t>时应认真阅读上述基金的基金合同、招募说明书等资料。敬请投资者留意投资风险。</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（三）投资人应当充分了解基金定期定额投资和零存整取等储蓄方式的区别。</w:t>
      </w: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w:t>
      </w:r>
    </w:p>
    <w:p w:rsidR="00E919A5" w:rsidRDefault="00E919A5" w:rsidP="00124E38">
      <w:pPr>
        <w:widowControl/>
        <w:shd w:val="clear" w:color="auto" w:fill="FFFFFF"/>
        <w:jc w:val="left"/>
        <w:rPr>
          <w:rFonts w:ascii="微软雅黑" w:eastAsia="微软雅黑" w:hAnsi="微软雅黑" w:cs="宋体"/>
          <w:color w:val="333333"/>
          <w:kern w:val="0"/>
          <w:sz w:val="24"/>
          <w:szCs w:val="24"/>
        </w:rPr>
      </w:pPr>
    </w:p>
    <w:p w:rsidR="006158B4" w:rsidRDefault="00710748" w:rsidP="00124E38">
      <w:pPr>
        <w:widowControl/>
        <w:shd w:val="clear" w:color="auto" w:fill="FFFFFF"/>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特此公告。</w:t>
      </w:r>
    </w:p>
    <w:p w:rsidR="00E919A5" w:rsidRDefault="00E919A5" w:rsidP="00124E38">
      <w:pPr>
        <w:widowControl/>
        <w:shd w:val="clear" w:color="auto" w:fill="FFFFFF"/>
        <w:jc w:val="right"/>
        <w:rPr>
          <w:rFonts w:ascii="微软雅黑" w:eastAsia="微软雅黑" w:hAnsi="微软雅黑" w:cs="宋体"/>
          <w:b/>
          <w:bCs/>
          <w:color w:val="464646"/>
          <w:kern w:val="0"/>
          <w:sz w:val="24"/>
          <w:szCs w:val="24"/>
        </w:rPr>
      </w:pPr>
    </w:p>
    <w:p w:rsidR="00E919A5" w:rsidRDefault="00E919A5" w:rsidP="00124E38">
      <w:pPr>
        <w:widowControl/>
        <w:shd w:val="clear" w:color="auto" w:fill="FFFFFF"/>
        <w:jc w:val="right"/>
        <w:rPr>
          <w:rFonts w:ascii="微软雅黑" w:eastAsia="微软雅黑" w:hAnsi="微软雅黑" w:cs="宋体"/>
          <w:b/>
          <w:bCs/>
          <w:color w:val="464646"/>
          <w:kern w:val="0"/>
          <w:sz w:val="24"/>
          <w:szCs w:val="24"/>
        </w:rPr>
      </w:pPr>
    </w:p>
    <w:p w:rsidR="006158B4" w:rsidRDefault="00710748" w:rsidP="00124E38">
      <w:pPr>
        <w:widowControl/>
        <w:shd w:val="clear" w:color="auto" w:fill="FFFFFF"/>
        <w:jc w:val="right"/>
        <w:rPr>
          <w:rFonts w:ascii="微软雅黑" w:eastAsia="微软雅黑" w:hAnsi="微软雅黑" w:cs="宋体"/>
          <w:b/>
          <w:bCs/>
          <w:color w:val="464646"/>
          <w:kern w:val="0"/>
          <w:sz w:val="24"/>
          <w:szCs w:val="24"/>
        </w:rPr>
      </w:pPr>
      <w:bookmarkStart w:id="0" w:name="_GoBack"/>
      <w:bookmarkEnd w:id="0"/>
      <w:r>
        <w:rPr>
          <w:rFonts w:ascii="微软雅黑" w:eastAsia="微软雅黑" w:hAnsi="微软雅黑" w:cs="宋体" w:hint="eastAsia"/>
          <w:b/>
          <w:bCs/>
          <w:color w:val="464646"/>
          <w:kern w:val="0"/>
          <w:sz w:val="24"/>
          <w:szCs w:val="24"/>
        </w:rPr>
        <w:t>招商基金管理有限公司</w:t>
      </w:r>
    </w:p>
    <w:p w:rsidR="006158B4" w:rsidRDefault="00710748" w:rsidP="00124E38">
      <w:pPr>
        <w:widowControl/>
        <w:shd w:val="clear" w:color="auto" w:fill="FFFFFF"/>
        <w:jc w:val="right"/>
        <w:rPr>
          <w:rFonts w:ascii="微软雅黑" w:eastAsia="微软雅黑" w:hAnsi="微软雅黑" w:cs="宋体"/>
          <w:b/>
          <w:bCs/>
          <w:color w:val="464646"/>
          <w:kern w:val="0"/>
          <w:sz w:val="24"/>
          <w:szCs w:val="24"/>
        </w:rPr>
      </w:pPr>
      <w:r>
        <w:rPr>
          <w:rFonts w:ascii="微软雅黑" w:eastAsia="微软雅黑" w:hAnsi="微软雅黑" w:cs="宋体" w:hint="eastAsia"/>
          <w:b/>
          <w:bCs/>
          <w:color w:val="464646"/>
          <w:kern w:val="0"/>
          <w:sz w:val="24"/>
          <w:szCs w:val="24"/>
        </w:rPr>
        <w:t>2021年</w:t>
      </w:r>
      <w:r w:rsidR="00F871FB">
        <w:rPr>
          <w:rFonts w:ascii="微软雅黑" w:eastAsia="微软雅黑" w:hAnsi="微软雅黑" w:cs="宋体"/>
          <w:b/>
          <w:bCs/>
          <w:color w:val="464646"/>
          <w:kern w:val="0"/>
          <w:sz w:val="24"/>
          <w:szCs w:val="24"/>
        </w:rPr>
        <w:t>5</w:t>
      </w:r>
      <w:r>
        <w:rPr>
          <w:rFonts w:ascii="微软雅黑" w:eastAsia="微软雅黑" w:hAnsi="微软雅黑" w:cs="宋体" w:hint="eastAsia"/>
          <w:b/>
          <w:bCs/>
          <w:color w:val="464646"/>
          <w:kern w:val="0"/>
          <w:sz w:val="24"/>
          <w:szCs w:val="24"/>
        </w:rPr>
        <w:t>月</w:t>
      </w:r>
      <w:r w:rsidR="00F871FB">
        <w:rPr>
          <w:rFonts w:ascii="微软雅黑" w:eastAsia="微软雅黑" w:hAnsi="微软雅黑" w:cs="宋体"/>
          <w:b/>
          <w:bCs/>
          <w:color w:val="464646"/>
          <w:kern w:val="0"/>
          <w:sz w:val="24"/>
          <w:szCs w:val="24"/>
        </w:rPr>
        <w:t>8</w:t>
      </w:r>
      <w:r>
        <w:rPr>
          <w:rFonts w:ascii="微软雅黑" w:eastAsia="微软雅黑" w:hAnsi="微软雅黑" w:cs="宋体" w:hint="eastAsia"/>
          <w:b/>
          <w:bCs/>
          <w:color w:val="464646"/>
          <w:kern w:val="0"/>
          <w:sz w:val="24"/>
          <w:szCs w:val="24"/>
        </w:rPr>
        <w:t>日</w:t>
      </w:r>
    </w:p>
    <w:p w:rsidR="006158B4" w:rsidRDefault="006158B4">
      <w:pPr>
        <w:rPr>
          <w:rFonts w:ascii="微软雅黑" w:eastAsia="微软雅黑" w:hAnsi="微软雅黑"/>
        </w:rPr>
      </w:pPr>
    </w:p>
    <w:sectPr w:rsidR="006158B4" w:rsidSect="00211B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C6" w:rsidRDefault="001560C6" w:rsidP="00F871FB">
      <w:r>
        <w:separator/>
      </w:r>
    </w:p>
  </w:endnote>
  <w:endnote w:type="continuationSeparator" w:id="0">
    <w:p w:rsidR="001560C6" w:rsidRDefault="001560C6" w:rsidP="00F87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C6" w:rsidRDefault="001560C6" w:rsidP="00F871FB">
      <w:r>
        <w:separator/>
      </w:r>
    </w:p>
  </w:footnote>
  <w:footnote w:type="continuationSeparator" w:id="0">
    <w:p w:rsidR="001560C6" w:rsidRDefault="001560C6" w:rsidP="00F87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5EE1"/>
    <w:rsid w:val="00032766"/>
    <w:rsid w:val="000928BB"/>
    <w:rsid w:val="00104E66"/>
    <w:rsid w:val="00124E38"/>
    <w:rsid w:val="001560C6"/>
    <w:rsid w:val="001C0D3D"/>
    <w:rsid w:val="001F2CA7"/>
    <w:rsid w:val="00211BF5"/>
    <w:rsid w:val="00215EC1"/>
    <w:rsid w:val="0031053B"/>
    <w:rsid w:val="00456518"/>
    <w:rsid w:val="004725D5"/>
    <w:rsid w:val="00487871"/>
    <w:rsid w:val="00500EAD"/>
    <w:rsid w:val="00557E03"/>
    <w:rsid w:val="00585EE1"/>
    <w:rsid w:val="005D4F21"/>
    <w:rsid w:val="005E4FAE"/>
    <w:rsid w:val="006158B4"/>
    <w:rsid w:val="00636D59"/>
    <w:rsid w:val="00641742"/>
    <w:rsid w:val="00701D7E"/>
    <w:rsid w:val="00704716"/>
    <w:rsid w:val="00710748"/>
    <w:rsid w:val="0082584B"/>
    <w:rsid w:val="00825FAB"/>
    <w:rsid w:val="00833C30"/>
    <w:rsid w:val="0088352B"/>
    <w:rsid w:val="008B2834"/>
    <w:rsid w:val="00904D4D"/>
    <w:rsid w:val="009243B9"/>
    <w:rsid w:val="009E60ED"/>
    <w:rsid w:val="00A03C2F"/>
    <w:rsid w:val="00A501AB"/>
    <w:rsid w:val="00A961C2"/>
    <w:rsid w:val="00AB7DBA"/>
    <w:rsid w:val="00AC108E"/>
    <w:rsid w:val="00B10194"/>
    <w:rsid w:val="00B15AD5"/>
    <w:rsid w:val="00B76F17"/>
    <w:rsid w:val="00BC6052"/>
    <w:rsid w:val="00D310EB"/>
    <w:rsid w:val="00D45BE2"/>
    <w:rsid w:val="00DB6549"/>
    <w:rsid w:val="00E03CC1"/>
    <w:rsid w:val="00E919A5"/>
    <w:rsid w:val="00F06568"/>
    <w:rsid w:val="00F075A8"/>
    <w:rsid w:val="00F32BFE"/>
    <w:rsid w:val="00F63030"/>
    <w:rsid w:val="00F6340A"/>
    <w:rsid w:val="00F8645E"/>
    <w:rsid w:val="00F871FB"/>
    <w:rsid w:val="00FA7FF6"/>
    <w:rsid w:val="00FE2DFC"/>
    <w:rsid w:val="41F11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11BF5"/>
    <w:pPr>
      <w:jc w:val="left"/>
    </w:pPr>
  </w:style>
  <w:style w:type="paragraph" w:styleId="a4">
    <w:name w:val="Balloon Text"/>
    <w:basedOn w:val="a"/>
    <w:link w:val="Char0"/>
    <w:uiPriority w:val="99"/>
    <w:semiHidden/>
    <w:unhideWhenUsed/>
    <w:rsid w:val="00211BF5"/>
    <w:rPr>
      <w:sz w:val="18"/>
      <w:szCs w:val="18"/>
    </w:rPr>
  </w:style>
  <w:style w:type="paragraph" w:styleId="a5">
    <w:name w:val="footer"/>
    <w:basedOn w:val="a"/>
    <w:link w:val="Char1"/>
    <w:uiPriority w:val="99"/>
    <w:unhideWhenUsed/>
    <w:rsid w:val="00211BF5"/>
    <w:pPr>
      <w:tabs>
        <w:tab w:val="center" w:pos="4153"/>
        <w:tab w:val="right" w:pos="8306"/>
      </w:tabs>
      <w:snapToGrid w:val="0"/>
      <w:jc w:val="left"/>
    </w:pPr>
    <w:rPr>
      <w:sz w:val="18"/>
      <w:szCs w:val="18"/>
    </w:rPr>
  </w:style>
  <w:style w:type="paragraph" w:styleId="a6">
    <w:name w:val="header"/>
    <w:basedOn w:val="a"/>
    <w:link w:val="Char2"/>
    <w:uiPriority w:val="99"/>
    <w:unhideWhenUsed/>
    <w:rsid w:val="00211BF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211BF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211BF5"/>
    <w:rPr>
      <w:b/>
      <w:bCs/>
    </w:rPr>
  </w:style>
  <w:style w:type="character" w:styleId="a9">
    <w:name w:val="annotation reference"/>
    <w:basedOn w:val="a0"/>
    <w:uiPriority w:val="99"/>
    <w:semiHidden/>
    <w:unhideWhenUsed/>
    <w:rsid w:val="00211BF5"/>
    <w:rPr>
      <w:sz w:val="21"/>
      <w:szCs w:val="21"/>
    </w:rPr>
  </w:style>
  <w:style w:type="character" w:customStyle="1" w:styleId="Char2">
    <w:name w:val="页眉 Char"/>
    <w:basedOn w:val="a0"/>
    <w:link w:val="a6"/>
    <w:uiPriority w:val="99"/>
    <w:rsid w:val="00211BF5"/>
    <w:rPr>
      <w:sz w:val="18"/>
      <w:szCs w:val="18"/>
    </w:rPr>
  </w:style>
  <w:style w:type="character" w:customStyle="1" w:styleId="Char1">
    <w:name w:val="页脚 Char"/>
    <w:basedOn w:val="a0"/>
    <w:link w:val="a5"/>
    <w:uiPriority w:val="99"/>
    <w:rsid w:val="00211BF5"/>
    <w:rPr>
      <w:sz w:val="18"/>
      <w:szCs w:val="18"/>
    </w:rPr>
  </w:style>
  <w:style w:type="character" w:customStyle="1" w:styleId="Char">
    <w:name w:val="批注文字 Char"/>
    <w:basedOn w:val="a0"/>
    <w:link w:val="a3"/>
    <w:uiPriority w:val="99"/>
    <w:semiHidden/>
    <w:rsid w:val="00211BF5"/>
  </w:style>
  <w:style w:type="character" w:customStyle="1" w:styleId="Char3">
    <w:name w:val="批注主题 Char"/>
    <w:basedOn w:val="Char"/>
    <w:link w:val="a8"/>
    <w:uiPriority w:val="99"/>
    <w:semiHidden/>
    <w:rsid w:val="00211BF5"/>
    <w:rPr>
      <w:b/>
      <w:bCs/>
    </w:rPr>
  </w:style>
  <w:style w:type="character" w:customStyle="1" w:styleId="Char0">
    <w:name w:val="批注框文本 Char"/>
    <w:basedOn w:val="a0"/>
    <w:link w:val="a4"/>
    <w:uiPriority w:val="99"/>
    <w:semiHidden/>
    <w:rsid w:val="00211BF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1BBA10-6C65-4956-9D1C-BC3133CE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1345</Characters>
  <Application>Microsoft Office Word</Application>
  <DocSecurity>4</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陈平</dc:creator>
  <cp:lastModifiedBy>ZHONGM</cp:lastModifiedBy>
  <cp:revision>2</cp:revision>
  <dcterms:created xsi:type="dcterms:W3CDTF">2021-05-07T16:26:00Z</dcterms:created>
  <dcterms:modified xsi:type="dcterms:W3CDTF">2021-05-07T16:26:00Z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