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E1E" w:rsidRDefault="001A1E2B" w:rsidP="001A1E2B">
      <w:pPr>
        <w:spacing w:beforeLines="50" w:afterLines="50"/>
        <w:jc w:val="center"/>
        <w:rPr>
          <w:rFonts w:ascii="黑体" w:eastAsia="黑体" w:hAnsi="黑体"/>
          <w:sz w:val="36"/>
        </w:rPr>
      </w:pPr>
      <w:r>
        <w:rPr>
          <w:rFonts w:ascii="黑体" w:eastAsia="黑体" w:hAnsi="黑体" w:hint="eastAsia"/>
          <w:sz w:val="36"/>
        </w:rPr>
        <w:t>关于旗下东方新能源汽车主题混合型证券投资基金</w:t>
      </w:r>
    </w:p>
    <w:p w:rsidR="00D15E1E" w:rsidRDefault="001A1E2B" w:rsidP="001A1E2B">
      <w:pPr>
        <w:spacing w:beforeLines="50" w:afterLines="50"/>
        <w:jc w:val="center"/>
        <w:rPr>
          <w:rFonts w:ascii="黑体" w:eastAsia="黑体" w:hAnsi="黑体"/>
          <w:sz w:val="36"/>
        </w:rPr>
      </w:pPr>
      <w:r>
        <w:rPr>
          <w:rFonts w:ascii="黑体" w:eastAsia="黑体" w:hAnsi="黑体" w:hint="eastAsia"/>
          <w:sz w:val="36"/>
        </w:rPr>
        <w:t>参与中国建设银行基金产品</w:t>
      </w:r>
      <w:bookmarkStart w:id="0" w:name="_GoBack"/>
      <w:bookmarkEnd w:id="0"/>
      <w:r>
        <w:rPr>
          <w:rFonts w:ascii="黑体" w:eastAsia="黑体" w:hAnsi="黑体" w:hint="eastAsia"/>
          <w:sz w:val="36"/>
        </w:rPr>
        <w:t>定投费率优惠活动的公告</w:t>
      </w:r>
    </w:p>
    <w:p w:rsidR="00D15E1E" w:rsidRDefault="00D15E1E" w:rsidP="001A1E2B">
      <w:pPr>
        <w:widowControl/>
        <w:shd w:val="clear" w:color="auto" w:fill="FFFFFF"/>
        <w:spacing w:beforeLines="50" w:afterLines="50" w:line="360" w:lineRule="auto"/>
        <w:ind w:firstLineChars="200" w:firstLine="480"/>
        <w:jc w:val="left"/>
        <w:rPr>
          <w:rFonts w:ascii="宋体" w:eastAsia="宋体" w:hAnsi="宋体"/>
          <w:color w:val="000000"/>
          <w:sz w:val="24"/>
        </w:rPr>
      </w:pPr>
    </w:p>
    <w:p w:rsidR="00D15E1E" w:rsidRDefault="001A1E2B" w:rsidP="001A1E2B">
      <w:pPr>
        <w:widowControl/>
        <w:shd w:val="clear" w:color="auto" w:fill="FFFFFF"/>
        <w:spacing w:beforeLines="50" w:afterLines="50" w:line="360" w:lineRule="auto"/>
        <w:ind w:firstLineChars="200" w:firstLine="480"/>
        <w:rPr>
          <w:rFonts w:ascii="宋体" w:eastAsia="宋体" w:hAnsi="宋体"/>
          <w:color w:val="000000"/>
          <w:sz w:val="23"/>
        </w:rPr>
      </w:pPr>
      <w:r>
        <w:rPr>
          <w:rFonts w:ascii="宋体" w:eastAsia="宋体" w:hAnsi="宋体" w:hint="eastAsia"/>
          <w:color w:val="000000"/>
          <w:sz w:val="24"/>
        </w:rPr>
        <w:t xml:space="preserve"> </w:t>
      </w:r>
      <w:r>
        <w:rPr>
          <w:rFonts w:ascii="宋体" w:eastAsia="宋体" w:hAnsi="宋体" w:hint="eastAsia"/>
          <w:color w:val="000000"/>
          <w:sz w:val="23"/>
        </w:rPr>
        <w:t>为感谢广大投资者长期以来的信任与支持，更好地满足投资者的理财需求，经东方基金管理股份有限公司（以下简称</w:t>
      </w:r>
      <w:r>
        <w:rPr>
          <w:rFonts w:ascii="宋体" w:eastAsia="宋体" w:hAnsi="宋体"/>
          <w:color w:val="000000"/>
          <w:sz w:val="23"/>
        </w:rPr>
        <w:t>“</w:t>
      </w:r>
      <w:r>
        <w:rPr>
          <w:rFonts w:ascii="宋体" w:eastAsia="宋体" w:hAnsi="宋体" w:hint="eastAsia"/>
          <w:color w:val="000000"/>
          <w:sz w:val="23"/>
        </w:rPr>
        <w:t>本公司</w:t>
      </w:r>
      <w:r>
        <w:rPr>
          <w:rFonts w:ascii="宋体" w:eastAsia="宋体" w:hAnsi="宋体"/>
          <w:color w:val="000000"/>
          <w:sz w:val="23"/>
        </w:rPr>
        <w:t>”</w:t>
      </w:r>
      <w:r>
        <w:rPr>
          <w:rFonts w:ascii="宋体" w:eastAsia="宋体" w:hAnsi="宋体" w:hint="eastAsia"/>
          <w:color w:val="000000"/>
          <w:sz w:val="23"/>
        </w:rPr>
        <w:t>）与中国建设银行股份有限公司（以下简称</w:t>
      </w:r>
      <w:r>
        <w:rPr>
          <w:rFonts w:ascii="宋体" w:eastAsia="宋体" w:hAnsi="宋体"/>
          <w:color w:val="000000"/>
          <w:sz w:val="23"/>
        </w:rPr>
        <w:t>“</w:t>
      </w:r>
      <w:r>
        <w:rPr>
          <w:rFonts w:ascii="宋体" w:eastAsia="宋体" w:hAnsi="宋体"/>
          <w:color w:val="000000"/>
          <w:sz w:val="23"/>
        </w:rPr>
        <w:t>中国建设银行</w:t>
      </w:r>
      <w:r>
        <w:rPr>
          <w:rFonts w:ascii="宋体" w:eastAsia="宋体" w:hAnsi="宋体"/>
          <w:color w:val="000000"/>
          <w:sz w:val="23"/>
        </w:rPr>
        <w:t>”</w:t>
      </w:r>
      <w:r>
        <w:rPr>
          <w:rFonts w:ascii="宋体" w:eastAsia="宋体" w:hAnsi="宋体" w:hint="eastAsia"/>
          <w:color w:val="000000"/>
          <w:sz w:val="23"/>
        </w:rPr>
        <w:t>）协商一致，自</w:t>
      </w:r>
      <w:r>
        <w:rPr>
          <w:rFonts w:ascii="宋体" w:eastAsia="宋体" w:hAnsi="宋体" w:hint="eastAsia"/>
          <w:color w:val="000000"/>
          <w:sz w:val="23"/>
        </w:rPr>
        <w:t>2021</w:t>
      </w:r>
      <w:r>
        <w:rPr>
          <w:rFonts w:ascii="宋体" w:eastAsia="宋体" w:hAnsi="宋体" w:hint="eastAsia"/>
          <w:color w:val="000000"/>
          <w:sz w:val="23"/>
        </w:rPr>
        <w:t>年</w:t>
      </w:r>
      <w:r>
        <w:rPr>
          <w:rFonts w:ascii="宋体" w:eastAsia="宋体" w:hAnsi="宋体" w:hint="eastAsia"/>
          <w:color w:val="000000"/>
          <w:sz w:val="23"/>
        </w:rPr>
        <w:t>5</w:t>
      </w:r>
      <w:r>
        <w:rPr>
          <w:rFonts w:ascii="宋体" w:eastAsia="宋体" w:hAnsi="宋体" w:hint="eastAsia"/>
          <w:color w:val="000000"/>
          <w:sz w:val="23"/>
        </w:rPr>
        <w:t>月</w:t>
      </w:r>
      <w:r>
        <w:rPr>
          <w:rFonts w:ascii="宋体" w:eastAsia="宋体" w:hAnsi="宋体" w:hint="eastAsia"/>
          <w:color w:val="000000"/>
          <w:sz w:val="23"/>
        </w:rPr>
        <w:t>6</w:t>
      </w:r>
      <w:r>
        <w:rPr>
          <w:rFonts w:ascii="宋体" w:eastAsia="宋体" w:hAnsi="宋体" w:hint="eastAsia"/>
          <w:color w:val="000000"/>
          <w:sz w:val="23"/>
        </w:rPr>
        <w:t>日起，本公司旗下东方新能源汽车主题混合型证券投资基金</w:t>
      </w:r>
      <w:r>
        <w:rPr>
          <w:rFonts w:ascii="宋体" w:eastAsia="宋体" w:hAnsi="宋体" w:hint="eastAsia"/>
          <w:color w:val="000000"/>
          <w:sz w:val="23"/>
        </w:rPr>
        <w:t>（</w:t>
      </w:r>
      <w:r>
        <w:rPr>
          <w:rFonts w:ascii="宋体" w:eastAsia="宋体" w:hAnsi="宋体" w:hint="eastAsia"/>
          <w:color w:val="000000"/>
          <w:sz w:val="23"/>
        </w:rPr>
        <w:t>基金代码</w:t>
      </w:r>
      <w:r>
        <w:rPr>
          <w:rFonts w:ascii="宋体" w:eastAsia="宋体" w:hAnsi="宋体" w:hint="eastAsia"/>
          <w:color w:val="000000"/>
          <w:sz w:val="23"/>
        </w:rPr>
        <w:t>400015</w:t>
      </w:r>
      <w:r>
        <w:rPr>
          <w:rFonts w:ascii="宋体" w:eastAsia="宋体" w:hAnsi="宋体" w:hint="eastAsia"/>
          <w:color w:val="000000"/>
          <w:sz w:val="23"/>
        </w:rPr>
        <w:t>）将参与</w:t>
      </w:r>
      <w:r>
        <w:rPr>
          <w:rFonts w:ascii="宋体" w:eastAsia="宋体" w:hAnsi="宋体"/>
          <w:color w:val="000000"/>
          <w:sz w:val="23"/>
        </w:rPr>
        <w:t>中国建设银行</w:t>
      </w:r>
      <w:r>
        <w:rPr>
          <w:rFonts w:ascii="宋体" w:eastAsia="宋体" w:hAnsi="宋体" w:hint="eastAsia"/>
          <w:color w:val="000000"/>
          <w:sz w:val="23"/>
        </w:rPr>
        <w:t>基金产品定投费率优惠活动。现将有关事项公告如下：</w:t>
      </w:r>
      <w:r>
        <w:rPr>
          <w:rFonts w:ascii="宋体" w:eastAsia="宋体" w:hAnsi="宋体" w:hint="eastAsia"/>
          <w:color w:val="000000"/>
          <w:sz w:val="23"/>
        </w:rPr>
        <w:t xml:space="preserve"> </w:t>
      </w:r>
    </w:p>
    <w:p w:rsidR="00D15E1E" w:rsidRDefault="001A1E2B" w:rsidP="001A1E2B">
      <w:pPr>
        <w:widowControl/>
        <w:shd w:val="clear" w:color="auto" w:fill="FFFFFF"/>
        <w:spacing w:beforeLines="50" w:afterLines="50" w:line="360" w:lineRule="auto"/>
        <w:ind w:firstLineChars="200" w:firstLine="462"/>
        <w:jc w:val="left"/>
        <w:rPr>
          <w:rFonts w:ascii="宋体" w:eastAsia="宋体" w:hAnsi="宋体"/>
          <w:b/>
          <w:bCs/>
          <w:color w:val="000000"/>
          <w:sz w:val="23"/>
        </w:rPr>
      </w:pPr>
      <w:r>
        <w:rPr>
          <w:rFonts w:ascii="宋体" w:eastAsia="宋体" w:hAnsi="宋体" w:hint="eastAsia"/>
          <w:b/>
          <w:bCs/>
          <w:color w:val="000000"/>
          <w:sz w:val="23"/>
        </w:rPr>
        <w:t>一</w:t>
      </w:r>
      <w:r>
        <w:rPr>
          <w:rFonts w:ascii="宋体" w:eastAsia="宋体" w:hAnsi="宋体" w:hint="eastAsia"/>
          <w:b/>
          <w:bCs/>
          <w:color w:val="000000"/>
          <w:sz w:val="23"/>
        </w:rPr>
        <w:t>、适用投资者范围：</w:t>
      </w:r>
    </w:p>
    <w:p w:rsidR="00D15E1E" w:rsidRDefault="001A1E2B" w:rsidP="001A1E2B">
      <w:pPr>
        <w:widowControl/>
        <w:shd w:val="clear" w:color="auto" w:fill="FFFFFF"/>
        <w:spacing w:beforeLines="50" w:afterLines="50" w:line="360" w:lineRule="auto"/>
        <w:ind w:firstLineChars="200" w:firstLine="460"/>
        <w:jc w:val="left"/>
        <w:rPr>
          <w:rFonts w:ascii="宋体" w:eastAsia="宋体" w:hAnsi="宋体"/>
          <w:color w:val="000000"/>
          <w:sz w:val="23"/>
        </w:rPr>
      </w:pPr>
      <w:r>
        <w:rPr>
          <w:rFonts w:ascii="宋体" w:eastAsia="宋体" w:hAnsi="宋体" w:hint="eastAsia"/>
          <w:color w:val="000000"/>
          <w:sz w:val="23"/>
        </w:rPr>
        <w:t>通过</w:t>
      </w:r>
      <w:r>
        <w:rPr>
          <w:rFonts w:ascii="宋体" w:eastAsia="宋体" w:hAnsi="宋体" w:hint="eastAsia"/>
          <w:color w:val="000000"/>
          <w:sz w:val="23"/>
        </w:rPr>
        <w:t>中国建设银行</w:t>
      </w:r>
      <w:r>
        <w:rPr>
          <w:rFonts w:ascii="宋体" w:eastAsia="宋体" w:hAnsi="宋体" w:hint="eastAsia"/>
          <w:color w:val="000000"/>
          <w:sz w:val="23"/>
        </w:rPr>
        <w:t>手机银行和个人网银定投东方新能源汽车主题混合型证券投资基金的个人投资者。</w:t>
      </w:r>
    </w:p>
    <w:p w:rsidR="00D15E1E" w:rsidRDefault="001A1E2B" w:rsidP="001A1E2B">
      <w:pPr>
        <w:widowControl/>
        <w:shd w:val="clear" w:color="auto" w:fill="FFFFFF"/>
        <w:spacing w:beforeLines="50" w:afterLines="50" w:line="360" w:lineRule="auto"/>
        <w:ind w:firstLineChars="200" w:firstLine="462"/>
        <w:jc w:val="left"/>
        <w:rPr>
          <w:rFonts w:ascii="宋体" w:eastAsia="宋体" w:hAnsi="宋体"/>
          <w:b/>
          <w:bCs/>
          <w:color w:val="000000"/>
          <w:sz w:val="23"/>
        </w:rPr>
      </w:pPr>
      <w:r>
        <w:rPr>
          <w:rFonts w:ascii="宋体" w:eastAsia="宋体" w:hAnsi="宋体" w:hint="eastAsia"/>
          <w:b/>
          <w:bCs/>
          <w:color w:val="000000"/>
          <w:sz w:val="23"/>
        </w:rPr>
        <w:t>二、费率优惠期限：</w:t>
      </w:r>
    </w:p>
    <w:p w:rsidR="00D15E1E" w:rsidRDefault="001A1E2B" w:rsidP="001A1E2B">
      <w:pPr>
        <w:widowControl/>
        <w:shd w:val="clear" w:color="auto" w:fill="FFFFFF"/>
        <w:spacing w:beforeLines="50" w:afterLines="50" w:line="360" w:lineRule="auto"/>
        <w:ind w:firstLineChars="200" w:firstLine="460"/>
        <w:jc w:val="left"/>
        <w:rPr>
          <w:rFonts w:ascii="宋体" w:eastAsia="宋体" w:hAnsi="宋体"/>
          <w:color w:val="000000"/>
          <w:sz w:val="23"/>
        </w:rPr>
      </w:pPr>
      <w:r>
        <w:rPr>
          <w:rFonts w:ascii="宋体" w:eastAsia="宋体" w:hAnsi="宋体" w:hint="eastAsia"/>
          <w:color w:val="000000"/>
          <w:sz w:val="23"/>
        </w:rPr>
        <w:t>2021</w:t>
      </w:r>
      <w:r>
        <w:rPr>
          <w:rFonts w:ascii="宋体" w:eastAsia="宋体" w:hAnsi="宋体" w:hint="eastAsia"/>
          <w:color w:val="000000"/>
          <w:sz w:val="23"/>
        </w:rPr>
        <w:t>年</w:t>
      </w:r>
      <w:r>
        <w:rPr>
          <w:rFonts w:ascii="宋体" w:eastAsia="宋体" w:hAnsi="宋体" w:hint="eastAsia"/>
          <w:color w:val="000000"/>
          <w:sz w:val="23"/>
        </w:rPr>
        <w:t>5</w:t>
      </w:r>
      <w:r>
        <w:rPr>
          <w:rFonts w:ascii="宋体" w:eastAsia="宋体" w:hAnsi="宋体" w:hint="eastAsia"/>
          <w:color w:val="000000"/>
          <w:sz w:val="23"/>
        </w:rPr>
        <w:t>月</w:t>
      </w:r>
      <w:r>
        <w:rPr>
          <w:rFonts w:ascii="宋体" w:eastAsia="宋体" w:hAnsi="宋体" w:hint="eastAsia"/>
          <w:color w:val="000000"/>
          <w:sz w:val="23"/>
        </w:rPr>
        <w:t>6</w:t>
      </w:r>
      <w:r>
        <w:rPr>
          <w:rFonts w:ascii="宋体" w:eastAsia="宋体" w:hAnsi="宋体" w:hint="eastAsia"/>
          <w:color w:val="000000"/>
          <w:sz w:val="23"/>
        </w:rPr>
        <w:t>日起至</w:t>
      </w:r>
      <w:r>
        <w:rPr>
          <w:rFonts w:ascii="宋体" w:eastAsia="宋体" w:hAnsi="宋体" w:hint="eastAsia"/>
          <w:color w:val="000000"/>
          <w:sz w:val="23"/>
        </w:rPr>
        <w:t>2021</w:t>
      </w:r>
      <w:r>
        <w:rPr>
          <w:rFonts w:ascii="宋体" w:eastAsia="宋体" w:hAnsi="宋体" w:hint="eastAsia"/>
          <w:color w:val="000000"/>
          <w:sz w:val="23"/>
        </w:rPr>
        <w:t>年</w:t>
      </w:r>
      <w:r>
        <w:rPr>
          <w:rFonts w:ascii="宋体" w:eastAsia="宋体" w:hAnsi="宋体" w:hint="eastAsia"/>
          <w:color w:val="000000"/>
          <w:sz w:val="23"/>
        </w:rPr>
        <w:t>12</w:t>
      </w:r>
      <w:r>
        <w:rPr>
          <w:rFonts w:ascii="宋体" w:eastAsia="宋体" w:hAnsi="宋体" w:hint="eastAsia"/>
          <w:color w:val="000000"/>
          <w:sz w:val="23"/>
        </w:rPr>
        <w:t>月</w:t>
      </w:r>
      <w:r>
        <w:rPr>
          <w:rFonts w:ascii="宋体" w:eastAsia="宋体" w:hAnsi="宋体" w:hint="eastAsia"/>
          <w:color w:val="000000"/>
          <w:sz w:val="23"/>
        </w:rPr>
        <w:t>31</w:t>
      </w:r>
      <w:r>
        <w:rPr>
          <w:rFonts w:ascii="宋体" w:eastAsia="宋体" w:hAnsi="宋体" w:hint="eastAsia"/>
          <w:color w:val="000000"/>
          <w:sz w:val="23"/>
        </w:rPr>
        <w:t>日（截至当日法定交易时间）。</w:t>
      </w:r>
    </w:p>
    <w:p w:rsidR="00D15E1E" w:rsidRDefault="001A1E2B" w:rsidP="001A1E2B">
      <w:pPr>
        <w:widowControl/>
        <w:shd w:val="clear" w:color="auto" w:fill="FFFFFF"/>
        <w:spacing w:beforeLines="50" w:afterLines="50" w:line="360" w:lineRule="auto"/>
        <w:ind w:firstLineChars="200" w:firstLine="462"/>
        <w:jc w:val="left"/>
        <w:rPr>
          <w:rFonts w:ascii="宋体" w:eastAsia="宋体" w:hAnsi="宋体"/>
          <w:b/>
          <w:bCs/>
          <w:color w:val="000000"/>
          <w:sz w:val="23"/>
        </w:rPr>
      </w:pPr>
      <w:r>
        <w:rPr>
          <w:rFonts w:ascii="宋体" w:eastAsia="宋体" w:hAnsi="宋体" w:hint="eastAsia"/>
          <w:b/>
          <w:bCs/>
          <w:color w:val="000000"/>
          <w:sz w:val="23"/>
        </w:rPr>
        <w:t>三、具体优惠费率：</w:t>
      </w:r>
    </w:p>
    <w:tbl>
      <w:tblPr>
        <w:tblW w:w="9460" w:type="dxa"/>
        <w:jc w:val="center"/>
        <w:tblLayout w:type="fixed"/>
        <w:tblLook w:val="04A0"/>
      </w:tblPr>
      <w:tblGrid>
        <w:gridCol w:w="4040"/>
        <w:gridCol w:w="1168"/>
        <w:gridCol w:w="1511"/>
        <w:gridCol w:w="1364"/>
        <w:gridCol w:w="1377"/>
      </w:tblGrid>
      <w:tr w:rsidR="00D15E1E">
        <w:trPr>
          <w:trHeight w:val="729"/>
          <w:jc w:val="center"/>
        </w:trPr>
        <w:tc>
          <w:tcPr>
            <w:tcW w:w="4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1E" w:rsidRDefault="001A1E2B" w:rsidP="001A1E2B">
            <w:pPr>
              <w:widowControl/>
              <w:spacing w:beforeLines="50" w:afterLines="50" w:line="360" w:lineRule="auto"/>
              <w:ind w:firstLineChars="200" w:firstLine="422"/>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产品全称</w:t>
            </w:r>
          </w:p>
        </w:tc>
        <w:tc>
          <w:tcPr>
            <w:tcW w:w="1168" w:type="dxa"/>
            <w:tcBorders>
              <w:top w:val="single" w:sz="4" w:space="0" w:color="auto"/>
              <w:left w:val="nil"/>
              <w:bottom w:val="single" w:sz="4" w:space="0" w:color="auto"/>
              <w:right w:val="single" w:sz="4" w:space="0" w:color="auto"/>
            </w:tcBorders>
            <w:shd w:val="clear" w:color="auto" w:fill="auto"/>
            <w:noWrap/>
            <w:vAlign w:val="center"/>
          </w:tcPr>
          <w:p w:rsidR="00D15E1E" w:rsidRDefault="001A1E2B" w:rsidP="001A1E2B">
            <w:pPr>
              <w:widowControl/>
              <w:spacing w:beforeLines="50" w:afterLines="50" w:line="360" w:lineRule="auto"/>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基金代码</w:t>
            </w:r>
          </w:p>
        </w:tc>
        <w:tc>
          <w:tcPr>
            <w:tcW w:w="1511" w:type="dxa"/>
            <w:tcBorders>
              <w:top w:val="single" w:sz="4" w:space="0" w:color="auto"/>
              <w:left w:val="nil"/>
              <w:bottom w:val="single" w:sz="4" w:space="0" w:color="auto"/>
              <w:right w:val="single" w:sz="4" w:space="0" w:color="auto"/>
            </w:tcBorders>
            <w:shd w:val="clear" w:color="auto" w:fill="auto"/>
            <w:noWrap/>
            <w:vAlign w:val="center"/>
          </w:tcPr>
          <w:p w:rsidR="00D15E1E" w:rsidRDefault="001A1E2B" w:rsidP="001A1E2B">
            <w:pPr>
              <w:widowControl/>
              <w:spacing w:beforeLines="50" w:afterLines="50" w:line="360" w:lineRule="auto"/>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折扣客户类型</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D15E1E" w:rsidRDefault="001A1E2B" w:rsidP="001A1E2B">
            <w:pPr>
              <w:widowControl/>
              <w:spacing w:beforeLines="50" w:afterLines="50" w:line="360" w:lineRule="auto"/>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折扣渠道</w:t>
            </w:r>
          </w:p>
        </w:tc>
        <w:tc>
          <w:tcPr>
            <w:tcW w:w="1377" w:type="dxa"/>
            <w:tcBorders>
              <w:top w:val="single" w:sz="4" w:space="0" w:color="auto"/>
              <w:left w:val="nil"/>
              <w:bottom w:val="single" w:sz="4" w:space="0" w:color="auto"/>
              <w:right w:val="single" w:sz="4" w:space="0" w:color="auto"/>
            </w:tcBorders>
            <w:shd w:val="clear" w:color="auto" w:fill="auto"/>
            <w:noWrap/>
            <w:vAlign w:val="center"/>
          </w:tcPr>
          <w:p w:rsidR="00D15E1E" w:rsidRDefault="001A1E2B" w:rsidP="001A1E2B">
            <w:pPr>
              <w:widowControl/>
              <w:spacing w:beforeLines="50" w:afterLines="50" w:line="360" w:lineRule="auto"/>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折扣率</w:t>
            </w:r>
          </w:p>
        </w:tc>
      </w:tr>
      <w:tr w:rsidR="00D15E1E">
        <w:trPr>
          <w:trHeight w:val="739"/>
          <w:jc w:val="center"/>
        </w:trPr>
        <w:tc>
          <w:tcPr>
            <w:tcW w:w="4040" w:type="dxa"/>
            <w:tcBorders>
              <w:top w:val="nil"/>
              <w:left w:val="single" w:sz="4" w:space="0" w:color="auto"/>
              <w:bottom w:val="single" w:sz="4" w:space="0" w:color="auto"/>
              <w:right w:val="single" w:sz="4" w:space="0" w:color="auto"/>
            </w:tcBorders>
            <w:shd w:val="clear" w:color="auto" w:fill="auto"/>
            <w:noWrap/>
            <w:vAlign w:val="center"/>
          </w:tcPr>
          <w:p w:rsidR="00D15E1E" w:rsidRDefault="001A1E2B" w:rsidP="001A1E2B">
            <w:pPr>
              <w:widowControl/>
              <w:spacing w:beforeLines="50" w:afterLines="50" w:line="360" w:lineRule="auto"/>
              <w:jc w:val="center"/>
              <w:rPr>
                <w:rFonts w:asciiTheme="minorEastAsia" w:hAnsiTheme="minorEastAsia" w:cstheme="minorEastAsia"/>
                <w:kern w:val="0"/>
                <w:szCs w:val="21"/>
              </w:rPr>
            </w:pPr>
            <w:r>
              <w:rPr>
                <w:rFonts w:asciiTheme="minorEastAsia" w:hAnsiTheme="minorEastAsia" w:cstheme="minorEastAsia" w:hint="eastAsia"/>
                <w:kern w:val="0"/>
                <w:szCs w:val="21"/>
              </w:rPr>
              <w:t>东方新能源汽车主题混合型证券投资基金</w:t>
            </w:r>
          </w:p>
        </w:tc>
        <w:tc>
          <w:tcPr>
            <w:tcW w:w="1168" w:type="dxa"/>
            <w:tcBorders>
              <w:top w:val="nil"/>
              <w:left w:val="nil"/>
              <w:bottom w:val="single" w:sz="4" w:space="0" w:color="auto"/>
              <w:right w:val="single" w:sz="4" w:space="0" w:color="auto"/>
            </w:tcBorders>
            <w:shd w:val="clear" w:color="auto" w:fill="auto"/>
            <w:noWrap/>
            <w:vAlign w:val="center"/>
          </w:tcPr>
          <w:p w:rsidR="00D15E1E" w:rsidRDefault="001A1E2B" w:rsidP="001A1E2B">
            <w:pPr>
              <w:widowControl/>
              <w:spacing w:beforeLines="50" w:afterLines="50" w:line="360" w:lineRule="auto"/>
              <w:jc w:val="center"/>
              <w:rPr>
                <w:rFonts w:asciiTheme="minorEastAsia" w:hAnsiTheme="minorEastAsia" w:cstheme="minorEastAsia"/>
                <w:kern w:val="0"/>
                <w:szCs w:val="21"/>
              </w:rPr>
            </w:pPr>
            <w:r>
              <w:rPr>
                <w:rFonts w:asciiTheme="minorEastAsia" w:hAnsiTheme="minorEastAsia" w:cstheme="minorEastAsia" w:hint="eastAsia"/>
                <w:kern w:val="0"/>
                <w:szCs w:val="21"/>
              </w:rPr>
              <w:t>400015</w:t>
            </w:r>
          </w:p>
        </w:tc>
        <w:tc>
          <w:tcPr>
            <w:tcW w:w="1511" w:type="dxa"/>
            <w:tcBorders>
              <w:top w:val="nil"/>
              <w:left w:val="nil"/>
              <w:bottom w:val="single" w:sz="4" w:space="0" w:color="auto"/>
              <w:right w:val="single" w:sz="4" w:space="0" w:color="auto"/>
            </w:tcBorders>
            <w:shd w:val="clear" w:color="auto" w:fill="auto"/>
            <w:noWrap/>
            <w:vAlign w:val="center"/>
          </w:tcPr>
          <w:p w:rsidR="00D15E1E" w:rsidRDefault="001A1E2B" w:rsidP="001A1E2B">
            <w:pPr>
              <w:widowControl/>
              <w:spacing w:beforeLines="50" w:afterLines="50" w:line="360" w:lineRule="auto"/>
              <w:jc w:val="center"/>
              <w:rPr>
                <w:rFonts w:asciiTheme="minorEastAsia" w:hAnsiTheme="minorEastAsia" w:cstheme="minorEastAsia"/>
                <w:kern w:val="0"/>
                <w:szCs w:val="21"/>
              </w:rPr>
            </w:pPr>
            <w:r>
              <w:rPr>
                <w:rFonts w:asciiTheme="minorEastAsia" w:hAnsiTheme="minorEastAsia" w:cstheme="minorEastAsia" w:hint="eastAsia"/>
                <w:kern w:val="0"/>
                <w:szCs w:val="21"/>
              </w:rPr>
              <w:t>个人客户</w:t>
            </w:r>
          </w:p>
        </w:tc>
        <w:tc>
          <w:tcPr>
            <w:tcW w:w="1364" w:type="dxa"/>
            <w:tcBorders>
              <w:top w:val="nil"/>
              <w:left w:val="nil"/>
              <w:bottom w:val="single" w:sz="4" w:space="0" w:color="auto"/>
              <w:right w:val="single" w:sz="4" w:space="0" w:color="auto"/>
            </w:tcBorders>
            <w:shd w:val="clear" w:color="auto" w:fill="auto"/>
            <w:noWrap/>
            <w:vAlign w:val="center"/>
          </w:tcPr>
          <w:p w:rsidR="00D15E1E" w:rsidRDefault="001A1E2B" w:rsidP="001A1E2B">
            <w:pPr>
              <w:widowControl/>
              <w:spacing w:beforeLines="50" w:afterLines="50" w:line="360" w:lineRule="auto"/>
              <w:jc w:val="center"/>
              <w:rPr>
                <w:rFonts w:asciiTheme="minorEastAsia" w:hAnsiTheme="minorEastAsia" w:cstheme="minorEastAsia"/>
                <w:kern w:val="0"/>
                <w:szCs w:val="21"/>
              </w:rPr>
            </w:pPr>
            <w:r>
              <w:rPr>
                <w:rFonts w:asciiTheme="minorEastAsia" w:hAnsiTheme="minorEastAsia" w:cstheme="minorEastAsia" w:hint="eastAsia"/>
                <w:kern w:val="0"/>
                <w:szCs w:val="21"/>
              </w:rPr>
              <w:t>手机、网银</w:t>
            </w:r>
          </w:p>
        </w:tc>
        <w:tc>
          <w:tcPr>
            <w:tcW w:w="1377" w:type="dxa"/>
            <w:tcBorders>
              <w:top w:val="nil"/>
              <w:left w:val="nil"/>
              <w:bottom w:val="single" w:sz="4" w:space="0" w:color="auto"/>
              <w:right w:val="single" w:sz="4" w:space="0" w:color="auto"/>
            </w:tcBorders>
            <w:shd w:val="clear" w:color="auto" w:fill="auto"/>
            <w:noWrap/>
            <w:vAlign w:val="center"/>
          </w:tcPr>
          <w:p w:rsidR="00D15E1E" w:rsidRDefault="001A1E2B" w:rsidP="001A1E2B">
            <w:pPr>
              <w:widowControl/>
              <w:spacing w:beforeLines="50" w:afterLines="50" w:line="360" w:lineRule="auto"/>
              <w:jc w:val="center"/>
              <w:rPr>
                <w:rFonts w:asciiTheme="minorEastAsia" w:hAnsiTheme="minorEastAsia" w:cstheme="minorEastAsia"/>
                <w:kern w:val="0"/>
                <w:szCs w:val="21"/>
              </w:rPr>
            </w:pPr>
            <w:r>
              <w:rPr>
                <w:rFonts w:asciiTheme="minorEastAsia" w:hAnsiTheme="minorEastAsia" w:cstheme="minorEastAsia" w:hint="eastAsia"/>
                <w:kern w:val="0"/>
                <w:szCs w:val="21"/>
              </w:rPr>
              <w:t>定投</w:t>
            </w:r>
            <w:r>
              <w:rPr>
                <w:rFonts w:asciiTheme="minorEastAsia" w:hAnsiTheme="minorEastAsia" w:cstheme="minorEastAsia" w:hint="eastAsia"/>
                <w:kern w:val="0"/>
                <w:szCs w:val="21"/>
              </w:rPr>
              <w:t>1</w:t>
            </w:r>
            <w:r>
              <w:rPr>
                <w:rFonts w:asciiTheme="minorEastAsia" w:hAnsiTheme="minorEastAsia" w:cstheme="minorEastAsia" w:hint="eastAsia"/>
                <w:kern w:val="0"/>
                <w:szCs w:val="21"/>
              </w:rPr>
              <w:t>折</w:t>
            </w:r>
          </w:p>
        </w:tc>
      </w:tr>
    </w:tbl>
    <w:p w:rsidR="00D15E1E" w:rsidRDefault="001A1E2B" w:rsidP="001A1E2B">
      <w:pPr>
        <w:widowControl/>
        <w:shd w:val="clear" w:color="auto" w:fill="FFFFFF"/>
        <w:spacing w:beforeLines="50" w:afterLines="50" w:line="360" w:lineRule="auto"/>
        <w:ind w:firstLineChars="200" w:firstLine="462"/>
        <w:jc w:val="left"/>
        <w:rPr>
          <w:rFonts w:ascii="宋体" w:eastAsia="宋体" w:hAnsi="宋体"/>
          <w:b/>
          <w:bCs/>
          <w:color w:val="000000"/>
          <w:sz w:val="23"/>
        </w:rPr>
      </w:pPr>
      <w:r>
        <w:rPr>
          <w:rFonts w:ascii="宋体" w:eastAsia="宋体" w:hAnsi="宋体" w:hint="eastAsia"/>
          <w:b/>
          <w:bCs/>
          <w:color w:val="000000"/>
          <w:sz w:val="23"/>
        </w:rPr>
        <w:t>四</w:t>
      </w:r>
      <w:r>
        <w:rPr>
          <w:rFonts w:ascii="宋体" w:eastAsia="宋体" w:hAnsi="宋体" w:hint="eastAsia"/>
          <w:b/>
          <w:bCs/>
          <w:color w:val="000000"/>
          <w:sz w:val="23"/>
        </w:rPr>
        <w:t>、重要提示</w:t>
      </w:r>
      <w:r>
        <w:rPr>
          <w:rFonts w:ascii="宋体" w:eastAsia="宋体" w:hAnsi="宋体" w:hint="eastAsia"/>
          <w:b/>
          <w:bCs/>
          <w:color w:val="000000"/>
          <w:sz w:val="23"/>
        </w:rPr>
        <w:t>：</w:t>
      </w:r>
    </w:p>
    <w:p w:rsidR="00D15E1E" w:rsidRDefault="001A1E2B" w:rsidP="001A1E2B">
      <w:pPr>
        <w:widowControl/>
        <w:shd w:val="clear" w:color="auto" w:fill="FFFFFF"/>
        <w:spacing w:beforeLines="50" w:afterLines="50" w:line="360" w:lineRule="auto"/>
        <w:ind w:firstLineChars="200" w:firstLine="420"/>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1.</w:t>
      </w:r>
      <w:r>
        <w:rPr>
          <w:rFonts w:asciiTheme="minorEastAsia" w:hAnsiTheme="minorEastAsia" w:cs="宋体" w:hint="eastAsia"/>
          <w:color w:val="000000"/>
          <w:kern w:val="0"/>
          <w:szCs w:val="21"/>
        </w:rPr>
        <w:t>投资者欲了解基金产品的详细情况，请仔细阅读基金的《基金合同》、《招募说明书（更新）》、《基金产品资料概要》等法律文件，以及本公司发布的最新业务公告。</w:t>
      </w:r>
    </w:p>
    <w:p w:rsidR="00D15E1E" w:rsidRDefault="001A1E2B" w:rsidP="001A1E2B">
      <w:pPr>
        <w:widowControl/>
        <w:shd w:val="clear" w:color="auto" w:fill="FFFFFF"/>
        <w:spacing w:beforeLines="50" w:afterLines="50" w:line="360" w:lineRule="auto"/>
        <w:ind w:firstLineChars="200" w:firstLine="420"/>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2.</w:t>
      </w:r>
      <w:r>
        <w:rPr>
          <w:rFonts w:asciiTheme="minorEastAsia" w:hAnsiTheme="minorEastAsia" w:cs="宋体" w:hint="eastAsia"/>
          <w:color w:val="000000"/>
          <w:kern w:val="0"/>
          <w:szCs w:val="21"/>
        </w:rPr>
        <w:t>本优惠活动仅适用于通过中国建设银行手机银行和个人网银定投的个人投资者。</w:t>
      </w:r>
    </w:p>
    <w:p w:rsidR="00D15E1E" w:rsidRDefault="001A1E2B" w:rsidP="001A1E2B">
      <w:pPr>
        <w:widowControl/>
        <w:shd w:val="clear" w:color="auto" w:fill="FFFFFF"/>
        <w:spacing w:beforeLines="50" w:afterLines="50" w:line="360" w:lineRule="auto"/>
        <w:ind w:firstLineChars="200" w:firstLine="420"/>
        <w:jc w:val="left"/>
        <w:rPr>
          <w:rFonts w:asciiTheme="minorEastAsia" w:hAnsiTheme="minorEastAsia" w:cs="宋体"/>
          <w:color w:val="000000"/>
          <w:kern w:val="0"/>
          <w:szCs w:val="21"/>
        </w:rPr>
      </w:pPr>
      <w:r>
        <w:rPr>
          <w:rFonts w:asciiTheme="minorEastAsia" w:hAnsiTheme="minorEastAsia" w:cs="宋体"/>
          <w:color w:val="000000"/>
          <w:kern w:val="0"/>
          <w:szCs w:val="21"/>
        </w:rPr>
        <w:t>3.</w:t>
      </w:r>
      <w:r>
        <w:rPr>
          <w:rFonts w:asciiTheme="minorEastAsia" w:hAnsiTheme="minorEastAsia" w:cs="宋体"/>
          <w:color w:val="000000"/>
          <w:kern w:val="0"/>
          <w:szCs w:val="21"/>
        </w:rPr>
        <w:t>定期定额投资业务不额外收取手续费用，定期定额申购费率与相关基金的日常的申购费率相同。基金</w:t>
      </w:r>
      <w:r>
        <w:rPr>
          <w:rFonts w:asciiTheme="minorEastAsia" w:hAnsiTheme="minorEastAsia" w:cs="宋体"/>
          <w:color w:val="000000"/>
          <w:kern w:val="0"/>
          <w:szCs w:val="21"/>
        </w:rPr>
        <w:t>“</w:t>
      </w:r>
      <w:r>
        <w:rPr>
          <w:rFonts w:asciiTheme="minorEastAsia" w:hAnsiTheme="minorEastAsia" w:cs="宋体"/>
          <w:color w:val="000000"/>
          <w:kern w:val="0"/>
          <w:szCs w:val="21"/>
        </w:rPr>
        <w:t>暂停申购</w:t>
      </w:r>
      <w:r>
        <w:rPr>
          <w:rFonts w:asciiTheme="minorEastAsia" w:hAnsiTheme="minorEastAsia" w:cs="宋体"/>
          <w:color w:val="000000"/>
          <w:kern w:val="0"/>
          <w:szCs w:val="21"/>
        </w:rPr>
        <w:t>”</w:t>
      </w:r>
      <w:r>
        <w:rPr>
          <w:rFonts w:asciiTheme="minorEastAsia" w:hAnsiTheme="minorEastAsia" w:cs="宋体"/>
          <w:color w:val="000000"/>
          <w:kern w:val="0"/>
          <w:szCs w:val="21"/>
        </w:rPr>
        <w:t>期间，对于</w:t>
      </w:r>
      <w:r>
        <w:rPr>
          <w:rFonts w:asciiTheme="minorEastAsia" w:hAnsiTheme="minorEastAsia" w:cs="宋体"/>
          <w:color w:val="000000"/>
          <w:kern w:val="0"/>
          <w:szCs w:val="21"/>
        </w:rPr>
        <w:t>“</w:t>
      </w:r>
      <w:r>
        <w:rPr>
          <w:rFonts w:asciiTheme="minorEastAsia" w:hAnsiTheme="minorEastAsia" w:cs="宋体"/>
          <w:color w:val="000000"/>
          <w:kern w:val="0"/>
          <w:szCs w:val="21"/>
        </w:rPr>
        <w:t>暂停申购</w:t>
      </w:r>
      <w:r>
        <w:rPr>
          <w:rFonts w:asciiTheme="minorEastAsia" w:hAnsiTheme="minorEastAsia" w:cs="宋体"/>
          <w:color w:val="000000"/>
          <w:kern w:val="0"/>
          <w:szCs w:val="21"/>
        </w:rPr>
        <w:t>”</w:t>
      </w:r>
      <w:r>
        <w:rPr>
          <w:rFonts w:asciiTheme="minorEastAsia" w:hAnsiTheme="minorEastAsia" w:cs="宋体"/>
          <w:color w:val="000000"/>
          <w:kern w:val="0"/>
          <w:szCs w:val="21"/>
        </w:rPr>
        <w:t>前已开通定期定额投资业务的投资者，</w:t>
      </w:r>
      <w:r>
        <w:rPr>
          <w:rFonts w:asciiTheme="minorEastAsia" w:hAnsiTheme="minorEastAsia" w:cs="宋体"/>
          <w:color w:val="000000"/>
          <w:kern w:val="0"/>
          <w:szCs w:val="21"/>
        </w:rPr>
        <w:lastRenderedPageBreak/>
        <w:t>照常受理其投资业务。</w:t>
      </w:r>
      <w:r>
        <w:rPr>
          <w:rFonts w:asciiTheme="minorEastAsia" w:hAnsiTheme="minorEastAsia" w:cs="宋体"/>
          <w:color w:val="000000"/>
          <w:kern w:val="0"/>
          <w:szCs w:val="21"/>
        </w:rPr>
        <w:t>“</w:t>
      </w:r>
      <w:r>
        <w:rPr>
          <w:rFonts w:asciiTheme="minorEastAsia" w:hAnsiTheme="minorEastAsia" w:cs="宋体"/>
          <w:color w:val="000000"/>
          <w:kern w:val="0"/>
          <w:szCs w:val="21"/>
        </w:rPr>
        <w:t>暂停申购</w:t>
      </w:r>
      <w:r>
        <w:rPr>
          <w:rFonts w:asciiTheme="minorEastAsia" w:hAnsiTheme="minorEastAsia" w:cs="宋体"/>
          <w:color w:val="000000"/>
          <w:kern w:val="0"/>
          <w:szCs w:val="21"/>
        </w:rPr>
        <w:t>”</w:t>
      </w:r>
      <w:r>
        <w:rPr>
          <w:rFonts w:asciiTheme="minorEastAsia" w:hAnsiTheme="minorEastAsia" w:cs="宋体"/>
          <w:color w:val="000000"/>
          <w:kern w:val="0"/>
          <w:szCs w:val="21"/>
        </w:rPr>
        <w:t>前未开通定期定额投资业务的投资者，暂停受理其定期定额开户和投资业务，但如遇特殊情况以公告为准。</w:t>
      </w:r>
    </w:p>
    <w:p w:rsidR="00D15E1E" w:rsidRDefault="001A1E2B" w:rsidP="001A1E2B">
      <w:pPr>
        <w:widowControl/>
        <w:shd w:val="clear" w:color="auto" w:fill="FFFFFF"/>
        <w:spacing w:beforeLines="50" w:afterLines="50" w:line="360" w:lineRule="auto"/>
        <w:ind w:firstLineChars="200" w:firstLine="420"/>
        <w:jc w:val="left"/>
        <w:rPr>
          <w:rFonts w:asciiTheme="minorEastAsia" w:hAnsiTheme="minorEastAsia" w:cs="宋体"/>
          <w:color w:val="000000"/>
          <w:kern w:val="0"/>
          <w:szCs w:val="21"/>
        </w:rPr>
      </w:pPr>
      <w:r>
        <w:rPr>
          <w:rFonts w:asciiTheme="minorEastAsia" w:hAnsiTheme="minorEastAsia" w:cs="宋体"/>
          <w:color w:val="000000"/>
          <w:kern w:val="0"/>
          <w:szCs w:val="21"/>
        </w:rPr>
        <w:t>4.</w:t>
      </w:r>
      <w:r>
        <w:rPr>
          <w:rFonts w:asciiTheme="minorEastAsia" w:hAnsiTheme="minorEastAsia" w:cs="宋体"/>
          <w:color w:val="000000"/>
          <w:kern w:val="0"/>
          <w:szCs w:val="21"/>
        </w:rPr>
        <w:t>费率优惠活动期间，业务办理的业务规则和流程以</w:t>
      </w:r>
      <w:r>
        <w:rPr>
          <w:rFonts w:asciiTheme="minorEastAsia" w:hAnsiTheme="minorEastAsia" w:cs="宋体" w:hint="eastAsia"/>
          <w:color w:val="000000"/>
          <w:kern w:val="0"/>
          <w:szCs w:val="21"/>
        </w:rPr>
        <w:t>中国建设银行</w:t>
      </w:r>
      <w:r>
        <w:rPr>
          <w:rFonts w:asciiTheme="minorEastAsia" w:hAnsiTheme="minorEastAsia" w:cs="宋体"/>
          <w:color w:val="000000"/>
          <w:kern w:val="0"/>
          <w:szCs w:val="21"/>
        </w:rPr>
        <w:t>的安排和规定为准。</w:t>
      </w:r>
      <w:r>
        <w:rPr>
          <w:rFonts w:asciiTheme="minorEastAsia" w:hAnsiTheme="minorEastAsia" w:cs="宋体" w:hint="eastAsia"/>
          <w:color w:val="000000"/>
          <w:kern w:val="0"/>
          <w:szCs w:val="21"/>
        </w:rPr>
        <w:t>中国建设银行</w:t>
      </w:r>
      <w:r>
        <w:rPr>
          <w:rFonts w:asciiTheme="minorEastAsia" w:hAnsiTheme="minorEastAsia" w:cs="宋体"/>
          <w:color w:val="000000"/>
          <w:kern w:val="0"/>
          <w:szCs w:val="21"/>
        </w:rPr>
        <w:t>有权不时调整该活动及费率优惠安排，相关活动的具体规定如有变</w:t>
      </w:r>
      <w:r>
        <w:rPr>
          <w:rFonts w:asciiTheme="minorEastAsia" w:hAnsiTheme="minorEastAsia" w:cs="宋体"/>
          <w:color w:val="000000"/>
          <w:kern w:val="0"/>
          <w:szCs w:val="21"/>
        </w:rPr>
        <w:t>化，以</w:t>
      </w:r>
      <w:r>
        <w:rPr>
          <w:rFonts w:asciiTheme="minorEastAsia" w:hAnsiTheme="minorEastAsia" w:cs="宋体" w:hint="eastAsia"/>
          <w:color w:val="000000"/>
          <w:kern w:val="0"/>
          <w:szCs w:val="21"/>
        </w:rPr>
        <w:t>中国建设银行</w:t>
      </w:r>
      <w:r>
        <w:rPr>
          <w:rFonts w:asciiTheme="minorEastAsia" w:hAnsiTheme="minorEastAsia" w:cs="宋体"/>
          <w:color w:val="000000"/>
          <w:kern w:val="0"/>
          <w:szCs w:val="21"/>
        </w:rPr>
        <w:t>网站的最新公告为准，敬请投资者关注。</w:t>
      </w:r>
    </w:p>
    <w:p w:rsidR="00D15E1E" w:rsidRDefault="001A1E2B" w:rsidP="001A1E2B">
      <w:pPr>
        <w:widowControl/>
        <w:shd w:val="clear" w:color="auto" w:fill="FFFFFF"/>
        <w:spacing w:beforeLines="50" w:afterLines="50" w:line="360" w:lineRule="auto"/>
        <w:ind w:firstLineChars="200" w:firstLine="462"/>
        <w:jc w:val="left"/>
        <w:rPr>
          <w:rFonts w:ascii="宋体" w:eastAsia="宋体" w:hAnsi="宋体"/>
          <w:b/>
          <w:bCs/>
          <w:color w:val="000000"/>
          <w:sz w:val="23"/>
        </w:rPr>
      </w:pPr>
      <w:r>
        <w:rPr>
          <w:rFonts w:ascii="宋体" w:eastAsia="宋体" w:hAnsi="宋体" w:hint="eastAsia"/>
          <w:b/>
          <w:bCs/>
          <w:color w:val="000000"/>
          <w:sz w:val="23"/>
        </w:rPr>
        <w:t>五、风险提示</w:t>
      </w:r>
    </w:p>
    <w:p w:rsidR="00D15E1E" w:rsidRDefault="001A1E2B" w:rsidP="001A1E2B">
      <w:pPr>
        <w:widowControl/>
        <w:shd w:val="clear" w:color="auto" w:fill="FFFFFF"/>
        <w:spacing w:beforeLines="50" w:afterLines="50" w:line="360" w:lineRule="auto"/>
        <w:ind w:firstLineChars="200" w:firstLine="420"/>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基金管理人承诺以诚实信用、勤勉尽责的原则管理和运用基金资产，但不保证基金一定盈利，也不保证最低收益。基金管理人管理的基金业绩不构成对其他基金业绩表现的保证。基金管理人提醒投资人遵循基金投资“买者自负”的原则，应认真阅读《基金合同》、《招募说明书》、《基金产品资料概要》等基金法律文件</w:t>
      </w:r>
      <w:r>
        <w:rPr>
          <w:rFonts w:asciiTheme="minorEastAsia" w:hAnsiTheme="minorEastAsia" w:cs="宋体" w:hint="eastAsia"/>
          <w:color w:val="000000"/>
          <w:kern w:val="0"/>
          <w:szCs w:val="21"/>
        </w:rPr>
        <w:t>,</w:t>
      </w:r>
      <w:r>
        <w:rPr>
          <w:rFonts w:asciiTheme="minorEastAsia" w:hAnsiTheme="minorEastAsia" w:cs="宋体" w:hint="eastAsia"/>
          <w:color w:val="000000"/>
          <w:kern w:val="0"/>
          <w:szCs w:val="21"/>
        </w:rPr>
        <w:t>全面认识产品风险收益特征和产品特征，充分考虑自身的风险承受能力，理性判断市场，在对申购基金的意愿、时机、数量等投资行为做出独立、谨慎决策后，基金运营状况与基金净值变化引致的投资风险，由投资者自行负担。</w:t>
      </w:r>
    </w:p>
    <w:p w:rsidR="00D15E1E" w:rsidRDefault="001A1E2B" w:rsidP="001A1E2B">
      <w:pPr>
        <w:widowControl/>
        <w:shd w:val="clear" w:color="auto" w:fill="FFFFFF"/>
        <w:spacing w:beforeLines="50" w:afterLines="50" w:line="360" w:lineRule="auto"/>
        <w:ind w:firstLineChars="200" w:firstLine="420"/>
        <w:jc w:val="left"/>
        <w:rPr>
          <w:rFonts w:asciiTheme="minorEastAsia" w:hAnsiTheme="minorEastAsia" w:cs="宋体"/>
          <w:color w:val="555555"/>
          <w:kern w:val="0"/>
          <w:szCs w:val="21"/>
        </w:rPr>
      </w:pPr>
      <w:r>
        <w:rPr>
          <w:rFonts w:asciiTheme="minorEastAsia" w:hAnsiTheme="minorEastAsia" w:cs="宋体" w:hint="eastAsia"/>
          <w:color w:val="000000"/>
          <w:kern w:val="0"/>
          <w:szCs w:val="21"/>
        </w:rPr>
        <w:t>特此公告。</w:t>
      </w:r>
    </w:p>
    <w:p w:rsidR="00D15E1E" w:rsidRDefault="001A1E2B" w:rsidP="001A1E2B">
      <w:pPr>
        <w:widowControl/>
        <w:shd w:val="clear" w:color="auto" w:fill="FFFFFF"/>
        <w:spacing w:beforeLines="50" w:afterLines="50" w:line="360" w:lineRule="auto"/>
        <w:ind w:firstLineChars="200" w:firstLine="420"/>
        <w:jc w:val="left"/>
        <w:rPr>
          <w:rFonts w:asciiTheme="minorEastAsia" w:hAnsiTheme="minorEastAsia" w:cs="宋体"/>
          <w:color w:val="555555"/>
          <w:kern w:val="0"/>
          <w:szCs w:val="21"/>
        </w:rPr>
      </w:pPr>
      <w:r>
        <w:rPr>
          <w:rFonts w:asciiTheme="minorEastAsia" w:hAnsiTheme="minorEastAsia" w:cs="宋体" w:hint="eastAsia"/>
          <w:color w:val="555555"/>
          <w:kern w:val="0"/>
          <w:szCs w:val="21"/>
        </w:rPr>
        <w:t> </w:t>
      </w:r>
    </w:p>
    <w:p w:rsidR="00D15E1E" w:rsidRDefault="001A1E2B" w:rsidP="001A1E2B">
      <w:pPr>
        <w:widowControl/>
        <w:shd w:val="clear" w:color="auto" w:fill="FFFFFF"/>
        <w:spacing w:beforeLines="50" w:afterLines="50" w:line="360" w:lineRule="auto"/>
        <w:ind w:firstLineChars="200" w:firstLine="420"/>
        <w:jc w:val="right"/>
        <w:rPr>
          <w:rFonts w:asciiTheme="minorEastAsia" w:hAnsiTheme="minorEastAsia" w:cs="宋体"/>
          <w:color w:val="555555"/>
          <w:kern w:val="0"/>
          <w:szCs w:val="21"/>
        </w:rPr>
      </w:pPr>
      <w:r>
        <w:rPr>
          <w:rFonts w:asciiTheme="minorEastAsia" w:hAnsiTheme="minorEastAsia" w:cs="宋体" w:hint="eastAsia"/>
          <w:color w:val="000000"/>
          <w:kern w:val="0"/>
          <w:szCs w:val="21"/>
        </w:rPr>
        <w:t>东方基金管</w:t>
      </w:r>
      <w:r>
        <w:rPr>
          <w:rFonts w:asciiTheme="minorEastAsia" w:hAnsiTheme="minorEastAsia" w:cs="宋体" w:hint="eastAsia"/>
          <w:color w:val="000000"/>
          <w:kern w:val="0"/>
          <w:szCs w:val="21"/>
        </w:rPr>
        <w:t>理股份有限公司</w:t>
      </w:r>
    </w:p>
    <w:p w:rsidR="00D15E1E" w:rsidRDefault="001A1E2B" w:rsidP="001A1E2B">
      <w:pPr>
        <w:widowControl/>
        <w:shd w:val="clear" w:color="auto" w:fill="FFFFFF"/>
        <w:spacing w:beforeLines="50" w:afterLines="50" w:line="360" w:lineRule="auto"/>
        <w:ind w:firstLineChars="200" w:firstLine="420"/>
        <w:jc w:val="right"/>
        <w:rPr>
          <w:rFonts w:asciiTheme="minorEastAsia" w:hAnsiTheme="minorEastAsia" w:cs="宋体"/>
          <w:color w:val="555555"/>
          <w:kern w:val="0"/>
          <w:szCs w:val="21"/>
        </w:rPr>
      </w:pPr>
      <w:r>
        <w:rPr>
          <w:rFonts w:asciiTheme="minorEastAsia" w:hAnsiTheme="minorEastAsia" w:cs="宋体" w:hint="eastAsia"/>
          <w:color w:val="000000"/>
          <w:kern w:val="0"/>
          <w:szCs w:val="21"/>
        </w:rPr>
        <w:t>20</w:t>
      </w:r>
      <w:r>
        <w:rPr>
          <w:rFonts w:asciiTheme="minorEastAsia" w:hAnsiTheme="minorEastAsia" w:cs="宋体"/>
          <w:color w:val="000000"/>
          <w:kern w:val="0"/>
          <w:szCs w:val="21"/>
        </w:rPr>
        <w:t>21</w:t>
      </w:r>
      <w:r>
        <w:rPr>
          <w:rFonts w:asciiTheme="minorEastAsia" w:hAnsiTheme="minorEastAsia" w:cs="宋体" w:hint="eastAsia"/>
          <w:color w:val="000000"/>
          <w:kern w:val="0"/>
          <w:szCs w:val="21"/>
        </w:rPr>
        <w:t>年</w:t>
      </w:r>
      <w:r>
        <w:rPr>
          <w:rFonts w:asciiTheme="minorEastAsia" w:hAnsiTheme="minorEastAsia" w:cs="宋体" w:hint="eastAsia"/>
          <w:color w:val="000000"/>
          <w:kern w:val="0"/>
          <w:szCs w:val="21"/>
        </w:rPr>
        <w:t>4</w:t>
      </w:r>
      <w:r>
        <w:rPr>
          <w:rFonts w:asciiTheme="minorEastAsia" w:hAnsiTheme="minorEastAsia" w:cs="宋体" w:hint="eastAsia"/>
          <w:color w:val="000000"/>
          <w:kern w:val="0"/>
          <w:szCs w:val="21"/>
        </w:rPr>
        <w:t>月</w:t>
      </w:r>
      <w:r>
        <w:rPr>
          <w:rFonts w:asciiTheme="minorEastAsia" w:hAnsiTheme="minorEastAsia" w:cs="宋体" w:hint="eastAsia"/>
          <w:color w:val="000000"/>
          <w:kern w:val="0"/>
          <w:szCs w:val="21"/>
        </w:rPr>
        <w:t>30</w:t>
      </w:r>
      <w:r>
        <w:rPr>
          <w:rFonts w:asciiTheme="minorEastAsia" w:hAnsiTheme="minorEastAsia" w:cs="宋体" w:hint="eastAsia"/>
          <w:color w:val="000000"/>
          <w:kern w:val="0"/>
          <w:szCs w:val="21"/>
        </w:rPr>
        <w:t>日</w:t>
      </w:r>
    </w:p>
    <w:p w:rsidR="00D15E1E" w:rsidRDefault="00D15E1E" w:rsidP="001A1E2B">
      <w:pPr>
        <w:spacing w:beforeLines="50" w:afterLines="50" w:line="360" w:lineRule="auto"/>
        <w:ind w:firstLineChars="200" w:firstLine="420"/>
        <w:rPr>
          <w:rFonts w:asciiTheme="minorEastAsia" w:hAnsiTheme="minorEastAsia"/>
          <w:szCs w:val="21"/>
        </w:rPr>
      </w:pPr>
    </w:p>
    <w:p w:rsidR="00D15E1E" w:rsidRDefault="00D15E1E" w:rsidP="00D15E1E">
      <w:pPr>
        <w:spacing w:beforeLines="50" w:afterLines="50" w:line="360" w:lineRule="auto"/>
        <w:ind w:firstLineChars="200" w:firstLine="420"/>
      </w:pPr>
    </w:p>
    <w:sectPr w:rsidR="00D15E1E" w:rsidSect="00D15E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E2B" w:rsidRDefault="001A1E2B" w:rsidP="001A1E2B">
      <w:r>
        <w:separator/>
      </w:r>
    </w:p>
  </w:endnote>
  <w:endnote w:type="continuationSeparator" w:id="0">
    <w:p w:rsidR="001A1E2B" w:rsidRDefault="001A1E2B" w:rsidP="001A1E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libri Ligh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E2B" w:rsidRDefault="001A1E2B" w:rsidP="001A1E2B">
      <w:r>
        <w:separator/>
      </w:r>
    </w:p>
  </w:footnote>
  <w:footnote w:type="continuationSeparator" w:id="0">
    <w:p w:rsidR="001A1E2B" w:rsidRDefault="001A1E2B" w:rsidP="001A1E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172A27"/>
    <w:rsid w:val="001A1E2B"/>
    <w:rsid w:val="00D15E1E"/>
    <w:rsid w:val="311011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5E1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15E1E"/>
    <w:pPr>
      <w:jc w:val="left"/>
    </w:pPr>
    <w:rPr>
      <w:rFonts w:cs="Times New Roman"/>
      <w:kern w:val="0"/>
      <w:sz w:val="24"/>
    </w:rPr>
  </w:style>
  <w:style w:type="character" w:styleId="a4">
    <w:name w:val="FollowedHyperlink"/>
    <w:basedOn w:val="a0"/>
    <w:rsid w:val="00D15E1E"/>
    <w:rPr>
      <w:color w:val="555555"/>
      <w:u w:val="none"/>
    </w:rPr>
  </w:style>
  <w:style w:type="character" w:styleId="a5">
    <w:name w:val="Hyperlink"/>
    <w:basedOn w:val="a0"/>
    <w:rsid w:val="00D15E1E"/>
    <w:rPr>
      <w:color w:val="555555"/>
      <w:u w:val="none"/>
    </w:rPr>
  </w:style>
  <w:style w:type="paragraph" w:customStyle="1" w:styleId="Default">
    <w:name w:val="Default"/>
    <w:uiPriority w:val="99"/>
    <w:unhideWhenUsed/>
    <w:rsid w:val="00D15E1E"/>
    <w:pPr>
      <w:widowControl w:val="0"/>
      <w:autoSpaceDE w:val="0"/>
      <w:autoSpaceDN w:val="0"/>
      <w:adjustRightInd w:val="0"/>
    </w:pPr>
    <w:rPr>
      <w:rFonts w:ascii="宋体" w:hAnsi="宋体" w:hint="eastAsia"/>
      <w:color w:val="000000"/>
      <w:sz w:val="24"/>
    </w:rPr>
  </w:style>
  <w:style w:type="character" w:customStyle="1" w:styleId="ico4">
    <w:name w:val="ico4"/>
    <w:basedOn w:val="a0"/>
    <w:rsid w:val="00D15E1E"/>
  </w:style>
  <w:style w:type="character" w:customStyle="1" w:styleId="ico2">
    <w:name w:val="ico2"/>
    <w:basedOn w:val="a0"/>
    <w:rsid w:val="00D15E1E"/>
  </w:style>
  <w:style w:type="character" w:customStyle="1" w:styleId="ico1">
    <w:name w:val="ico1"/>
    <w:basedOn w:val="a0"/>
    <w:rsid w:val="00D15E1E"/>
  </w:style>
  <w:style w:type="character" w:customStyle="1" w:styleId="ico3">
    <w:name w:val="ico3"/>
    <w:basedOn w:val="a0"/>
    <w:rsid w:val="00D15E1E"/>
  </w:style>
  <w:style w:type="character" w:customStyle="1" w:styleId="new">
    <w:name w:val="new"/>
    <w:basedOn w:val="a0"/>
    <w:rsid w:val="00D15E1E"/>
  </w:style>
  <w:style w:type="paragraph" w:styleId="a6">
    <w:name w:val="header"/>
    <w:basedOn w:val="a"/>
    <w:link w:val="Char"/>
    <w:rsid w:val="001A1E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1A1E2B"/>
    <w:rPr>
      <w:rFonts w:asciiTheme="minorHAnsi" w:eastAsiaTheme="minorEastAsia" w:hAnsiTheme="minorHAnsi" w:cstheme="minorBidi"/>
      <w:kern w:val="2"/>
      <w:sz w:val="18"/>
      <w:szCs w:val="18"/>
    </w:rPr>
  </w:style>
  <w:style w:type="paragraph" w:styleId="a7">
    <w:name w:val="footer"/>
    <w:basedOn w:val="a"/>
    <w:link w:val="Char0"/>
    <w:rsid w:val="001A1E2B"/>
    <w:pPr>
      <w:tabs>
        <w:tab w:val="center" w:pos="4153"/>
        <w:tab w:val="right" w:pos="8306"/>
      </w:tabs>
      <w:snapToGrid w:val="0"/>
      <w:jc w:val="left"/>
    </w:pPr>
    <w:rPr>
      <w:sz w:val="18"/>
      <w:szCs w:val="18"/>
    </w:rPr>
  </w:style>
  <w:style w:type="character" w:customStyle="1" w:styleId="Char0">
    <w:name w:val="页脚 Char"/>
    <w:basedOn w:val="a0"/>
    <w:link w:val="a7"/>
    <w:rsid w:val="001A1E2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898</Characters>
  <Application>Microsoft Office Word</Application>
  <DocSecurity>4</DocSecurity>
  <Lines>7</Lines>
  <Paragraphs>2</Paragraphs>
  <ScaleCrop>false</ScaleCrop>
  <Company>CNSTOCK</Company>
  <LinksUpToDate>false</LinksUpToDate>
  <CharactersWithSpaces>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李振银</dc:creator>
  <cp:lastModifiedBy>ZHONGM</cp:lastModifiedBy>
  <cp:revision>2</cp:revision>
  <dcterms:created xsi:type="dcterms:W3CDTF">2021-04-29T18:47:00Z</dcterms:created>
  <dcterms:modified xsi:type="dcterms:W3CDTF">2021-04-29T18:47:00Z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