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B1" w:rsidRDefault="00204DB1" w:rsidP="00315B22">
      <w:pPr>
        <w:spacing w:line="360" w:lineRule="auto"/>
        <w:jc w:val="center"/>
        <w:rPr>
          <w:rFonts w:ascii="Times New Roman" w:eastAsia="宋体" w:hAnsi="Times New Roman"/>
          <w:b/>
          <w:color w:val="FF0000"/>
          <w:sz w:val="24"/>
        </w:rPr>
      </w:pPr>
      <w:r>
        <w:rPr>
          <w:rFonts w:ascii="Times New Roman" w:eastAsia="宋体" w:hAnsi="Times New Roman" w:hint="eastAsia"/>
          <w:b/>
          <w:color w:val="FF0000"/>
          <w:sz w:val="24"/>
        </w:rPr>
        <w:t>嘉实</w:t>
      </w:r>
      <w:r>
        <w:rPr>
          <w:rFonts w:ascii="Times New Roman" w:eastAsia="宋体" w:hAnsi="Times New Roman"/>
          <w:b/>
          <w:color w:val="FF0000"/>
          <w:sz w:val="24"/>
        </w:rPr>
        <w:t>基金管理有限公司</w:t>
      </w:r>
    </w:p>
    <w:p w:rsidR="005C23A6" w:rsidRPr="00315B22" w:rsidRDefault="00154D20" w:rsidP="00315B22">
      <w:pPr>
        <w:spacing w:line="360" w:lineRule="auto"/>
        <w:jc w:val="center"/>
        <w:rPr>
          <w:rFonts w:ascii="Times New Roman" w:eastAsia="宋体" w:hAnsi="Times New Roman"/>
          <w:b/>
          <w:color w:val="FF0000"/>
          <w:sz w:val="24"/>
        </w:rPr>
      </w:pPr>
      <w:r w:rsidRPr="00154D20">
        <w:rPr>
          <w:rFonts w:ascii="Times New Roman" w:eastAsia="宋体" w:hAnsi="Times New Roman" w:hint="eastAsia"/>
          <w:b/>
          <w:color w:val="FF0000"/>
          <w:sz w:val="24"/>
        </w:rPr>
        <w:t>关于</w:t>
      </w:r>
      <w:r w:rsidR="008E2B7F" w:rsidRPr="008E2B7F">
        <w:rPr>
          <w:rFonts w:ascii="Times New Roman" w:eastAsia="宋体" w:hAnsi="Times New Roman" w:hint="eastAsia"/>
          <w:b/>
          <w:color w:val="FF0000"/>
          <w:sz w:val="24"/>
        </w:rPr>
        <w:t>依据《公开募集证券投资基金侧袋机制指引</w:t>
      </w:r>
      <w:r w:rsidR="008E2B7F" w:rsidRPr="008E2B7F">
        <w:rPr>
          <w:rFonts w:ascii="Times New Roman" w:eastAsia="宋体" w:hAnsi="Times New Roman" w:hint="eastAsia"/>
          <w:b/>
          <w:color w:val="FF0000"/>
          <w:sz w:val="24"/>
        </w:rPr>
        <w:t>(</w:t>
      </w:r>
      <w:r w:rsidR="008E2B7F" w:rsidRPr="008E2B7F">
        <w:rPr>
          <w:rFonts w:ascii="Times New Roman" w:eastAsia="宋体" w:hAnsi="Times New Roman" w:hint="eastAsia"/>
          <w:b/>
          <w:color w:val="FF0000"/>
          <w:sz w:val="24"/>
        </w:rPr>
        <w:t>试行</w:t>
      </w:r>
      <w:r w:rsidR="008E2B7F" w:rsidRPr="008E2B7F">
        <w:rPr>
          <w:rFonts w:ascii="Times New Roman" w:eastAsia="宋体" w:hAnsi="Times New Roman" w:hint="eastAsia"/>
          <w:b/>
          <w:color w:val="FF0000"/>
          <w:sz w:val="24"/>
        </w:rPr>
        <w:t>)</w:t>
      </w:r>
      <w:r w:rsidR="008E2B7F" w:rsidRPr="008E2B7F">
        <w:rPr>
          <w:rFonts w:ascii="Times New Roman" w:eastAsia="宋体" w:hAnsi="Times New Roman" w:hint="eastAsia"/>
          <w:b/>
          <w:color w:val="FF0000"/>
          <w:sz w:val="24"/>
        </w:rPr>
        <w:t>》</w:t>
      </w:r>
      <w:r w:rsidRPr="00154D20">
        <w:rPr>
          <w:rFonts w:ascii="Times New Roman" w:eastAsia="宋体" w:hAnsi="Times New Roman" w:hint="eastAsia"/>
          <w:b/>
          <w:color w:val="FF0000"/>
          <w:sz w:val="24"/>
        </w:rPr>
        <w:t>修订旗下部分</w:t>
      </w:r>
      <w:r w:rsidR="002F05B3">
        <w:rPr>
          <w:rFonts w:ascii="Times New Roman" w:eastAsia="宋体" w:hAnsi="Times New Roman" w:hint="eastAsia"/>
          <w:b/>
          <w:color w:val="FF0000"/>
          <w:sz w:val="24"/>
        </w:rPr>
        <w:t>基金</w:t>
      </w:r>
      <w:r w:rsidR="002F05B3">
        <w:rPr>
          <w:rFonts w:ascii="Times New Roman" w:eastAsia="宋体" w:hAnsi="Times New Roman"/>
          <w:b/>
          <w:color w:val="FF0000"/>
          <w:sz w:val="24"/>
        </w:rPr>
        <w:t>基金合同及托管协议的公告</w:t>
      </w:r>
      <w:bookmarkStart w:id="0" w:name="_GoBack"/>
      <w:bookmarkEnd w:id="0"/>
    </w:p>
    <w:p w:rsidR="00315B22" w:rsidRDefault="00315B22" w:rsidP="00315B22">
      <w:pPr>
        <w:spacing w:line="360" w:lineRule="auto"/>
        <w:ind w:firstLineChars="200" w:firstLine="480"/>
        <w:rPr>
          <w:rFonts w:ascii="Times New Roman" w:eastAsia="宋体" w:hAnsi="Times New Roman"/>
          <w:sz w:val="24"/>
        </w:rPr>
      </w:pPr>
    </w:p>
    <w:p w:rsidR="008150C7" w:rsidRPr="008C3AE6" w:rsidRDefault="00154D20" w:rsidP="00154D20">
      <w:pPr>
        <w:spacing w:line="360" w:lineRule="auto"/>
        <w:ind w:firstLineChars="200" w:firstLine="480"/>
        <w:rPr>
          <w:rFonts w:asciiTheme="minorEastAsia" w:hAnsiTheme="minorEastAsia"/>
          <w:sz w:val="24"/>
          <w:szCs w:val="24"/>
        </w:rPr>
      </w:pPr>
      <w:r w:rsidRPr="008C3AE6">
        <w:rPr>
          <w:rFonts w:asciiTheme="minorEastAsia" w:hAnsiTheme="minorEastAsia" w:hint="eastAsia"/>
          <w:sz w:val="24"/>
          <w:szCs w:val="24"/>
        </w:rPr>
        <w:t>根据《中华人民共和国证券法》</w:t>
      </w:r>
      <w:r w:rsidR="005F2867">
        <w:rPr>
          <w:rFonts w:asciiTheme="minorEastAsia" w:hAnsiTheme="minorEastAsia" w:hint="eastAsia"/>
          <w:sz w:val="24"/>
          <w:szCs w:val="24"/>
        </w:rPr>
        <w:t>、</w:t>
      </w:r>
      <w:r w:rsidR="00CB6A94" w:rsidRPr="008C3AE6">
        <w:rPr>
          <w:rFonts w:asciiTheme="minorEastAsia" w:hAnsiTheme="minorEastAsia" w:hint="eastAsia"/>
          <w:sz w:val="24"/>
          <w:szCs w:val="24"/>
        </w:rPr>
        <w:t>《中华人民共和国证券</w:t>
      </w:r>
      <w:r w:rsidR="00CB6A94">
        <w:rPr>
          <w:rFonts w:asciiTheme="minorEastAsia" w:hAnsiTheme="minorEastAsia" w:hint="eastAsia"/>
          <w:sz w:val="24"/>
          <w:szCs w:val="24"/>
        </w:rPr>
        <w:t>投资基金</w:t>
      </w:r>
      <w:r w:rsidR="00CB6A94" w:rsidRPr="008C3AE6">
        <w:rPr>
          <w:rFonts w:asciiTheme="minorEastAsia" w:hAnsiTheme="minorEastAsia" w:hint="eastAsia"/>
          <w:sz w:val="24"/>
          <w:szCs w:val="24"/>
        </w:rPr>
        <w:t>法》</w:t>
      </w:r>
      <w:r w:rsidR="005F2867">
        <w:rPr>
          <w:rFonts w:asciiTheme="minorEastAsia" w:hAnsiTheme="minorEastAsia" w:hint="eastAsia"/>
          <w:sz w:val="24"/>
          <w:szCs w:val="24"/>
        </w:rPr>
        <w:t>、</w:t>
      </w:r>
      <w:r w:rsidRPr="008C3AE6">
        <w:rPr>
          <w:rFonts w:asciiTheme="minorEastAsia" w:hAnsiTheme="minorEastAsia" w:hint="eastAsia"/>
          <w:sz w:val="24"/>
          <w:szCs w:val="24"/>
        </w:rPr>
        <w:t>《公开募集证券投资基金信息披露管理办法》</w:t>
      </w:r>
      <w:r w:rsidR="005F2867">
        <w:rPr>
          <w:rFonts w:asciiTheme="minorEastAsia" w:hAnsiTheme="minorEastAsia" w:hint="eastAsia"/>
          <w:sz w:val="24"/>
          <w:szCs w:val="24"/>
        </w:rPr>
        <w:t>、</w:t>
      </w:r>
      <w:r w:rsidRPr="008C3AE6">
        <w:rPr>
          <w:rFonts w:asciiTheme="minorEastAsia" w:hAnsiTheme="minorEastAsia" w:hint="eastAsia"/>
          <w:sz w:val="24"/>
          <w:szCs w:val="24"/>
        </w:rPr>
        <w:t>《</w:t>
      </w:r>
      <w:r w:rsidR="00B66BF3" w:rsidRPr="00B66BF3">
        <w:rPr>
          <w:rFonts w:asciiTheme="minorEastAsia" w:hAnsiTheme="minorEastAsia" w:hint="eastAsia"/>
          <w:sz w:val="24"/>
          <w:szCs w:val="24"/>
        </w:rPr>
        <w:t>公开募集证券投资基金侧袋机制指引(试行)</w:t>
      </w:r>
      <w:r w:rsidRPr="008C3AE6">
        <w:rPr>
          <w:rFonts w:asciiTheme="minorEastAsia" w:hAnsiTheme="minorEastAsia" w:hint="eastAsia"/>
          <w:sz w:val="24"/>
          <w:szCs w:val="24"/>
        </w:rPr>
        <w:t>》等法律法规及各基金基金合同</w:t>
      </w:r>
      <w:r w:rsidR="00FE6699">
        <w:rPr>
          <w:rFonts w:asciiTheme="minorEastAsia" w:hAnsiTheme="minorEastAsia" w:hint="eastAsia"/>
          <w:sz w:val="24"/>
          <w:szCs w:val="24"/>
        </w:rPr>
        <w:t>的</w:t>
      </w:r>
      <w:r w:rsidR="00F34061" w:rsidRPr="008C3AE6">
        <w:rPr>
          <w:rFonts w:asciiTheme="minorEastAsia" w:hAnsiTheme="minorEastAsia" w:hint="eastAsia"/>
          <w:sz w:val="24"/>
          <w:szCs w:val="24"/>
        </w:rPr>
        <w:t>规定，经与各基金托管人协商一致，并向中国证监会备案，嘉实</w:t>
      </w:r>
      <w:r w:rsidRPr="008C3AE6">
        <w:rPr>
          <w:rFonts w:asciiTheme="minorEastAsia" w:hAnsiTheme="minorEastAsia" w:hint="eastAsia"/>
          <w:sz w:val="24"/>
          <w:szCs w:val="24"/>
        </w:rPr>
        <w:t>基金管理有限公司（以下简称“本基金管理人”）对旗下</w:t>
      </w:r>
      <w:r w:rsidR="005C63A6">
        <w:rPr>
          <w:rFonts w:asciiTheme="minorEastAsia" w:hAnsiTheme="minorEastAsia"/>
          <w:sz w:val="24"/>
          <w:szCs w:val="24"/>
        </w:rPr>
        <w:t>66</w:t>
      </w:r>
      <w:r w:rsidR="00F34061" w:rsidRPr="008C3AE6">
        <w:rPr>
          <w:rFonts w:asciiTheme="minorEastAsia" w:hAnsiTheme="minorEastAsia"/>
          <w:sz w:val="24"/>
          <w:szCs w:val="24"/>
        </w:rPr>
        <w:t>只</w:t>
      </w:r>
      <w:r w:rsidRPr="008C3AE6">
        <w:rPr>
          <w:rFonts w:asciiTheme="minorEastAsia" w:hAnsiTheme="minorEastAsia" w:hint="eastAsia"/>
          <w:sz w:val="24"/>
          <w:szCs w:val="24"/>
        </w:rPr>
        <w:t>基金</w:t>
      </w:r>
      <w:r w:rsidR="00197314">
        <w:rPr>
          <w:rFonts w:asciiTheme="minorEastAsia" w:hAnsiTheme="minorEastAsia" w:hint="eastAsia"/>
          <w:sz w:val="24"/>
          <w:szCs w:val="24"/>
        </w:rPr>
        <w:t>的</w:t>
      </w:r>
      <w:r w:rsidRPr="008C3AE6">
        <w:rPr>
          <w:rFonts w:asciiTheme="minorEastAsia" w:hAnsiTheme="minorEastAsia" w:hint="eastAsia"/>
          <w:sz w:val="24"/>
          <w:szCs w:val="24"/>
        </w:rPr>
        <w:t>基金合同等法律文件</w:t>
      </w:r>
      <w:r w:rsidR="00197314">
        <w:rPr>
          <w:rFonts w:asciiTheme="minorEastAsia" w:hAnsiTheme="minorEastAsia" w:hint="eastAsia"/>
          <w:sz w:val="24"/>
          <w:szCs w:val="24"/>
        </w:rPr>
        <w:t>进行修订</w:t>
      </w:r>
      <w:r w:rsidRPr="008C3AE6">
        <w:rPr>
          <w:rFonts w:asciiTheme="minorEastAsia" w:hAnsiTheme="minorEastAsia" w:hint="eastAsia"/>
          <w:sz w:val="24"/>
          <w:szCs w:val="24"/>
        </w:rPr>
        <w:t>。本次修订</w:t>
      </w:r>
      <w:r w:rsidR="00CB6A94">
        <w:rPr>
          <w:rFonts w:asciiTheme="minorEastAsia" w:hAnsiTheme="minorEastAsia" w:hint="eastAsia"/>
          <w:sz w:val="24"/>
          <w:szCs w:val="24"/>
        </w:rPr>
        <w:t>不改变基金的投资目标及风险收益特征，</w:t>
      </w:r>
      <w:r w:rsidRPr="008C3AE6">
        <w:rPr>
          <w:rFonts w:asciiTheme="minorEastAsia" w:hAnsiTheme="minorEastAsia" w:hint="eastAsia"/>
          <w:sz w:val="24"/>
          <w:szCs w:val="24"/>
        </w:rPr>
        <w:t>修订</w:t>
      </w:r>
      <w:r w:rsidR="00FE6699">
        <w:rPr>
          <w:rFonts w:asciiTheme="minorEastAsia" w:hAnsiTheme="minorEastAsia" w:hint="eastAsia"/>
          <w:sz w:val="24"/>
          <w:szCs w:val="24"/>
        </w:rPr>
        <w:t>后的基金合同和托管协议</w:t>
      </w:r>
      <w:r w:rsidRPr="008C3AE6">
        <w:rPr>
          <w:rFonts w:asciiTheme="minorEastAsia" w:hAnsiTheme="minorEastAsia" w:hint="eastAsia"/>
          <w:sz w:val="24"/>
          <w:szCs w:val="24"/>
        </w:rPr>
        <w:t>将自</w:t>
      </w:r>
      <w:r w:rsidRPr="008C3AE6">
        <w:rPr>
          <w:rFonts w:asciiTheme="minorEastAsia" w:hAnsiTheme="minorEastAsia"/>
          <w:sz w:val="24"/>
          <w:szCs w:val="24"/>
        </w:rPr>
        <w:t>202</w:t>
      </w:r>
      <w:r w:rsidR="00B66BF3">
        <w:rPr>
          <w:rFonts w:asciiTheme="minorEastAsia" w:hAnsiTheme="minorEastAsia"/>
          <w:sz w:val="24"/>
          <w:szCs w:val="24"/>
        </w:rPr>
        <w:t>1</w:t>
      </w:r>
      <w:r w:rsidRPr="008C3AE6">
        <w:rPr>
          <w:rFonts w:asciiTheme="minorEastAsia" w:hAnsiTheme="minorEastAsia" w:hint="eastAsia"/>
          <w:sz w:val="24"/>
          <w:szCs w:val="24"/>
        </w:rPr>
        <w:t>年</w:t>
      </w:r>
      <w:r w:rsidR="00B66BF3">
        <w:rPr>
          <w:rFonts w:asciiTheme="minorEastAsia" w:hAnsiTheme="minorEastAsia"/>
          <w:sz w:val="24"/>
          <w:szCs w:val="24"/>
        </w:rPr>
        <w:t>4</w:t>
      </w:r>
      <w:r w:rsidRPr="008C3AE6">
        <w:rPr>
          <w:rFonts w:asciiTheme="minorEastAsia" w:hAnsiTheme="minorEastAsia" w:hint="eastAsia"/>
          <w:sz w:val="24"/>
          <w:szCs w:val="24"/>
        </w:rPr>
        <w:t>月</w:t>
      </w:r>
      <w:r w:rsidR="005C63A6">
        <w:rPr>
          <w:rFonts w:asciiTheme="minorEastAsia" w:hAnsiTheme="minorEastAsia"/>
          <w:sz w:val="24"/>
          <w:szCs w:val="24"/>
        </w:rPr>
        <w:t>28</w:t>
      </w:r>
      <w:r w:rsidRPr="008C3AE6">
        <w:rPr>
          <w:rFonts w:asciiTheme="minorEastAsia" w:hAnsiTheme="minorEastAsia" w:hint="eastAsia"/>
          <w:sz w:val="24"/>
          <w:szCs w:val="24"/>
        </w:rPr>
        <w:t>日起正式生效。现将基金合同、</w:t>
      </w:r>
      <w:r w:rsidR="00FE6699">
        <w:rPr>
          <w:rFonts w:asciiTheme="minorEastAsia" w:hAnsiTheme="minorEastAsia" w:hint="eastAsia"/>
          <w:sz w:val="24"/>
          <w:szCs w:val="24"/>
        </w:rPr>
        <w:t>托管协议、</w:t>
      </w:r>
      <w:r w:rsidRPr="008C3AE6">
        <w:rPr>
          <w:rFonts w:asciiTheme="minorEastAsia" w:hAnsiTheme="minorEastAsia" w:hint="eastAsia"/>
          <w:sz w:val="24"/>
          <w:szCs w:val="24"/>
        </w:rPr>
        <w:t>招募说明书（更新）修订</w:t>
      </w:r>
      <w:r w:rsidR="00046ACD">
        <w:rPr>
          <w:rFonts w:asciiTheme="minorEastAsia" w:hAnsiTheme="minorEastAsia" w:hint="eastAsia"/>
          <w:sz w:val="24"/>
          <w:szCs w:val="24"/>
        </w:rPr>
        <w:t>的</w:t>
      </w:r>
      <w:r w:rsidR="006C1D61">
        <w:rPr>
          <w:rFonts w:asciiTheme="minorEastAsia" w:hAnsiTheme="minorEastAsia" w:hint="eastAsia"/>
          <w:sz w:val="24"/>
          <w:szCs w:val="24"/>
        </w:rPr>
        <w:t>有关情况说明</w:t>
      </w:r>
      <w:r w:rsidRPr="008C3AE6">
        <w:rPr>
          <w:rFonts w:asciiTheme="minorEastAsia" w:hAnsiTheme="minorEastAsia" w:hint="eastAsia"/>
          <w:sz w:val="24"/>
          <w:szCs w:val="24"/>
        </w:rPr>
        <w:t>如下：</w:t>
      </w:r>
    </w:p>
    <w:p w:rsidR="00154D20" w:rsidRPr="008C3AE6" w:rsidRDefault="001B1D86" w:rsidP="00154D20">
      <w:pPr>
        <w:spacing w:line="360" w:lineRule="auto"/>
        <w:ind w:firstLineChars="200" w:firstLine="480"/>
        <w:rPr>
          <w:rFonts w:asciiTheme="minorEastAsia" w:hAnsiTheme="minorEastAsia"/>
          <w:sz w:val="24"/>
          <w:szCs w:val="24"/>
        </w:rPr>
      </w:pPr>
      <w:r w:rsidRPr="008C3AE6">
        <w:rPr>
          <w:rFonts w:asciiTheme="minorEastAsia" w:hAnsiTheme="minorEastAsia"/>
          <w:sz w:val="24"/>
          <w:szCs w:val="24"/>
        </w:rPr>
        <w:t>一</w:t>
      </w:r>
      <w:r w:rsidRPr="008C3AE6">
        <w:rPr>
          <w:rFonts w:asciiTheme="minorEastAsia" w:hAnsiTheme="minorEastAsia" w:hint="eastAsia"/>
          <w:sz w:val="24"/>
          <w:szCs w:val="24"/>
        </w:rPr>
        <w:t>、本次修订基金范围</w:t>
      </w:r>
    </w:p>
    <w:p w:rsidR="00154D20" w:rsidRPr="008C3AE6" w:rsidRDefault="00B06AEE" w:rsidP="00154D20">
      <w:pPr>
        <w:spacing w:line="360" w:lineRule="auto"/>
        <w:ind w:firstLineChars="200" w:firstLine="480"/>
        <w:rPr>
          <w:rFonts w:asciiTheme="minorEastAsia" w:hAnsiTheme="minorEastAsia"/>
          <w:sz w:val="24"/>
          <w:szCs w:val="24"/>
        </w:rPr>
      </w:pPr>
      <w:r w:rsidRPr="008C3AE6">
        <w:rPr>
          <w:rFonts w:asciiTheme="minorEastAsia" w:hAnsiTheme="minorEastAsia"/>
          <w:sz w:val="24"/>
          <w:szCs w:val="24"/>
        </w:rPr>
        <w:t>本次修订涉及基金管理人旗下</w:t>
      </w:r>
      <w:r w:rsidR="00741298">
        <w:rPr>
          <w:rFonts w:asciiTheme="minorEastAsia" w:hAnsiTheme="minorEastAsia"/>
          <w:sz w:val="24"/>
          <w:szCs w:val="24"/>
        </w:rPr>
        <w:t>66</w:t>
      </w:r>
      <w:r w:rsidRPr="008C3AE6">
        <w:rPr>
          <w:rFonts w:asciiTheme="minorEastAsia" w:hAnsiTheme="minorEastAsia" w:hint="eastAsia"/>
          <w:sz w:val="24"/>
          <w:szCs w:val="24"/>
        </w:rPr>
        <w:t>只公募基金，详细名单见本公告的附表。</w:t>
      </w:r>
    </w:p>
    <w:p w:rsidR="00B06AEE" w:rsidRPr="008C3AE6" w:rsidRDefault="00B06AEE" w:rsidP="00B06AEE">
      <w:pPr>
        <w:spacing w:line="360" w:lineRule="auto"/>
        <w:ind w:firstLineChars="200" w:firstLine="480"/>
        <w:rPr>
          <w:rFonts w:asciiTheme="minorEastAsia" w:hAnsiTheme="minorEastAsia"/>
          <w:sz w:val="24"/>
          <w:szCs w:val="24"/>
        </w:rPr>
      </w:pPr>
      <w:r w:rsidRPr="008C3AE6">
        <w:rPr>
          <w:rFonts w:asciiTheme="minorEastAsia" w:hAnsiTheme="minorEastAsia"/>
          <w:sz w:val="24"/>
          <w:szCs w:val="24"/>
        </w:rPr>
        <w:t>二</w:t>
      </w:r>
      <w:r w:rsidRPr="008C3AE6">
        <w:rPr>
          <w:rFonts w:asciiTheme="minorEastAsia" w:hAnsiTheme="minorEastAsia" w:hint="eastAsia"/>
          <w:sz w:val="24"/>
          <w:szCs w:val="24"/>
        </w:rPr>
        <w:t>、本次修订的主要内容</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（一）在基金合同“释义”增加侧袋机制和特定资产的释义，具体内容如下：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（二）在基金合同“基金份额的申购与赎回”增加实施侧袋机制期间基金的申购与赎回条款，具体内容如下：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实施侧袋机制期间本基金的申购与赎回</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本基金实施侧袋机制的，本基金的申购和赎回安排详见招募说明书或相关</w:t>
      </w:r>
      <w:r w:rsidRPr="003A2F74">
        <w:rPr>
          <w:rFonts w:asciiTheme="minorEastAsia" w:hAnsiTheme="minorEastAsia" w:hint="eastAsia"/>
          <w:sz w:val="24"/>
          <w:szCs w:val="24"/>
        </w:rPr>
        <w:lastRenderedPageBreak/>
        <w:t>公告。</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（三）在基金合同“基金份额持有人大会”增加实施侧袋机制期间基金份额持有人大会的特殊约定条款，具体内容如下：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实施侧袋机制期间基金份额持有人大会的特殊约定</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1、基金份额持有人行使提议权、召集权、提名权所需单独或合计代表相关基金份额10%以上（含10%）；</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2、现场开会的到会者在权益登记日代表的基金份额不少于本基金在权益登记日相关基金份额的二分之一（含二分之一）；</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3、通讯开会的直接出具书面意见或授权他人代表出具书面意见的基金份额持有人所持有的基金份额不小于在权益登记日相关基金份额的二分之一（含二分之一）；</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5、现场开会由出席大会的基金份额持有人和代理人所持表决权的50%以上（含50%）选举产生一名基金份额持有人作为该次基金份额持有人大会的主持人；</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6、一般决议须经参加大会的基金份额持有人或其代理人所持表决权的二分之一以上（含二分之一）通过；</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7、特别决议应当经参加大会的基金份额持有人或其代理人所持表决权的三分之二以上（含三分之二）通过。</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同一主侧袋账户内的每份基金份额具有平等的表决权。</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（四）在基金合同“基金的投资”增加侧袋机制的实施和投资运作安排条</w:t>
      </w:r>
      <w:r w:rsidRPr="003A2F74">
        <w:rPr>
          <w:rFonts w:asciiTheme="minorEastAsia" w:hAnsiTheme="minorEastAsia" w:hint="eastAsia"/>
          <w:sz w:val="24"/>
          <w:szCs w:val="24"/>
        </w:rPr>
        <w:lastRenderedPageBreak/>
        <w:t>款，具体内容如下：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侧袋机制的实施和投资运作安排</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侧袋机制实施期间，本部分约定的投资组合比例、投资策略、组合限制、业绩比较基准、风险收益特征等约定仅适用于主袋账户。</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侧袋账户的实施条件、实施程序、运作安排、投资安排、特定资产的处置变现和支付等对投资者权益有重大影响的事项详见招募说明书的规定。</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（五）将基金合同“基金资产估值”中“暂停估值的情形”的如下内容：</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“当前一估值日基金资产净值 50%以上的资产出现无可参考的活跃市场价格且采用估值技术仍导致公允价值存在重大不确定性时，经与基金托管人协商确认后，基金管理人应当暂停估值；”</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修改为：</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“当特定资产占前一估值日基金资产净值50%以上的，经与基金托管人协商确认后，基金管理人应当暂停估值；”</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（六）在基金合同“基金资产估值”增加实施侧袋机制期间的基金资产估值条款，具体内容如下：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实施侧袋机制期间的基金资产估值</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本基金实施侧袋机制的，应根据本部分的约定对主袋账户资产进行估值并披露主袋账户的基金资产净值和份额净值，暂停披露侧袋账户份额净值。</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（七）在基金合同“基金费用与税收”增加实施侧袋机制期间的基金费用条款，具体内容如下：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实施侧袋机制期间的基金费用</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本基金实施侧袋机制的，与侧袋账户有关的费用可以从侧袋账户中列支，但应待侧袋账户资产变现后方可列支，有关费用可酌情收取或减免，但不得收取管理费，详见招募说明书的规定。</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（八）在基金合同“基金的收益与分配”增加实施侧袋机制期间的收益分配条款，具体内容如下：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实施侧袋机制期间的收益分配</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本基金实施侧袋机制的，侧袋账户不进行收益分配，详见招募说明书的规定。</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（九）在基金合同“基金的信息披露”增加实施侧袋机制期间的信息披露条款，具体内容如下：</w:t>
      </w:r>
    </w:p>
    <w:p w:rsidR="003A2F74" w:rsidRP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实施侧袋机制期间的信息披露</w:t>
      </w:r>
    </w:p>
    <w:p w:rsidR="003A2F74" w:rsidRDefault="003A2F74" w:rsidP="003A2F74">
      <w:pPr>
        <w:spacing w:line="360" w:lineRule="auto"/>
        <w:ind w:firstLineChars="200" w:firstLine="480"/>
        <w:rPr>
          <w:rFonts w:asciiTheme="minorEastAsia" w:hAnsiTheme="minorEastAsia"/>
          <w:sz w:val="24"/>
          <w:szCs w:val="24"/>
        </w:rPr>
      </w:pPr>
      <w:r w:rsidRPr="003A2F74">
        <w:rPr>
          <w:rFonts w:asciiTheme="minorEastAsia" w:hAnsiTheme="minorEastAsia" w:hint="eastAsia"/>
          <w:sz w:val="24"/>
          <w:szCs w:val="24"/>
        </w:rPr>
        <w:t>本基金实施侧袋机制的，相关信息披露义务人应当根据法律法规、基金合同和招募说明书的规定进行信息披露，详见招募说明书的规定。</w:t>
      </w:r>
    </w:p>
    <w:p w:rsidR="006C1D61" w:rsidRDefault="006C1D61" w:rsidP="00B06AE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（十）</w:t>
      </w:r>
      <w:r w:rsidR="003A2F74" w:rsidRPr="003A2F74">
        <w:rPr>
          <w:rFonts w:asciiTheme="minorEastAsia" w:hAnsiTheme="minorEastAsia" w:hint="eastAsia"/>
          <w:sz w:val="24"/>
          <w:szCs w:val="24"/>
        </w:rPr>
        <w:t>托管协议</w:t>
      </w:r>
      <w:r w:rsidR="00FE6699">
        <w:rPr>
          <w:rFonts w:asciiTheme="minorEastAsia" w:hAnsiTheme="minorEastAsia" w:hint="eastAsia"/>
          <w:sz w:val="24"/>
          <w:szCs w:val="24"/>
        </w:rPr>
        <w:t>、招募说明书（更新）</w:t>
      </w:r>
      <w:r w:rsidR="003A2F74" w:rsidRPr="003A2F74">
        <w:rPr>
          <w:rFonts w:asciiTheme="minorEastAsia" w:hAnsiTheme="minorEastAsia" w:hint="eastAsia"/>
          <w:sz w:val="24"/>
          <w:szCs w:val="24"/>
        </w:rPr>
        <w:t>涉及上述内容的条款一并调整。</w:t>
      </w:r>
    </w:p>
    <w:p w:rsidR="006C1D61" w:rsidRDefault="006C1D61" w:rsidP="00B06AE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三、重要提示</w:t>
      </w:r>
    </w:p>
    <w:p w:rsidR="00DE2336" w:rsidRDefault="00B06AEE" w:rsidP="006C1D61">
      <w:pPr>
        <w:spacing w:line="360" w:lineRule="auto"/>
        <w:ind w:firstLineChars="200" w:firstLine="480"/>
        <w:rPr>
          <w:rFonts w:asciiTheme="minorEastAsia" w:hAnsiTheme="minorEastAsia"/>
          <w:sz w:val="24"/>
          <w:szCs w:val="24"/>
        </w:rPr>
      </w:pPr>
      <w:r w:rsidRPr="008C3AE6">
        <w:rPr>
          <w:rFonts w:asciiTheme="minorEastAsia" w:hAnsiTheme="minorEastAsia" w:hint="eastAsia"/>
          <w:sz w:val="24"/>
          <w:szCs w:val="24"/>
        </w:rPr>
        <w:t>本次修订</w:t>
      </w:r>
      <w:r w:rsidR="008150C7" w:rsidRPr="008C3AE6">
        <w:rPr>
          <w:rFonts w:asciiTheme="minorEastAsia" w:hAnsiTheme="minorEastAsia" w:hint="eastAsia"/>
          <w:sz w:val="24"/>
          <w:szCs w:val="24"/>
        </w:rPr>
        <w:t>已履行了规定的程序，符合相关法律法规的规定及基金合同的约定</w:t>
      </w:r>
      <w:r w:rsidR="006C1D61">
        <w:rPr>
          <w:rFonts w:asciiTheme="minorEastAsia" w:hAnsiTheme="minorEastAsia" w:hint="eastAsia"/>
          <w:sz w:val="24"/>
          <w:szCs w:val="24"/>
        </w:rPr>
        <w:t>，</w:t>
      </w:r>
      <w:r w:rsidR="006C1D61" w:rsidRPr="006C1D61">
        <w:rPr>
          <w:rFonts w:asciiTheme="minorEastAsia" w:hAnsiTheme="minorEastAsia" w:hint="eastAsia"/>
          <w:sz w:val="24"/>
          <w:szCs w:val="24"/>
        </w:rPr>
        <w:t>无需召开基金份额持有人大会。</w:t>
      </w:r>
    </w:p>
    <w:p w:rsidR="006C1D61" w:rsidRDefault="008150C7" w:rsidP="006C1D61">
      <w:pPr>
        <w:spacing w:line="360" w:lineRule="auto"/>
        <w:ind w:firstLineChars="200" w:firstLine="480"/>
        <w:rPr>
          <w:rFonts w:asciiTheme="minorEastAsia" w:hAnsiTheme="minorEastAsia"/>
          <w:sz w:val="24"/>
          <w:szCs w:val="24"/>
        </w:rPr>
      </w:pPr>
      <w:r w:rsidRPr="006C1D61">
        <w:rPr>
          <w:rFonts w:asciiTheme="minorEastAsia" w:hAnsiTheme="minorEastAsia" w:hint="eastAsia"/>
          <w:sz w:val="24"/>
          <w:szCs w:val="24"/>
        </w:rPr>
        <w:t>上述修改自本</w:t>
      </w:r>
      <w:r w:rsidR="00B06AEE" w:rsidRPr="006C1D61">
        <w:rPr>
          <w:rFonts w:asciiTheme="minorEastAsia" w:hAnsiTheme="minorEastAsia" w:hint="eastAsia"/>
          <w:sz w:val="24"/>
          <w:szCs w:val="24"/>
        </w:rPr>
        <w:t>2</w:t>
      </w:r>
      <w:r w:rsidR="00B06AEE" w:rsidRPr="006C1D61">
        <w:rPr>
          <w:rFonts w:asciiTheme="minorEastAsia" w:hAnsiTheme="minorEastAsia"/>
          <w:sz w:val="24"/>
          <w:szCs w:val="24"/>
        </w:rPr>
        <w:t>02</w:t>
      </w:r>
      <w:r w:rsidR="003A2F74" w:rsidRPr="006C1D61">
        <w:rPr>
          <w:rFonts w:asciiTheme="minorEastAsia" w:hAnsiTheme="minorEastAsia"/>
          <w:sz w:val="24"/>
          <w:szCs w:val="24"/>
        </w:rPr>
        <w:t>1</w:t>
      </w:r>
      <w:r w:rsidR="00B06AEE" w:rsidRPr="006C1D61">
        <w:rPr>
          <w:rFonts w:asciiTheme="minorEastAsia" w:hAnsiTheme="minorEastAsia"/>
          <w:sz w:val="24"/>
          <w:szCs w:val="24"/>
        </w:rPr>
        <w:t>年</w:t>
      </w:r>
      <w:r w:rsidR="003A2F74" w:rsidRPr="006C1D61">
        <w:rPr>
          <w:rFonts w:asciiTheme="minorEastAsia" w:hAnsiTheme="minorEastAsia"/>
          <w:sz w:val="24"/>
          <w:szCs w:val="24"/>
        </w:rPr>
        <w:t>4</w:t>
      </w:r>
      <w:r w:rsidR="00B06AEE" w:rsidRPr="006C1D61">
        <w:rPr>
          <w:rFonts w:asciiTheme="minorEastAsia" w:hAnsiTheme="minorEastAsia" w:hint="eastAsia"/>
          <w:sz w:val="24"/>
          <w:szCs w:val="24"/>
        </w:rPr>
        <w:t>月</w:t>
      </w:r>
      <w:r w:rsidR="00EC2F21">
        <w:rPr>
          <w:rFonts w:asciiTheme="minorEastAsia" w:hAnsiTheme="minorEastAsia"/>
          <w:sz w:val="24"/>
          <w:szCs w:val="24"/>
        </w:rPr>
        <w:t>28</w:t>
      </w:r>
      <w:r w:rsidR="00B06AEE" w:rsidRPr="006C1D61">
        <w:rPr>
          <w:rFonts w:asciiTheme="minorEastAsia" w:hAnsiTheme="minorEastAsia" w:hint="eastAsia"/>
          <w:sz w:val="24"/>
          <w:szCs w:val="24"/>
        </w:rPr>
        <w:t>日</w:t>
      </w:r>
      <w:r w:rsidRPr="006C1D61">
        <w:rPr>
          <w:rFonts w:asciiTheme="minorEastAsia" w:hAnsiTheme="minorEastAsia" w:hint="eastAsia"/>
          <w:sz w:val="24"/>
          <w:szCs w:val="24"/>
        </w:rPr>
        <w:t>起生效。相关基金的基金合同</w:t>
      </w:r>
      <w:r w:rsidR="00562D80" w:rsidRPr="006C1D61">
        <w:rPr>
          <w:rFonts w:asciiTheme="minorEastAsia" w:hAnsiTheme="minorEastAsia" w:hint="eastAsia"/>
          <w:sz w:val="24"/>
          <w:szCs w:val="24"/>
        </w:rPr>
        <w:t>、</w:t>
      </w:r>
      <w:r w:rsidR="00562D80" w:rsidRPr="006C1D61">
        <w:rPr>
          <w:rFonts w:asciiTheme="minorEastAsia" w:hAnsiTheme="minorEastAsia"/>
          <w:sz w:val="24"/>
          <w:szCs w:val="24"/>
        </w:rPr>
        <w:t>托管协议</w:t>
      </w:r>
      <w:r w:rsidRPr="006C1D61">
        <w:rPr>
          <w:rFonts w:asciiTheme="minorEastAsia" w:hAnsiTheme="minorEastAsia" w:hint="eastAsia"/>
          <w:sz w:val="24"/>
          <w:szCs w:val="24"/>
        </w:rPr>
        <w:t>全文</w:t>
      </w:r>
      <w:r w:rsidR="00A80177" w:rsidRPr="006C1D61">
        <w:rPr>
          <w:rFonts w:asciiTheme="minorEastAsia" w:hAnsiTheme="minorEastAsia" w:hint="eastAsia"/>
          <w:sz w:val="24"/>
          <w:szCs w:val="24"/>
        </w:rPr>
        <w:t>将</w:t>
      </w:r>
      <w:r w:rsidRPr="006C1D61">
        <w:rPr>
          <w:rFonts w:asciiTheme="minorEastAsia" w:hAnsiTheme="minorEastAsia" w:hint="eastAsia"/>
          <w:sz w:val="24"/>
          <w:szCs w:val="24"/>
        </w:rPr>
        <w:t>于</w:t>
      </w:r>
      <w:r w:rsidR="00891C8D" w:rsidRPr="006C1D61">
        <w:rPr>
          <w:rFonts w:asciiTheme="minorEastAsia" w:hAnsiTheme="minorEastAsia"/>
          <w:sz w:val="24"/>
          <w:szCs w:val="24"/>
        </w:rPr>
        <w:t>202</w:t>
      </w:r>
      <w:r w:rsidR="003A2F74" w:rsidRPr="006C1D61">
        <w:rPr>
          <w:rFonts w:asciiTheme="minorEastAsia" w:hAnsiTheme="minorEastAsia"/>
          <w:sz w:val="24"/>
          <w:szCs w:val="24"/>
        </w:rPr>
        <w:t>1</w:t>
      </w:r>
      <w:r w:rsidR="00891C8D" w:rsidRPr="006C1D61">
        <w:rPr>
          <w:rFonts w:asciiTheme="minorEastAsia" w:hAnsiTheme="minorEastAsia" w:hint="eastAsia"/>
          <w:sz w:val="24"/>
          <w:szCs w:val="24"/>
        </w:rPr>
        <w:t>年</w:t>
      </w:r>
      <w:r w:rsidR="003A2F74" w:rsidRPr="006C1D61">
        <w:rPr>
          <w:rFonts w:asciiTheme="minorEastAsia" w:hAnsiTheme="minorEastAsia" w:hint="eastAsia"/>
          <w:sz w:val="24"/>
          <w:szCs w:val="24"/>
        </w:rPr>
        <w:t>4</w:t>
      </w:r>
      <w:r w:rsidR="00891C8D" w:rsidRPr="006C1D61">
        <w:rPr>
          <w:rFonts w:asciiTheme="minorEastAsia" w:hAnsiTheme="minorEastAsia" w:hint="eastAsia"/>
          <w:sz w:val="24"/>
          <w:szCs w:val="24"/>
        </w:rPr>
        <w:t>月</w:t>
      </w:r>
      <w:r w:rsidR="00EC2F21">
        <w:rPr>
          <w:rFonts w:asciiTheme="minorEastAsia" w:hAnsiTheme="minorEastAsia" w:hint="eastAsia"/>
          <w:sz w:val="24"/>
          <w:szCs w:val="24"/>
        </w:rPr>
        <w:t>2</w:t>
      </w:r>
      <w:r w:rsidR="00EC2F21">
        <w:rPr>
          <w:rFonts w:asciiTheme="minorEastAsia" w:hAnsiTheme="minorEastAsia"/>
          <w:sz w:val="24"/>
          <w:szCs w:val="24"/>
        </w:rPr>
        <w:t>8</w:t>
      </w:r>
      <w:r w:rsidRPr="006C1D61">
        <w:rPr>
          <w:rFonts w:asciiTheme="minorEastAsia" w:hAnsiTheme="minorEastAsia" w:hint="eastAsia"/>
          <w:sz w:val="24"/>
          <w:szCs w:val="24"/>
        </w:rPr>
        <w:t>日在本公司网站（www.</w:t>
      </w:r>
      <w:r w:rsidRPr="006C1D61">
        <w:rPr>
          <w:rFonts w:asciiTheme="minorEastAsia" w:hAnsiTheme="minorEastAsia"/>
          <w:sz w:val="24"/>
          <w:szCs w:val="24"/>
        </w:rPr>
        <w:t>jsfund</w:t>
      </w:r>
      <w:r w:rsidRPr="006C1D61">
        <w:rPr>
          <w:rFonts w:asciiTheme="minorEastAsia" w:hAnsiTheme="minorEastAsia" w:hint="eastAsia"/>
          <w:sz w:val="24"/>
          <w:szCs w:val="24"/>
        </w:rPr>
        <w:t>.</w:t>
      </w:r>
      <w:r w:rsidR="00562D80" w:rsidRPr="006C1D61">
        <w:rPr>
          <w:rFonts w:asciiTheme="minorEastAsia" w:hAnsiTheme="minorEastAsia" w:hint="eastAsia"/>
          <w:sz w:val="24"/>
          <w:szCs w:val="24"/>
        </w:rPr>
        <w:t>c</w:t>
      </w:r>
      <w:r w:rsidR="00562D80" w:rsidRPr="006C1D61">
        <w:rPr>
          <w:rFonts w:asciiTheme="minorEastAsia" w:hAnsiTheme="minorEastAsia"/>
          <w:sz w:val="24"/>
          <w:szCs w:val="24"/>
        </w:rPr>
        <w:t>n</w:t>
      </w:r>
      <w:r w:rsidRPr="006C1D61">
        <w:rPr>
          <w:rFonts w:asciiTheme="minorEastAsia" w:hAnsiTheme="minorEastAsia" w:hint="eastAsia"/>
          <w:sz w:val="24"/>
          <w:szCs w:val="24"/>
        </w:rPr>
        <w:t>）和中国证监会基金电子披露网站（http://eid.csrc.gov.cn/fund）披露，供投资者查阅。</w:t>
      </w:r>
    </w:p>
    <w:p w:rsidR="008150C7" w:rsidRPr="008C3AE6" w:rsidRDefault="00094ED4" w:rsidP="00315B22">
      <w:pPr>
        <w:spacing w:line="360" w:lineRule="auto"/>
        <w:ind w:firstLineChars="200" w:firstLine="480"/>
        <w:rPr>
          <w:rFonts w:asciiTheme="minorEastAsia" w:hAnsiTheme="minorEastAsia"/>
          <w:sz w:val="24"/>
          <w:szCs w:val="24"/>
        </w:rPr>
      </w:pPr>
      <w:r w:rsidRPr="008C3AE6">
        <w:rPr>
          <w:rFonts w:asciiTheme="minorEastAsia" w:hAnsiTheme="minorEastAsia" w:hint="eastAsia"/>
          <w:sz w:val="24"/>
          <w:szCs w:val="24"/>
        </w:rPr>
        <w:t>基金管理人将在届时更新基金招募说明书时一并更新相关内容</w:t>
      </w:r>
      <w:r w:rsidR="007F7AAC" w:rsidRPr="008C3AE6">
        <w:rPr>
          <w:rFonts w:asciiTheme="minorEastAsia" w:hAnsiTheme="minorEastAsia" w:hint="eastAsia"/>
          <w:sz w:val="24"/>
          <w:szCs w:val="24"/>
        </w:rPr>
        <w:t>，揭示相关风险</w:t>
      </w:r>
      <w:r w:rsidR="006C1D61">
        <w:rPr>
          <w:rFonts w:asciiTheme="minorEastAsia" w:hAnsiTheme="minorEastAsia" w:hint="eastAsia"/>
          <w:sz w:val="24"/>
          <w:szCs w:val="24"/>
        </w:rPr>
        <w:t>，</w:t>
      </w:r>
      <w:r w:rsidR="006C1D61" w:rsidRPr="006C1D61">
        <w:rPr>
          <w:rFonts w:asciiTheme="minorEastAsia" w:hAnsiTheme="minorEastAsia" w:hint="eastAsia"/>
          <w:sz w:val="24"/>
          <w:szCs w:val="24"/>
        </w:rPr>
        <w:t>并依照《公开募集证券投资基金信息披露管理办法》的有关规定在规定媒介上公告。</w:t>
      </w:r>
      <w:r w:rsidR="008150C7" w:rsidRPr="008C3AE6">
        <w:rPr>
          <w:rFonts w:asciiTheme="minorEastAsia" w:hAnsiTheme="minorEastAsia" w:hint="eastAsia"/>
          <w:sz w:val="24"/>
          <w:szCs w:val="24"/>
        </w:rPr>
        <w:t>如有疑问可拨打本公司客服电话（</w:t>
      </w:r>
      <w:r w:rsidR="00BA147B" w:rsidRPr="008C3AE6">
        <w:rPr>
          <w:rFonts w:asciiTheme="minorEastAsia" w:hAnsiTheme="minorEastAsia" w:hint="eastAsia"/>
          <w:sz w:val="24"/>
          <w:szCs w:val="24"/>
        </w:rPr>
        <w:t>400-600-8800</w:t>
      </w:r>
      <w:r w:rsidR="008150C7" w:rsidRPr="008C3AE6">
        <w:rPr>
          <w:rFonts w:asciiTheme="minorEastAsia" w:hAnsiTheme="minorEastAsia" w:hint="eastAsia"/>
          <w:sz w:val="24"/>
          <w:szCs w:val="24"/>
        </w:rPr>
        <w:t>）咨询。</w:t>
      </w:r>
    </w:p>
    <w:p w:rsidR="008C3AE6" w:rsidRPr="008C3AE6" w:rsidRDefault="008C3AE6" w:rsidP="008C3AE6">
      <w:pPr>
        <w:spacing w:line="360" w:lineRule="auto"/>
        <w:ind w:firstLineChars="200" w:firstLine="480"/>
        <w:rPr>
          <w:rFonts w:asciiTheme="minorEastAsia" w:hAnsiTheme="minorEastAsia" w:cs="宋体"/>
          <w:kern w:val="0"/>
          <w:sz w:val="24"/>
          <w:szCs w:val="24"/>
        </w:rPr>
      </w:pPr>
      <w:r w:rsidRPr="008C3AE6">
        <w:rPr>
          <w:rFonts w:asciiTheme="minorEastAsia" w:hAnsiTheme="minorEastAsia" w:cs="宋体" w:hint="eastAsia"/>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招募说明书</w:t>
      </w:r>
      <w:r>
        <w:rPr>
          <w:rFonts w:asciiTheme="minorEastAsia" w:hAnsiTheme="minorEastAsia" w:cs="宋体" w:hint="eastAsia"/>
          <w:kern w:val="0"/>
          <w:sz w:val="24"/>
          <w:szCs w:val="24"/>
        </w:rPr>
        <w:t>（更新）</w:t>
      </w:r>
      <w:r w:rsidRPr="008C3AE6">
        <w:rPr>
          <w:rFonts w:asciiTheme="minorEastAsia" w:hAnsiTheme="minorEastAsia" w:cs="宋体" w:hint="eastAsia"/>
          <w:kern w:val="0"/>
          <w:sz w:val="24"/>
          <w:szCs w:val="24"/>
        </w:rPr>
        <w:t>和基金合同，全面认识基金的风险收益特征和产品特性，并充分考虑自身的风险承受能力，在了解产品情况、听取销售机构适当性匹配意见的基础上，理性判断市场，谨慎做出投资决策。</w:t>
      </w:r>
    </w:p>
    <w:p w:rsidR="008150C7" w:rsidRDefault="008150C7" w:rsidP="008C3AE6">
      <w:pPr>
        <w:spacing w:line="360" w:lineRule="auto"/>
        <w:ind w:firstLineChars="200" w:firstLine="480"/>
        <w:rPr>
          <w:rFonts w:asciiTheme="minorEastAsia" w:hAnsiTheme="minorEastAsia" w:cs="宋体"/>
          <w:kern w:val="0"/>
          <w:sz w:val="24"/>
          <w:szCs w:val="24"/>
        </w:rPr>
      </w:pPr>
      <w:r w:rsidRPr="008C3AE6">
        <w:rPr>
          <w:rFonts w:asciiTheme="minorEastAsia" w:hAnsiTheme="minorEastAsia" w:cs="宋体" w:hint="eastAsia"/>
          <w:kern w:val="0"/>
          <w:sz w:val="24"/>
          <w:szCs w:val="24"/>
        </w:rPr>
        <w:t>特此公告。</w:t>
      </w:r>
    </w:p>
    <w:p w:rsidR="008C3AE6" w:rsidRPr="008C3AE6" w:rsidRDefault="008C3AE6" w:rsidP="008C3AE6">
      <w:pPr>
        <w:spacing w:line="360" w:lineRule="auto"/>
        <w:ind w:firstLineChars="200" w:firstLine="480"/>
        <w:rPr>
          <w:rFonts w:asciiTheme="minorEastAsia" w:hAnsiTheme="minorEastAsia" w:cs="宋体"/>
          <w:kern w:val="0"/>
          <w:sz w:val="24"/>
          <w:szCs w:val="24"/>
        </w:rPr>
      </w:pPr>
    </w:p>
    <w:p w:rsidR="008150C7" w:rsidRPr="008150C7" w:rsidRDefault="008150C7" w:rsidP="00315B22">
      <w:pPr>
        <w:spacing w:line="360" w:lineRule="auto"/>
        <w:jc w:val="right"/>
        <w:rPr>
          <w:rFonts w:ascii="Times New Roman" w:eastAsia="宋体" w:hAnsi="Times New Roman"/>
          <w:sz w:val="24"/>
        </w:rPr>
      </w:pPr>
      <w:r>
        <w:rPr>
          <w:rFonts w:ascii="Times New Roman" w:eastAsia="宋体" w:hAnsi="Times New Roman" w:hint="eastAsia"/>
          <w:sz w:val="24"/>
        </w:rPr>
        <w:t>嘉实</w:t>
      </w:r>
      <w:r w:rsidRPr="008150C7">
        <w:rPr>
          <w:rFonts w:ascii="Times New Roman" w:eastAsia="宋体" w:hAnsi="Times New Roman" w:hint="eastAsia"/>
          <w:sz w:val="24"/>
        </w:rPr>
        <w:t>基金管理有限公司</w:t>
      </w:r>
    </w:p>
    <w:p w:rsidR="002F05B3" w:rsidRDefault="00554A1D" w:rsidP="00315B22">
      <w:pPr>
        <w:spacing w:line="360" w:lineRule="auto"/>
        <w:jc w:val="right"/>
        <w:rPr>
          <w:rFonts w:ascii="Times New Roman" w:eastAsia="宋体" w:hAnsi="Times New Roman"/>
          <w:sz w:val="24"/>
        </w:rPr>
      </w:pPr>
      <w:r>
        <w:rPr>
          <w:rFonts w:ascii="Times New Roman" w:eastAsia="宋体" w:hAnsi="Times New Roman" w:hint="eastAsia"/>
          <w:sz w:val="24"/>
        </w:rPr>
        <w:t>2</w:t>
      </w:r>
      <w:r>
        <w:rPr>
          <w:rFonts w:ascii="Times New Roman" w:eastAsia="宋体" w:hAnsi="Times New Roman"/>
          <w:sz w:val="24"/>
        </w:rPr>
        <w:t>02</w:t>
      </w:r>
      <w:r w:rsidR="003A2F74">
        <w:rPr>
          <w:rFonts w:ascii="Times New Roman" w:eastAsia="宋体" w:hAnsi="Times New Roman"/>
          <w:sz w:val="24"/>
        </w:rPr>
        <w:t>1</w:t>
      </w:r>
      <w:r w:rsidR="00891C8D">
        <w:rPr>
          <w:rFonts w:ascii="Times New Roman" w:eastAsia="宋体" w:hAnsi="Times New Roman" w:hint="eastAsia"/>
          <w:sz w:val="24"/>
        </w:rPr>
        <w:t>年</w:t>
      </w:r>
      <w:r w:rsidR="003A2F74">
        <w:rPr>
          <w:rFonts w:ascii="Times New Roman" w:eastAsia="宋体" w:hAnsi="Times New Roman"/>
          <w:sz w:val="24"/>
        </w:rPr>
        <w:t>4</w:t>
      </w:r>
      <w:r w:rsidR="00891C8D">
        <w:rPr>
          <w:rFonts w:ascii="Times New Roman" w:eastAsia="宋体" w:hAnsi="Times New Roman" w:hint="eastAsia"/>
          <w:sz w:val="24"/>
        </w:rPr>
        <w:t>月</w:t>
      </w:r>
      <w:r w:rsidR="00EC2F21">
        <w:rPr>
          <w:rFonts w:ascii="Times New Roman" w:eastAsia="宋体" w:hAnsi="Times New Roman"/>
          <w:sz w:val="24"/>
        </w:rPr>
        <w:t>28</w:t>
      </w:r>
      <w:r w:rsidR="00891C8D" w:rsidRPr="008150C7">
        <w:rPr>
          <w:rFonts w:ascii="Times New Roman" w:eastAsia="宋体" w:hAnsi="Times New Roman" w:hint="eastAsia"/>
          <w:sz w:val="24"/>
        </w:rPr>
        <w:t>日</w:t>
      </w:r>
    </w:p>
    <w:p w:rsidR="002F05B3" w:rsidRDefault="002F05B3">
      <w:pPr>
        <w:widowControl/>
        <w:jc w:val="left"/>
        <w:rPr>
          <w:rFonts w:ascii="Times New Roman" w:eastAsia="宋体" w:hAnsi="Times New Roman"/>
          <w:sz w:val="24"/>
        </w:rPr>
      </w:pPr>
      <w:r>
        <w:rPr>
          <w:rFonts w:ascii="Times New Roman" w:eastAsia="宋体" w:hAnsi="Times New Roman"/>
          <w:sz w:val="24"/>
        </w:rPr>
        <w:br w:type="page"/>
      </w:r>
    </w:p>
    <w:p w:rsidR="00315B22" w:rsidRDefault="002F05B3" w:rsidP="002F05B3">
      <w:pPr>
        <w:widowControl/>
        <w:rPr>
          <w:rFonts w:ascii="Times New Roman" w:eastAsia="宋体" w:hAnsi="Times New Roman"/>
          <w:b/>
          <w:sz w:val="24"/>
        </w:rPr>
      </w:pPr>
      <w:r w:rsidRPr="00D76C59">
        <w:rPr>
          <w:rFonts w:ascii="Times New Roman" w:eastAsia="宋体" w:hAnsi="Times New Roman" w:hint="eastAsia"/>
          <w:b/>
          <w:sz w:val="24"/>
        </w:rPr>
        <w:t>附：</w:t>
      </w:r>
      <w:r w:rsidR="001B1D86">
        <w:rPr>
          <w:rFonts w:ascii="Times New Roman" w:eastAsia="宋体" w:hAnsi="Times New Roman" w:hint="eastAsia"/>
          <w:b/>
          <w:sz w:val="24"/>
        </w:rPr>
        <w:t>本次修改的基金</w:t>
      </w:r>
      <w:r w:rsidR="00A81118">
        <w:rPr>
          <w:rFonts w:ascii="Times New Roman" w:eastAsia="宋体" w:hAnsi="Times New Roman" w:hint="eastAsia"/>
          <w:b/>
          <w:sz w:val="24"/>
        </w:rPr>
        <w:t>名单</w:t>
      </w:r>
    </w:p>
    <w:p w:rsidR="00A81118" w:rsidRDefault="00A81118" w:rsidP="002F05B3">
      <w:pPr>
        <w:widowControl/>
        <w:rPr>
          <w:rFonts w:ascii="Times New Roman" w:eastAsia="宋体" w:hAnsi="Times New Roman"/>
          <w:b/>
          <w:sz w:val="24"/>
        </w:rPr>
      </w:pPr>
    </w:p>
    <w:tbl>
      <w:tblPr>
        <w:tblW w:w="9540" w:type="dxa"/>
        <w:tblInd w:w="-10" w:type="dxa"/>
        <w:tblLook w:val="04A0"/>
      </w:tblPr>
      <w:tblGrid>
        <w:gridCol w:w="960"/>
        <w:gridCol w:w="5440"/>
        <w:gridCol w:w="3140"/>
      </w:tblGrid>
      <w:tr w:rsidR="00EC2F21" w:rsidRPr="00736F30" w:rsidTr="00EC2F21">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2F21" w:rsidRPr="00736F30" w:rsidRDefault="00EC2F21" w:rsidP="00EC2F21">
            <w:pPr>
              <w:widowControl/>
              <w:jc w:val="center"/>
              <w:rPr>
                <w:rFonts w:ascii="宋体" w:eastAsia="宋体" w:hAnsi="宋体" w:cs="Arial"/>
                <w:b/>
                <w:bCs/>
                <w:color w:val="000000"/>
                <w:kern w:val="0"/>
                <w:szCs w:val="21"/>
              </w:rPr>
            </w:pPr>
            <w:r w:rsidRPr="00736F30">
              <w:rPr>
                <w:rFonts w:ascii="宋体" w:eastAsia="宋体" w:hAnsi="宋体" w:cs="Arial" w:hint="eastAsia"/>
                <w:b/>
                <w:bCs/>
                <w:color w:val="000000"/>
                <w:kern w:val="0"/>
                <w:szCs w:val="21"/>
              </w:rPr>
              <w:t>序号</w:t>
            </w:r>
          </w:p>
        </w:tc>
        <w:tc>
          <w:tcPr>
            <w:tcW w:w="5440" w:type="dxa"/>
            <w:tcBorders>
              <w:top w:val="single" w:sz="8" w:space="0" w:color="auto"/>
              <w:left w:val="nil"/>
              <w:bottom w:val="single" w:sz="8" w:space="0" w:color="auto"/>
              <w:right w:val="single" w:sz="8" w:space="0" w:color="auto"/>
            </w:tcBorders>
            <w:shd w:val="clear" w:color="auto" w:fill="auto"/>
            <w:vAlign w:val="center"/>
            <w:hideMark/>
          </w:tcPr>
          <w:p w:rsidR="00EC2F21" w:rsidRPr="00736F30" w:rsidRDefault="00EC2F21" w:rsidP="00EC2F21">
            <w:pPr>
              <w:widowControl/>
              <w:jc w:val="center"/>
              <w:rPr>
                <w:rFonts w:ascii="宋体" w:eastAsia="宋体" w:hAnsi="宋体" w:cs="Arial"/>
                <w:b/>
                <w:bCs/>
                <w:color w:val="000000"/>
                <w:kern w:val="0"/>
                <w:szCs w:val="21"/>
              </w:rPr>
            </w:pPr>
            <w:r w:rsidRPr="00736F30">
              <w:rPr>
                <w:rFonts w:ascii="宋体" w:eastAsia="宋体" w:hAnsi="宋体" w:cs="Arial" w:hint="eastAsia"/>
                <w:b/>
                <w:bCs/>
                <w:color w:val="000000"/>
                <w:kern w:val="0"/>
                <w:szCs w:val="21"/>
              </w:rPr>
              <w:t>基金全称</w:t>
            </w:r>
          </w:p>
        </w:tc>
        <w:tc>
          <w:tcPr>
            <w:tcW w:w="3140" w:type="dxa"/>
            <w:tcBorders>
              <w:top w:val="single" w:sz="8" w:space="0" w:color="auto"/>
              <w:left w:val="nil"/>
              <w:bottom w:val="single" w:sz="8" w:space="0" w:color="auto"/>
              <w:right w:val="single" w:sz="8" w:space="0" w:color="auto"/>
            </w:tcBorders>
            <w:shd w:val="clear" w:color="auto" w:fill="auto"/>
            <w:vAlign w:val="center"/>
            <w:hideMark/>
          </w:tcPr>
          <w:p w:rsidR="00EC2F21" w:rsidRPr="00736F30" w:rsidRDefault="00EC2F21" w:rsidP="00EC2F21">
            <w:pPr>
              <w:widowControl/>
              <w:jc w:val="center"/>
              <w:rPr>
                <w:rFonts w:ascii="宋体" w:eastAsia="宋体" w:hAnsi="宋体" w:cs="Arial"/>
                <w:b/>
                <w:bCs/>
                <w:color w:val="000000"/>
                <w:kern w:val="0"/>
                <w:szCs w:val="21"/>
              </w:rPr>
            </w:pPr>
            <w:r w:rsidRPr="00736F30">
              <w:rPr>
                <w:rFonts w:ascii="宋体" w:eastAsia="宋体" w:hAnsi="宋体" w:cs="Arial" w:hint="eastAsia"/>
                <w:b/>
                <w:bCs/>
                <w:color w:val="000000"/>
                <w:kern w:val="0"/>
                <w:szCs w:val="21"/>
              </w:rPr>
              <w:t>基金托管人</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嘉实致兴定期开放纯债债券型发起式证券投资基金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兴业银行股份有限公司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嘉实丰益纯债定期开放债券型证券投资基金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嘉实债券开放式证券投资基金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嘉实中证金边中期国债交易型开放式指数证券投资基金联接基金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嘉实新添丰定期开放混合型证券投资基金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嘉实鑫和一年持有期混合型证券投资基金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7</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嘉实超短债证券投资基金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8</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w:t>
            </w:r>
            <w:r w:rsidRPr="00736F30">
              <w:rPr>
                <w:rFonts w:ascii="Arial" w:eastAsia="宋体" w:hAnsi="Arial" w:cs="Arial"/>
                <w:kern w:val="0"/>
                <w:sz w:val="20"/>
                <w:szCs w:val="20"/>
              </w:rPr>
              <w:t>3</w:t>
            </w:r>
            <w:r w:rsidRPr="00736F30">
              <w:rPr>
                <w:rFonts w:ascii="Arial" w:eastAsia="宋体" w:hAnsi="Arial" w:cs="Arial"/>
                <w:kern w:val="0"/>
                <w:sz w:val="20"/>
                <w:szCs w:val="20"/>
              </w:rPr>
              <w:t>个月理财债券型证券投资基金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9</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嘉实策略优选灵活配置混合型证券投资基金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10</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嘉实安益灵活配置混合型证券投资基金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11</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w:t>
            </w:r>
            <w:r w:rsidRPr="00736F30">
              <w:rPr>
                <w:rFonts w:ascii="Arial" w:eastAsia="宋体" w:hAnsi="Arial" w:cs="Arial"/>
                <w:kern w:val="0"/>
                <w:sz w:val="20"/>
                <w:szCs w:val="20"/>
              </w:rPr>
              <w:t>6</w:t>
            </w:r>
            <w:r w:rsidRPr="00736F30">
              <w:rPr>
                <w:rFonts w:ascii="Arial" w:eastAsia="宋体" w:hAnsi="Arial" w:cs="Arial"/>
                <w:kern w:val="0"/>
                <w:sz w:val="20"/>
                <w:szCs w:val="20"/>
              </w:rPr>
              <w:t>个月理财债券型证券投资基金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12</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嘉实致益纯债债券型证券投资基金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中国农业银行股份有限公司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13</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嘉实新添辉定期开放灵活配置混合型证券投资基金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中国建设银行股份有限公司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14</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嘉实新添元定期开放混合型证券投资基金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中国光大银行股份有限公司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15</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嘉实致元</w:t>
            </w:r>
            <w:r w:rsidRPr="00736F30">
              <w:rPr>
                <w:rFonts w:ascii="Arial" w:eastAsia="宋体" w:hAnsi="Arial" w:cs="Arial"/>
                <w:kern w:val="0"/>
                <w:sz w:val="20"/>
                <w:szCs w:val="20"/>
              </w:rPr>
              <w:t>42</w:t>
            </w:r>
            <w:r w:rsidRPr="00736F30">
              <w:rPr>
                <w:rFonts w:ascii="Arial" w:eastAsia="宋体" w:hAnsi="Arial" w:cs="Arial"/>
                <w:kern w:val="0"/>
                <w:sz w:val="20"/>
                <w:szCs w:val="20"/>
              </w:rPr>
              <w:t>个月定期开放债券型证券投资基金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中国光大银行股份有限公司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16</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嘉实民企精选一年定期开放债券型证券投资基金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中国光大银行股份有限公司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17</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嘉实致融一年定期开放债券型发起式证券投资基金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中国光大银行股份有限公司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18</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嘉实稳福混合型证券投资基金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19</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嘉实致享纯债债券型证券投资基金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兴业银行股份有限公司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20</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嘉实致业一年定期开放纯债债券型发起式证券投资基金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兴业银行股份有限公司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21</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嘉实丰益策略定期开放债券型证券投资基金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交通银行股份有限公司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22</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嘉实新起点灵活配置混合型证券投资基金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交通银行股份有限公司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23</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嘉实稳荣债券型证券投资基金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交通银行股份有限公司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24</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嘉实新添益定期开放混合型证券投资基金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交通银行股份有限公司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25</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嘉实商业银行精选债券型证券投资基金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徽商银行股份有限公司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26</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嘉实致华纯债债券型证券投资基金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华夏银行股份有限公司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27</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嘉实安泽一年定期开放纯债债券型发起式证券投资基金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杭州银行股份有限公司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28</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嘉实致嘉纯债债券型证券投资基金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杭州银行股份有限公司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29</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嘉实稳鑫纯债债券型证券投资基金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中信银行股份有限公司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30</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嘉实致信一年定期开放纯债债券型发起式证券投资基金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中信银行股份有限公司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31</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嘉实丰安</w:t>
            </w:r>
            <w:r w:rsidRPr="00736F30">
              <w:rPr>
                <w:rFonts w:ascii="Arial" w:eastAsia="宋体" w:hAnsi="Arial" w:cs="Arial"/>
                <w:kern w:val="0"/>
                <w:sz w:val="20"/>
                <w:szCs w:val="20"/>
              </w:rPr>
              <w:t>6</w:t>
            </w:r>
            <w:r w:rsidRPr="00736F30">
              <w:rPr>
                <w:rFonts w:ascii="Arial" w:eastAsia="宋体" w:hAnsi="Arial" w:cs="Arial"/>
                <w:kern w:val="0"/>
                <w:sz w:val="20"/>
                <w:szCs w:val="20"/>
              </w:rPr>
              <w:t>个月定期开放债券型证券投资基金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中国邮政储蓄银行股份有限公司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32</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嘉实新添荣定期开放灵活配置混合型证券投资基金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中国邮政储蓄银行股份有限公司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33</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嘉实新思路灵活配置混合型证券投资基金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中国民生银行股份有限公司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34</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嘉实新优选灵活配置混合型证券投资基金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中国民生银行股份有限公司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35</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嘉实新财富灵活配置混合型证券投资基金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中国民生银行股份有限公司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36</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嘉实新起航灵活配置混合型证券投资基金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中国民生银行股份有限公司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37</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嘉实汇达中短债债券型证券投资基金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中国民生银行股份有限公司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38</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嘉实如意宝定期开放债券型证券投资基金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中国建设银行股份有限公司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39</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嘉实领航资产配置混合型基金中基金</w:t>
            </w:r>
            <w:r w:rsidRPr="00736F30">
              <w:rPr>
                <w:rFonts w:ascii="Arial" w:eastAsia="宋体" w:hAnsi="Arial" w:cs="Arial"/>
                <w:kern w:val="0"/>
                <w:sz w:val="20"/>
                <w:szCs w:val="20"/>
              </w:rPr>
              <w:t>(FOF)</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中国建设银行股份有限公司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40</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嘉实润和量化</w:t>
            </w:r>
            <w:r w:rsidRPr="00736F30">
              <w:rPr>
                <w:rFonts w:ascii="Arial" w:eastAsia="宋体" w:hAnsi="Arial" w:cs="Arial"/>
                <w:kern w:val="0"/>
                <w:sz w:val="20"/>
                <w:szCs w:val="20"/>
              </w:rPr>
              <w:t>6</w:t>
            </w:r>
            <w:r w:rsidRPr="00736F30">
              <w:rPr>
                <w:rFonts w:ascii="Arial" w:eastAsia="宋体" w:hAnsi="Arial" w:cs="Arial"/>
                <w:kern w:val="0"/>
                <w:sz w:val="20"/>
                <w:szCs w:val="20"/>
              </w:rPr>
              <w:t>个月定期开放混合型证券投资基金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中国建设银行股份有限公司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41</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嘉实彭博巴克莱国开行债券</w:t>
            </w:r>
            <w:r w:rsidRPr="00736F30">
              <w:rPr>
                <w:rFonts w:ascii="Arial" w:eastAsia="宋体" w:hAnsi="Arial" w:cs="Arial"/>
                <w:kern w:val="0"/>
                <w:sz w:val="20"/>
                <w:szCs w:val="20"/>
              </w:rPr>
              <w:t>1-5</w:t>
            </w:r>
            <w:r w:rsidRPr="00736F30">
              <w:rPr>
                <w:rFonts w:ascii="Arial" w:eastAsia="宋体" w:hAnsi="Arial" w:cs="Arial"/>
                <w:kern w:val="0"/>
                <w:sz w:val="20"/>
                <w:szCs w:val="20"/>
              </w:rPr>
              <w:t>年指数证券投资基金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中国建设银行股份有限公司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42</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嘉实纯债债券型发起式证券投资基金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中国建设银行股份有限公司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43</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嘉实稳宏债券型证券投资基金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44</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嘉实润泽量化一年定期开放混合型证券投资基金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45</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嘉实汇鑫中短债债券型证券投资基金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46</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嘉实稳固收益债券型证券投资基金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47</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嘉实增强信用定期开放债券型证券投资基金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48</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嘉实新添华定期开放混合型证券投资基金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49</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嘉实新添泽定期开放混合型证券投资基金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50</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嘉实稳联纯债债券型证券投资基金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51</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嘉实多元收益债券型证券投资基金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中国工商银行股份有限公司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52</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嘉实新趋势灵活配置混合型证券投资基金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招商银行股份有限公司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53</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嘉实稳元纯债债券型证券投资基金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招商银行股份有限公司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54</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嘉实稳怡债券型证券投资基金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招商银行股份有限公司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55</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嘉实稳华纯债债券型证券投资基金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招商银行股份有限公司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56</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嘉实中短债债券型证券投资基金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招商银行股份有限公司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57</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嘉实中债</w:t>
            </w:r>
            <w:r w:rsidRPr="00736F30">
              <w:rPr>
                <w:rFonts w:ascii="Arial" w:eastAsia="宋体" w:hAnsi="Arial" w:cs="Arial"/>
                <w:kern w:val="0"/>
                <w:sz w:val="20"/>
                <w:szCs w:val="20"/>
              </w:rPr>
              <w:t>3-5</w:t>
            </w:r>
            <w:r w:rsidRPr="00736F30">
              <w:rPr>
                <w:rFonts w:ascii="Arial" w:eastAsia="宋体" w:hAnsi="Arial" w:cs="Arial"/>
                <w:kern w:val="0"/>
                <w:sz w:val="20"/>
                <w:szCs w:val="20"/>
              </w:rPr>
              <w:t>年国开行债券指数证券投资基金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招商银行股份有限公司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58</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嘉实多利收益债券型证券投资基金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招商银行股份有限公司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59</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嘉实致盈债券型证券投资基金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上海浦东发展银行股份有限公司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60</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嘉实致禄</w:t>
            </w:r>
            <w:r w:rsidRPr="00736F30">
              <w:rPr>
                <w:rFonts w:ascii="Arial" w:eastAsia="宋体" w:hAnsi="Arial" w:cs="Arial"/>
                <w:kern w:val="0"/>
                <w:sz w:val="20"/>
                <w:szCs w:val="20"/>
              </w:rPr>
              <w:t>3</w:t>
            </w:r>
            <w:r w:rsidRPr="00736F30">
              <w:rPr>
                <w:rFonts w:ascii="Arial" w:eastAsia="宋体" w:hAnsi="Arial" w:cs="Arial"/>
                <w:kern w:val="0"/>
                <w:sz w:val="20"/>
                <w:szCs w:val="20"/>
              </w:rPr>
              <w:t>个月定期开放纯债债券型发起式证券投资基金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上海浦东发展银行股份有限公司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61</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嘉实安元</w:t>
            </w:r>
            <w:r w:rsidRPr="00736F30">
              <w:rPr>
                <w:rFonts w:ascii="Arial" w:eastAsia="宋体" w:hAnsi="Arial" w:cs="Arial"/>
                <w:kern w:val="0"/>
                <w:sz w:val="20"/>
                <w:szCs w:val="20"/>
              </w:rPr>
              <w:t>39</w:t>
            </w:r>
            <w:r w:rsidRPr="00736F30">
              <w:rPr>
                <w:rFonts w:ascii="Arial" w:eastAsia="宋体" w:hAnsi="Arial" w:cs="Arial"/>
                <w:kern w:val="0"/>
                <w:sz w:val="20"/>
                <w:szCs w:val="20"/>
              </w:rPr>
              <w:t>个月定期开放纯债债券型证券投资基金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上海浦东发展银行股份有限公司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62</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嘉实稳盛债券型证券投资基金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平安银行股份有限公司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63</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嘉实致安</w:t>
            </w:r>
            <w:r w:rsidRPr="00736F30">
              <w:rPr>
                <w:rFonts w:ascii="Arial" w:eastAsia="宋体" w:hAnsi="Arial" w:cs="Arial"/>
                <w:kern w:val="0"/>
                <w:sz w:val="20"/>
                <w:szCs w:val="20"/>
              </w:rPr>
              <w:t>3</w:t>
            </w:r>
            <w:r w:rsidRPr="00736F30">
              <w:rPr>
                <w:rFonts w:ascii="Arial" w:eastAsia="宋体" w:hAnsi="Arial" w:cs="Arial"/>
                <w:kern w:val="0"/>
                <w:sz w:val="20"/>
                <w:szCs w:val="20"/>
              </w:rPr>
              <w:t>个月定期开放债券型发起式证券投资基金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平安银行股份有限公司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64</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嘉实致宁</w:t>
            </w:r>
            <w:r w:rsidRPr="00736F30">
              <w:rPr>
                <w:rFonts w:ascii="Arial" w:eastAsia="宋体" w:hAnsi="Arial" w:cs="Arial"/>
                <w:kern w:val="0"/>
                <w:sz w:val="20"/>
                <w:szCs w:val="20"/>
              </w:rPr>
              <w:t>3</w:t>
            </w:r>
            <w:r w:rsidRPr="00736F30">
              <w:rPr>
                <w:rFonts w:ascii="Arial" w:eastAsia="宋体" w:hAnsi="Arial" w:cs="Arial"/>
                <w:kern w:val="0"/>
                <w:sz w:val="20"/>
                <w:szCs w:val="20"/>
              </w:rPr>
              <w:t>个月定期开放纯债债券型证券投资基金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南京银行股份有限公司</w:t>
            </w:r>
          </w:p>
        </w:tc>
      </w:tr>
      <w:tr w:rsidR="00EC2F21" w:rsidRPr="00736F30"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65</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嘉实增长开放式证券投资基金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r w:rsidR="00EC2F21" w:rsidRPr="00EC2F21" w:rsidTr="00EC2F21">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C2F21" w:rsidRPr="00736F30" w:rsidRDefault="00EC2F21" w:rsidP="00EC2F21">
            <w:pPr>
              <w:widowControl/>
              <w:jc w:val="right"/>
              <w:rPr>
                <w:rFonts w:ascii="Arial" w:eastAsia="宋体" w:hAnsi="Arial" w:cs="Arial"/>
                <w:kern w:val="0"/>
                <w:sz w:val="20"/>
                <w:szCs w:val="20"/>
              </w:rPr>
            </w:pPr>
            <w:r w:rsidRPr="00736F30">
              <w:rPr>
                <w:rFonts w:ascii="Arial" w:eastAsia="宋体" w:hAnsi="Arial" w:cs="Arial"/>
                <w:kern w:val="0"/>
                <w:sz w:val="20"/>
                <w:szCs w:val="20"/>
              </w:rPr>
              <w:t>66</w:t>
            </w:r>
          </w:p>
        </w:tc>
        <w:tc>
          <w:tcPr>
            <w:tcW w:w="5440" w:type="dxa"/>
            <w:tcBorders>
              <w:top w:val="nil"/>
              <w:left w:val="nil"/>
              <w:bottom w:val="single" w:sz="8" w:space="0" w:color="auto"/>
              <w:right w:val="single" w:sz="8" w:space="0" w:color="auto"/>
            </w:tcBorders>
            <w:shd w:val="clear" w:color="auto" w:fill="auto"/>
            <w:noWrap/>
            <w:vAlign w:val="bottom"/>
            <w:hideMark/>
          </w:tcPr>
          <w:p w:rsidR="00EC2F21" w:rsidRPr="00736F30"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嘉实稳健开放式证券投资基金</w:t>
            </w:r>
          </w:p>
        </w:tc>
        <w:tc>
          <w:tcPr>
            <w:tcW w:w="3140" w:type="dxa"/>
            <w:tcBorders>
              <w:top w:val="nil"/>
              <w:left w:val="nil"/>
              <w:bottom w:val="single" w:sz="8" w:space="0" w:color="auto"/>
              <w:right w:val="single" w:sz="8" w:space="0" w:color="auto"/>
            </w:tcBorders>
            <w:shd w:val="clear" w:color="auto" w:fill="auto"/>
            <w:noWrap/>
            <w:vAlign w:val="bottom"/>
            <w:hideMark/>
          </w:tcPr>
          <w:p w:rsidR="00EC2F21" w:rsidRPr="00EC2F21" w:rsidRDefault="00EC2F21" w:rsidP="00EC2F21">
            <w:pPr>
              <w:widowControl/>
              <w:jc w:val="left"/>
              <w:rPr>
                <w:rFonts w:ascii="Arial" w:eastAsia="宋体" w:hAnsi="Arial" w:cs="Arial"/>
                <w:kern w:val="0"/>
                <w:sz w:val="20"/>
                <w:szCs w:val="20"/>
              </w:rPr>
            </w:pPr>
            <w:r w:rsidRPr="00736F30">
              <w:rPr>
                <w:rFonts w:ascii="Arial" w:eastAsia="宋体" w:hAnsi="Arial" w:cs="Arial"/>
                <w:kern w:val="0"/>
                <w:sz w:val="20"/>
                <w:szCs w:val="20"/>
              </w:rPr>
              <w:t>中国银行股份有限公司</w:t>
            </w:r>
          </w:p>
        </w:tc>
      </w:tr>
    </w:tbl>
    <w:p w:rsidR="008150C7" w:rsidRPr="00EC2F21" w:rsidRDefault="008150C7" w:rsidP="00554A1D">
      <w:pPr>
        <w:spacing w:line="360" w:lineRule="auto"/>
        <w:rPr>
          <w:rFonts w:ascii="Times New Roman" w:eastAsia="宋体" w:hAnsi="Times New Roman"/>
          <w:b/>
          <w:sz w:val="24"/>
        </w:rPr>
      </w:pPr>
    </w:p>
    <w:sectPr w:rsidR="008150C7" w:rsidRPr="00EC2F21" w:rsidSect="00554A1D">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3D1" w:rsidRDefault="00D863D1" w:rsidP="005C23A6">
      <w:r>
        <w:separator/>
      </w:r>
    </w:p>
  </w:endnote>
  <w:endnote w:type="continuationSeparator" w:id="0">
    <w:p w:rsidR="00D863D1" w:rsidRDefault="00D863D1" w:rsidP="005C2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3D1" w:rsidRDefault="00D863D1" w:rsidP="005C23A6">
      <w:r>
        <w:separator/>
      </w:r>
    </w:p>
  </w:footnote>
  <w:footnote w:type="continuationSeparator" w:id="0">
    <w:p w:rsidR="00D863D1" w:rsidRDefault="00D863D1" w:rsidP="005C2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35E55B6"/>
    <w:multiLevelType w:val="hybridMultilevel"/>
    <w:tmpl w:val="FFF273B0"/>
    <w:lvl w:ilvl="0" w:tplc="8D58ED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EA5139"/>
    <w:multiLevelType w:val="hybridMultilevel"/>
    <w:tmpl w:val="51C0AB24"/>
    <w:lvl w:ilvl="0" w:tplc="0A1E5E54">
      <w:start w:val="1"/>
      <w:numFmt w:val="japaneseCounting"/>
      <w:lvlText w:val="（%1）"/>
      <w:lvlJc w:val="left"/>
      <w:pPr>
        <w:ind w:left="840" w:hanging="8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A824F8B"/>
    <w:multiLevelType w:val="hybridMultilevel"/>
    <w:tmpl w:val="716487F0"/>
    <w:lvl w:ilvl="0" w:tplc="AF4463AE">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AE6C71"/>
    <w:multiLevelType w:val="hybridMultilevel"/>
    <w:tmpl w:val="C56C4B5A"/>
    <w:lvl w:ilvl="0" w:tplc="6C70A6F6">
      <w:start w:val="1"/>
      <w:numFmt w:val="japaneseCounting"/>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D7433E"/>
    <w:multiLevelType w:val="hybridMultilevel"/>
    <w:tmpl w:val="FED02D60"/>
    <w:lvl w:ilvl="0" w:tplc="96FCCB6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E0620D"/>
    <w:multiLevelType w:val="hybridMultilevel"/>
    <w:tmpl w:val="9A2C13D2"/>
    <w:lvl w:ilvl="0" w:tplc="88B27ABA">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1FF06BDF"/>
    <w:multiLevelType w:val="hybridMultilevel"/>
    <w:tmpl w:val="2AE872A0"/>
    <w:lvl w:ilvl="0" w:tplc="07F49F7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21481D"/>
    <w:multiLevelType w:val="hybridMultilevel"/>
    <w:tmpl w:val="0390F482"/>
    <w:lvl w:ilvl="0" w:tplc="4D8A1D00">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1B395A"/>
    <w:multiLevelType w:val="hybridMultilevel"/>
    <w:tmpl w:val="71F2DC70"/>
    <w:lvl w:ilvl="0" w:tplc="AE40698A">
      <w:start w:val="14"/>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3F40425"/>
    <w:multiLevelType w:val="hybridMultilevel"/>
    <w:tmpl w:val="1EF059CE"/>
    <w:lvl w:ilvl="0" w:tplc="1466D2A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EA0625"/>
    <w:multiLevelType w:val="hybridMultilevel"/>
    <w:tmpl w:val="031ED486"/>
    <w:lvl w:ilvl="0" w:tplc="13841E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F03CE"/>
    <w:multiLevelType w:val="hybridMultilevel"/>
    <w:tmpl w:val="B5B0C2DE"/>
    <w:lvl w:ilvl="0" w:tplc="028ABF56">
      <w:start w:val="58"/>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B962F9"/>
    <w:multiLevelType w:val="hybridMultilevel"/>
    <w:tmpl w:val="D728DB68"/>
    <w:lvl w:ilvl="0" w:tplc="D46A6ED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943C6A"/>
    <w:multiLevelType w:val="hybridMultilevel"/>
    <w:tmpl w:val="583EA554"/>
    <w:lvl w:ilvl="0" w:tplc="0EBA70D6">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616668"/>
    <w:multiLevelType w:val="hybridMultilevel"/>
    <w:tmpl w:val="4B88176C"/>
    <w:lvl w:ilvl="0" w:tplc="A146A820">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802EAA"/>
    <w:multiLevelType w:val="hybridMultilevel"/>
    <w:tmpl w:val="9A204640"/>
    <w:lvl w:ilvl="0" w:tplc="B902F56A">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17292D"/>
    <w:multiLevelType w:val="hybridMultilevel"/>
    <w:tmpl w:val="2F3C8168"/>
    <w:lvl w:ilvl="0" w:tplc="692E678E">
      <w:start w:val="1"/>
      <w:numFmt w:val="japaneseCounting"/>
      <w:lvlText w:val="%1、"/>
      <w:lvlJc w:val="left"/>
      <w:pPr>
        <w:ind w:left="439" w:hanging="4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C17D05"/>
    <w:multiLevelType w:val="hybridMultilevel"/>
    <w:tmpl w:val="6A50DAA4"/>
    <w:lvl w:ilvl="0" w:tplc="77BE1EC2">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39DD199F"/>
    <w:multiLevelType w:val="hybridMultilevel"/>
    <w:tmpl w:val="16AC473A"/>
    <w:lvl w:ilvl="0" w:tplc="12F6AE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1849E1"/>
    <w:multiLevelType w:val="hybridMultilevel"/>
    <w:tmpl w:val="0E7286B4"/>
    <w:lvl w:ilvl="0" w:tplc="E7EA8162">
      <w:start w:val="59"/>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EF2187"/>
    <w:multiLevelType w:val="hybridMultilevel"/>
    <w:tmpl w:val="358A62F0"/>
    <w:lvl w:ilvl="0" w:tplc="4FEEB0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4F3DF1"/>
    <w:multiLevelType w:val="hybridMultilevel"/>
    <w:tmpl w:val="E3FE21D8"/>
    <w:lvl w:ilvl="0" w:tplc="78B4F4FA">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F93568"/>
    <w:multiLevelType w:val="hybridMultilevel"/>
    <w:tmpl w:val="71740FDA"/>
    <w:lvl w:ilvl="0" w:tplc="BA106B44">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DC2CAD"/>
    <w:multiLevelType w:val="hybridMultilevel"/>
    <w:tmpl w:val="86E6B148"/>
    <w:lvl w:ilvl="0" w:tplc="01A8F7A2">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145356"/>
    <w:multiLevelType w:val="hybridMultilevel"/>
    <w:tmpl w:val="625E39E2"/>
    <w:lvl w:ilvl="0" w:tplc="CE1201C6">
      <w:start w:val="58"/>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0DA0D65"/>
    <w:multiLevelType w:val="hybridMultilevel"/>
    <w:tmpl w:val="6D6AF8D0"/>
    <w:lvl w:ilvl="0" w:tplc="CE2A9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1B3A66"/>
    <w:multiLevelType w:val="hybridMultilevel"/>
    <w:tmpl w:val="EC646902"/>
    <w:lvl w:ilvl="0" w:tplc="1382E2B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12662E"/>
    <w:multiLevelType w:val="hybridMultilevel"/>
    <w:tmpl w:val="5854FC36"/>
    <w:lvl w:ilvl="0" w:tplc="AB3A567C">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8191115"/>
    <w:multiLevelType w:val="multilevel"/>
    <w:tmpl w:val="5819111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5DEB4358"/>
    <w:multiLevelType w:val="hybridMultilevel"/>
    <w:tmpl w:val="14CA0F0E"/>
    <w:lvl w:ilvl="0" w:tplc="EAFC8AA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693F94"/>
    <w:multiLevelType w:val="hybridMultilevel"/>
    <w:tmpl w:val="E7DEEA16"/>
    <w:lvl w:ilvl="0" w:tplc="2A4AC206">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F7E3544"/>
    <w:multiLevelType w:val="hybridMultilevel"/>
    <w:tmpl w:val="6F6AB2F2"/>
    <w:lvl w:ilvl="0" w:tplc="5DF03C8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18028F5"/>
    <w:multiLevelType w:val="hybridMultilevel"/>
    <w:tmpl w:val="EF56626E"/>
    <w:lvl w:ilvl="0" w:tplc="D2D86764">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1B526EE"/>
    <w:multiLevelType w:val="hybridMultilevel"/>
    <w:tmpl w:val="AEB046BE"/>
    <w:lvl w:ilvl="0" w:tplc="522E05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23A0669"/>
    <w:multiLevelType w:val="hybridMultilevel"/>
    <w:tmpl w:val="031ED486"/>
    <w:lvl w:ilvl="0" w:tplc="13841E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2D65565"/>
    <w:multiLevelType w:val="hybridMultilevel"/>
    <w:tmpl w:val="2F3C8168"/>
    <w:lvl w:ilvl="0" w:tplc="692E678E">
      <w:start w:val="1"/>
      <w:numFmt w:val="japaneseCounting"/>
      <w:lvlText w:val="%1、"/>
      <w:lvlJc w:val="left"/>
      <w:pPr>
        <w:ind w:left="439" w:hanging="4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2F7411B"/>
    <w:multiLevelType w:val="hybridMultilevel"/>
    <w:tmpl w:val="E2B617AE"/>
    <w:lvl w:ilvl="0" w:tplc="2248B00A">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5B4187"/>
    <w:multiLevelType w:val="hybridMultilevel"/>
    <w:tmpl w:val="0434A930"/>
    <w:lvl w:ilvl="0" w:tplc="42D8C408">
      <w:start w:val="3"/>
      <w:numFmt w:val="japaneseCounting"/>
      <w:lvlText w:val="%1、"/>
      <w:lvlJc w:val="left"/>
      <w:pPr>
        <w:ind w:left="480" w:hanging="4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nsid w:val="7ACD6E0E"/>
    <w:multiLevelType w:val="hybridMultilevel"/>
    <w:tmpl w:val="89F05288"/>
    <w:lvl w:ilvl="0" w:tplc="A3DE0894">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B4F6767"/>
    <w:multiLevelType w:val="hybridMultilevel"/>
    <w:tmpl w:val="078CEBC8"/>
    <w:lvl w:ilvl="0" w:tplc="72022B0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33"/>
  </w:num>
  <w:num w:numId="3">
    <w:abstractNumId w:val="15"/>
  </w:num>
  <w:num w:numId="4">
    <w:abstractNumId w:val="29"/>
  </w:num>
  <w:num w:numId="5">
    <w:abstractNumId w:val="36"/>
  </w:num>
  <w:num w:numId="6">
    <w:abstractNumId w:val="17"/>
  </w:num>
  <w:num w:numId="7">
    <w:abstractNumId w:val="34"/>
  </w:num>
  <w:num w:numId="8">
    <w:abstractNumId w:val="0"/>
  </w:num>
  <w:num w:numId="9">
    <w:abstractNumId w:val="1"/>
  </w:num>
  <w:num w:numId="10">
    <w:abstractNumId w:val="21"/>
  </w:num>
  <w:num w:numId="11">
    <w:abstractNumId w:val="22"/>
  </w:num>
  <w:num w:numId="12">
    <w:abstractNumId w:val="3"/>
  </w:num>
  <w:num w:numId="13">
    <w:abstractNumId w:val="16"/>
  </w:num>
  <w:num w:numId="14">
    <w:abstractNumId w:val="19"/>
  </w:num>
  <w:num w:numId="15">
    <w:abstractNumId w:val="26"/>
  </w:num>
  <w:num w:numId="16">
    <w:abstractNumId w:val="30"/>
  </w:num>
  <w:num w:numId="17">
    <w:abstractNumId w:val="4"/>
  </w:num>
  <w:num w:numId="18">
    <w:abstractNumId w:val="7"/>
  </w:num>
  <w:num w:numId="19">
    <w:abstractNumId w:val="35"/>
  </w:num>
  <w:num w:numId="20">
    <w:abstractNumId w:val="11"/>
  </w:num>
  <w:num w:numId="21">
    <w:abstractNumId w:val="23"/>
  </w:num>
  <w:num w:numId="22">
    <w:abstractNumId w:val="32"/>
  </w:num>
  <w:num w:numId="23">
    <w:abstractNumId w:val="8"/>
  </w:num>
  <w:num w:numId="24">
    <w:abstractNumId w:val="12"/>
  </w:num>
  <w:num w:numId="25">
    <w:abstractNumId w:val="25"/>
  </w:num>
  <w:num w:numId="26">
    <w:abstractNumId w:val="31"/>
  </w:num>
  <w:num w:numId="27">
    <w:abstractNumId w:val="9"/>
  </w:num>
  <w:num w:numId="28">
    <w:abstractNumId w:val="14"/>
  </w:num>
  <w:num w:numId="29">
    <w:abstractNumId w:val="37"/>
  </w:num>
  <w:num w:numId="30">
    <w:abstractNumId w:val="10"/>
  </w:num>
  <w:num w:numId="31">
    <w:abstractNumId w:val="39"/>
  </w:num>
  <w:num w:numId="32">
    <w:abstractNumId w:val="28"/>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5"/>
  </w:num>
  <w:num w:numId="46">
    <w:abstractNumId w:val="20"/>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0C7"/>
    <w:rsid w:val="000004F1"/>
    <w:rsid w:val="00014FD2"/>
    <w:rsid w:val="00046ACD"/>
    <w:rsid w:val="000753CF"/>
    <w:rsid w:val="00094ED4"/>
    <w:rsid w:val="000A468B"/>
    <w:rsid w:val="000C4C82"/>
    <w:rsid w:val="001364B4"/>
    <w:rsid w:val="00152F11"/>
    <w:rsid w:val="00154D20"/>
    <w:rsid w:val="00176DC1"/>
    <w:rsid w:val="00186A28"/>
    <w:rsid w:val="0019533E"/>
    <w:rsid w:val="00197314"/>
    <w:rsid w:val="001B1D86"/>
    <w:rsid w:val="001B271F"/>
    <w:rsid w:val="001B7E51"/>
    <w:rsid w:val="001E0B4D"/>
    <w:rsid w:val="00204972"/>
    <w:rsid w:val="00204DB1"/>
    <w:rsid w:val="002A4E5F"/>
    <w:rsid w:val="002D5C6D"/>
    <w:rsid w:val="002D7E42"/>
    <w:rsid w:val="002E17BF"/>
    <w:rsid w:val="002F05B3"/>
    <w:rsid w:val="002F44BA"/>
    <w:rsid w:val="002F4BBB"/>
    <w:rsid w:val="00300E7A"/>
    <w:rsid w:val="00304012"/>
    <w:rsid w:val="00310915"/>
    <w:rsid w:val="00310B02"/>
    <w:rsid w:val="00315B22"/>
    <w:rsid w:val="0032275D"/>
    <w:rsid w:val="003312FC"/>
    <w:rsid w:val="00340FC2"/>
    <w:rsid w:val="0038180C"/>
    <w:rsid w:val="003942B6"/>
    <w:rsid w:val="003A2F74"/>
    <w:rsid w:val="003B141B"/>
    <w:rsid w:val="003C4C42"/>
    <w:rsid w:val="004071E5"/>
    <w:rsid w:val="004202CC"/>
    <w:rsid w:val="00465938"/>
    <w:rsid w:val="0046775F"/>
    <w:rsid w:val="004813A8"/>
    <w:rsid w:val="0049585B"/>
    <w:rsid w:val="004B28AC"/>
    <w:rsid w:val="004C52E3"/>
    <w:rsid w:val="004D4756"/>
    <w:rsid w:val="0050736B"/>
    <w:rsid w:val="00541186"/>
    <w:rsid w:val="00554A1D"/>
    <w:rsid w:val="005567C1"/>
    <w:rsid w:val="00562D80"/>
    <w:rsid w:val="005B4EEC"/>
    <w:rsid w:val="005B7455"/>
    <w:rsid w:val="005C23A6"/>
    <w:rsid w:val="005C48A8"/>
    <w:rsid w:val="005C63A6"/>
    <w:rsid w:val="005E2123"/>
    <w:rsid w:val="005F2867"/>
    <w:rsid w:val="00616286"/>
    <w:rsid w:val="006253C3"/>
    <w:rsid w:val="00653F91"/>
    <w:rsid w:val="00676ED0"/>
    <w:rsid w:val="006C1D61"/>
    <w:rsid w:val="006E143A"/>
    <w:rsid w:val="00736F30"/>
    <w:rsid w:val="00741298"/>
    <w:rsid w:val="007B1561"/>
    <w:rsid w:val="007C635B"/>
    <w:rsid w:val="007F7AAC"/>
    <w:rsid w:val="00802490"/>
    <w:rsid w:val="008150C7"/>
    <w:rsid w:val="008257B9"/>
    <w:rsid w:val="008261DE"/>
    <w:rsid w:val="00872E15"/>
    <w:rsid w:val="0087796D"/>
    <w:rsid w:val="00891C8D"/>
    <w:rsid w:val="008944D8"/>
    <w:rsid w:val="008C3AE6"/>
    <w:rsid w:val="008D1808"/>
    <w:rsid w:val="008E2B7F"/>
    <w:rsid w:val="00937586"/>
    <w:rsid w:val="009652C6"/>
    <w:rsid w:val="0098287E"/>
    <w:rsid w:val="00983671"/>
    <w:rsid w:val="009A4564"/>
    <w:rsid w:val="009A6AC4"/>
    <w:rsid w:val="009E1F97"/>
    <w:rsid w:val="00A142C7"/>
    <w:rsid w:val="00A520B5"/>
    <w:rsid w:val="00A80177"/>
    <w:rsid w:val="00A81118"/>
    <w:rsid w:val="00A96600"/>
    <w:rsid w:val="00A971F9"/>
    <w:rsid w:val="00AD6E95"/>
    <w:rsid w:val="00B06AEE"/>
    <w:rsid w:val="00B17009"/>
    <w:rsid w:val="00B531BF"/>
    <w:rsid w:val="00B53478"/>
    <w:rsid w:val="00B66BF3"/>
    <w:rsid w:val="00B7620D"/>
    <w:rsid w:val="00B77958"/>
    <w:rsid w:val="00BA147B"/>
    <w:rsid w:val="00BB3579"/>
    <w:rsid w:val="00C24D80"/>
    <w:rsid w:val="00C30FC2"/>
    <w:rsid w:val="00C452EF"/>
    <w:rsid w:val="00CB6A94"/>
    <w:rsid w:val="00CD40ED"/>
    <w:rsid w:val="00CD616D"/>
    <w:rsid w:val="00CE5654"/>
    <w:rsid w:val="00CE71B7"/>
    <w:rsid w:val="00D2704D"/>
    <w:rsid w:val="00D41607"/>
    <w:rsid w:val="00D739CD"/>
    <w:rsid w:val="00D76C59"/>
    <w:rsid w:val="00D863D1"/>
    <w:rsid w:val="00D90BA4"/>
    <w:rsid w:val="00DE2336"/>
    <w:rsid w:val="00DE568E"/>
    <w:rsid w:val="00DF516C"/>
    <w:rsid w:val="00E13E05"/>
    <w:rsid w:val="00E212B4"/>
    <w:rsid w:val="00E53D25"/>
    <w:rsid w:val="00E57725"/>
    <w:rsid w:val="00E93BAF"/>
    <w:rsid w:val="00EA4BE1"/>
    <w:rsid w:val="00EB48FA"/>
    <w:rsid w:val="00EC2F21"/>
    <w:rsid w:val="00EE364F"/>
    <w:rsid w:val="00F1099B"/>
    <w:rsid w:val="00F34061"/>
    <w:rsid w:val="00F44040"/>
    <w:rsid w:val="00F50E17"/>
    <w:rsid w:val="00F8719E"/>
    <w:rsid w:val="00F96CD3"/>
    <w:rsid w:val="00FC78C8"/>
    <w:rsid w:val="00FD3210"/>
    <w:rsid w:val="00FE2CAD"/>
    <w:rsid w:val="00FE6699"/>
    <w:rsid w:val="00FF0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23A6"/>
    <w:rPr>
      <w:sz w:val="18"/>
      <w:szCs w:val="18"/>
    </w:rPr>
  </w:style>
  <w:style w:type="paragraph" w:styleId="a4">
    <w:name w:val="footer"/>
    <w:basedOn w:val="a"/>
    <w:link w:val="Char0"/>
    <w:uiPriority w:val="99"/>
    <w:unhideWhenUsed/>
    <w:rsid w:val="005C23A6"/>
    <w:pPr>
      <w:tabs>
        <w:tab w:val="center" w:pos="4153"/>
        <w:tab w:val="right" w:pos="8306"/>
      </w:tabs>
      <w:snapToGrid w:val="0"/>
      <w:jc w:val="left"/>
    </w:pPr>
    <w:rPr>
      <w:sz w:val="18"/>
      <w:szCs w:val="18"/>
    </w:rPr>
  </w:style>
  <w:style w:type="character" w:customStyle="1" w:styleId="Char0">
    <w:name w:val="页脚 Char"/>
    <w:basedOn w:val="a0"/>
    <w:link w:val="a4"/>
    <w:uiPriority w:val="99"/>
    <w:rsid w:val="005C23A6"/>
    <w:rPr>
      <w:sz w:val="18"/>
      <w:szCs w:val="18"/>
    </w:rPr>
  </w:style>
  <w:style w:type="paragraph" w:styleId="a5">
    <w:name w:val="Balloon Text"/>
    <w:basedOn w:val="a"/>
    <w:link w:val="Char1"/>
    <w:uiPriority w:val="99"/>
    <w:semiHidden/>
    <w:unhideWhenUsed/>
    <w:rsid w:val="00891C8D"/>
    <w:rPr>
      <w:sz w:val="18"/>
      <w:szCs w:val="18"/>
    </w:rPr>
  </w:style>
  <w:style w:type="character" w:customStyle="1" w:styleId="Char1">
    <w:name w:val="批注框文本 Char"/>
    <w:basedOn w:val="a0"/>
    <w:link w:val="a5"/>
    <w:uiPriority w:val="99"/>
    <w:semiHidden/>
    <w:rsid w:val="00891C8D"/>
    <w:rPr>
      <w:sz w:val="18"/>
      <w:szCs w:val="18"/>
    </w:rPr>
  </w:style>
  <w:style w:type="paragraph" w:styleId="a6">
    <w:name w:val="List Paragraph"/>
    <w:basedOn w:val="a"/>
    <w:uiPriority w:val="34"/>
    <w:qFormat/>
    <w:rsid w:val="002A4E5F"/>
    <w:pPr>
      <w:ind w:firstLineChars="200" w:firstLine="420"/>
    </w:pPr>
  </w:style>
  <w:style w:type="character" w:styleId="a7">
    <w:name w:val="annotation reference"/>
    <w:rsid w:val="009A4564"/>
    <w:rPr>
      <w:sz w:val="21"/>
    </w:rPr>
  </w:style>
  <w:style w:type="paragraph" w:styleId="a8">
    <w:name w:val="annotation text"/>
    <w:basedOn w:val="a"/>
    <w:link w:val="Char2"/>
    <w:rsid w:val="009A4564"/>
    <w:pPr>
      <w:jc w:val="left"/>
    </w:pPr>
    <w:rPr>
      <w:rFonts w:ascii="Times New Roman" w:eastAsia="宋体" w:hAnsi="Times New Roman" w:cs="Times New Roman"/>
      <w:szCs w:val="20"/>
    </w:rPr>
  </w:style>
  <w:style w:type="character" w:customStyle="1" w:styleId="Char2">
    <w:name w:val="批注文字 Char"/>
    <w:basedOn w:val="a0"/>
    <w:link w:val="a8"/>
    <w:rsid w:val="009A4564"/>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094ED4"/>
    <w:rPr>
      <w:rFonts w:asciiTheme="minorHAnsi" w:eastAsiaTheme="minorEastAsia" w:hAnsiTheme="minorHAnsi" w:cstheme="minorBidi"/>
      <w:b/>
      <w:bCs/>
      <w:szCs w:val="22"/>
    </w:rPr>
  </w:style>
  <w:style w:type="character" w:customStyle="1" w:styleId="Char3">
    <w:name w:val="批注主题 Char"/>
    <w:basedOn w:val="Char2"/>
    <w:link w:val="a9"/>
    <w:uiPriority w:val="99"/>
    <w:semiHidden/>
    <w:rsid w:val="00094ED4"/>
    <w:rPr>
      <w:rFonts w:ascii="Times New Roman" w:eastAsia="宋体" w:hAnsi="Times New Roman" w:cs="Times New Roman"/>
      <w:b/>
      <w:bCs/>
      <w:szCs w:val="20"/>
    </w:rPr>
  </w:style>
  <w:style w:type="paragraph" w:styleId="aa">
    <w:name w:val="Revision"/>
    <w:hidden/>
    <w:uiPriority w:val="99"/>
    <w:semiHidden/>
    <w:rsid w:val="00094ED4"/>
  </w:style>
  <w:style w:type="paragraph" w:customStyle="1" w:styleId="CharChar">
    <w:name w:val="Char Char"/>
    <w:basedOn w:val="a"/>
    <w:rsid w:val="004B28AC"/>
    <w:rPr>
      <w:rFonts w:ascii="Times New Roman" w:eastAsia="宋体" w:hAnsi="Times New Roman" w:cs="Times New Roman"/>
      <w:szCs w:val="20"/>
    </w:rPr>
  </w:style>
  <w:style w:type="character" w:customStyle="1" w:styleId="Char4">
    <w:name w:val="正文文本缩进 Char"/>
    <w:link w:val="ab"/>
    <w:rsid w:val="004B28AC"/>
    <w:rPr>
      <w:rFonts w:ascii="宋体"/>
    </w:rPr>
  </w:style>
  <w:style w:type="paragraph" w:styleId="ab">
    <w:name w:val="Body Text Indent"/>
    <w:basedOn w:val="a"/>
    <w:link w:val="Char4"/>
    <w:rsid w:val="004B28AC"/>
    <w:pPr>
      <w:autoSpaceDE w:val="0"/>
      <w:autoSpaceDN w:val="0"/>
      <w:adjustRightInd w:val="0"/>
      <w:spacing w:after="120" w:line="440" w:lineRule="atLeast"/>
      <w:ind w:firstLine="539"/>
    </w:pPr>
    <w:rPr>
      <w:rFonts w:ascii="宋体"/>
    </w:rPr>
  </w:style>
  <w:style w:type="character" w:customStyle="1" w:styleId="Char10">
    <w:name w:val="正文文本缩进 Char1"/>
    <w:basedOn w:val="a0"/>
    <w:uiPriority w:val="99"/>
    <w:semiHidden/>
    <w:rsid w:val="004B28AC"/>
  </w:style>
  <w:style w:type="paragraph" w:customStyle="1" w:styleId="Default">
    <w:name w:val="Default"/>
    <w:rsid w:val="004B28AC"/>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2"/>
    <w:basedOn w:val="a"/>
    <w:link w:val="2Char"/>
    <w:uiPriority w:val="99"/>
    <w:semiHidden/>
    <w:unhideWhenUsed/>
    <w:rsid w:val="00310B02"/>
    <w:pPr>
      <w:spacing w:after="120" w:line="480" w:lineRule="auto"/>
    </w:pPr>
  </w:style>
  <w:style w:type="character" w:customStyle="1" w:styleId="2Char">
    <w:name w:val="正文文本 2 Char"/>
    <w:basedOn w:val="a0"/>
    <w:link w:val="2"/>
    <w:uiPriority w:val="99"/>
    <w:semiHidden/>
    <w:rsid w:val="00310B02"/>
  </w:style>
  <w:style w:type="character" w:styleId="ac">
    <w:name w:val="Strong"/>
    <w:qFormat/>
    <w:rsid w:val="00310B02"/>
    <w:rPr>
      <w:b/>
      <w:bCs/>
    </w:rPr>
  </w:style>
  <w:style w:type="paragraph" w:customStyle="1" w:styleId="ad">
    <w:name w:val="正文所"/>
    <w:basedOn w:val="a"/>
    <w:rsid w:val="00310B02"/>
    <w:pPr>
      <w:spacing w:line="360" w:lineRule="auto"/>
      <w:ind w:firstLineChars="200" w:firstLine="420"/>
    </w:pPr>
    <w:rPr>
      <w:rFonts w:ascii="Times New Roman" w:eastAsia="宋体" w:hAnsi="Times New Roman" w:cs="Times New Roman"/>
      <w:szCs w:val="24"/>
    </w:rPr>
  </w:style>
  <w:style w:type="paragraph" w:styleId="ae">
    <w:name w:val="Subtitle"/>
    <w:basedOn w:val="a"/>
    <w:next w:val="a"/>
    <w:link w:val="Char5"/>
    <w:uiPriority w:val="11"/>
    <w:qFormat/>
    <w:rsid w:val="00310B0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e"/>
    <w:uiPriority w:val="11"/>
    <w:rsid w:val="00310B02"/>
    <w:rPr>
      <w:rFonts w:asciiTheme="majorHAnsi" w:eastAsia="宋体" w:hAnsiTheme="majorHAnsi" w:cstheme="majorBidi"/>
      <w:b/>
      <w:bCs/>
      <w:kern w:val="28"/>
      <w:sz w:val="32"/>
      <w:szCs w:val="32"/>
    </w:rPr>
  </w:style>
  <w:style w:type="character" w:customStyle="1" w:styleId="unnamed11">
    <w:name w:val="unnamed11"/>
    <w:rsid w:val="00310B02"/>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divs>
    <w:div w:id="191651197">
      <w:bodyDiv w:val="1"/>
      <w:marLeft w:val="0"/>
      <w:marRight w:val="0"/>
      <w:marTop w:val="0"/>
      <w:marBottom w:val="0"/>
      <w:divBdr>
        <w:top w:val="none" w:sz="0" w:space="0" w:color="auto"/>
        <w:left w:val="none" w:sz="0" w:space="0" w:color="auto"/>
        <w:bottom w:val="none" w:sz="0" w:space="0" w:color="auto"/>
        <w:right w:val="none" w:sz="0" w:space="0" w:color="auto"/>
      </w:divBdr>
    </w:div>
    <w:div w:id="193345566">
      <w:bodyDiv w:val="1"/>
      <w:marLeft w:val="0"/>
      <w:marRight w:val="0"/>
      <w:marTop w:val="0"/>
      <w:marBottom w:val="0"/>
      <w:divBdr>
        <w:top w:val="none" w:sz="0" w:space="0" w:color="auto"/>
        <w:left w:val="none" w:sz="0" w:space="0" w:color="auto"/>
        <w:bottom w:val="none" w:sz="0" w:space="0" w:color="auto"/>
        <w:right w:val="none" w:sz="0" w:space="0" w:color="auto"/>
      </w:divBdr>
    </w:div>
    <w:div w:id="620652816">
      <w:bodyDiv w:val="1"/>
      <w:marLeft w:val="0"/>
      <w:marRight w:val="0"/>
      <w:marTop w:val="0"/>
      <w:marBottom w:val="0"/>
      <w:divBdr>
        <w:top w:val="none" w:sz="0" w:space="0" w:color="auto"/>
        <w:left w:val="none" w:sz="0" w:space="0" w:color="auto"/>
        <w:bottom w:val="none" w:sz="0" w:space="0" w:color="auto"/>
        <w:right w:val="none" w:sz="0" w:space="0" w:color="auto"/>
      </w:divBdr>
    </w:div>
    <w:div w:id="835917432">
      <w:bodyDiv w:val="1"/>
      <w:marLeft w:val="0"/>
      <w:marRight w:val="0"/>
      <w:marTop w:val="0"/>
      <w:marBottom w:val="0"/>
      <w:divBdr>
        <w:top w:val="none" w:sz="0" w:space="0" w:color="auto"/>
        <w:left w:val="none" w:sz="0" w:space="0" w:color="auto"/>
        <w:bottom w:val="none" w:sz="0" w:space="0" w:color="auto"/>
        <w:right w:val="none" w:sz="0" w:space="0" w:color="auto"/>
      </w:divBdr>
    </w:div>
    <w:div w:id="855773961">
      <w:bodyDiv w:val="1"/>
      <w:marLeft w:val="0"/>
      <w:marRight w:val="0"/>
      <w:marTop w:val="0"/>
      <w:marBottom w:val="0"/>
      <w:divBdr>
        <w:top w:val="none" w:sz="0" w:space="0" w:color="auto"/>
        <w:left w:val="none" w:sz="0" w:space="0" w:color="auto"/>
        <w:bottom w:val="none" w:sz="0" w:space="0" w:color="auto"/>
        <w:right w:val="none" w:sz="0" w:space="0" w:color="auto"/>
      </w:divBdr>
    </w:div>
    <w:div w:id="2029595884">
      <w:bodyDiv w:val="1"/>
      <w:marLeft w:val="0"/>
      <w:marRight w:val="0"/>
      <w:marTop w:val="0"/>
      <w:marBottom w:val="0"/>
      <w:divBdr>
        <w:top w:val="none" w:sz="0" w:space="0" w:color="auto"/>
        <w:left w:val="none" w:sz="0" w:space="0" w:color="auto"/>
        <w:bottom w:val="none" w:sz="0" w:space="0" w:color="auto"/>
        <w:right w:val="none" w:sz="0" w:space="0" w:color="auto"/>
      </w:divBdr>
    </w:div>
    <w:div w:id="21192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0183-8541-4DB1-8353-538BE8F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4</DocSecurity>
  <Lines>37</Lines>
  <Paragraphs>10</Paragraphs>
  <ScaleCrop>false</ScaleCrop>
  <Company>Harvest Fund</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关于根据《公开募集证券投资基金信息披露管理办法》修改嘉实3个月理财债券证券投资基金及嘉实6个月理财债券型证券投资基金基金合同及托管协议的公告</dc:title>
  <dc:subject/>
  <dc:creator>史彦琼</dc:creator>
  <cp:keywords/>
  <dc:description/>
  <cp:lastModifiedBy>ZHONGM</cp:lastModifiedBy>
  <cp:revision>2</cp:revision>
  <cp:lastPrinted>2020-01-16T07:24:00Z</cp:lastPrinted>
  <dcterms:created xsi:type="dcterms:W3CDTF">2021-04-27T18:01:00Z</dcterms:created>
  <dcterms:modified xsi:type="dcterms:W3CDTF">2021-04-27T18:01:00Z</dcterms:modified>
</cp:coreProperties>
</file>