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79" w:rsidRDefault="009F1179" w:rsidP="00286A91">
      <w:pPr>
        <w:widowControl/>
        <w:shd w:val="clear" w:color="auto" w:fill="FFFFFF"/>
        <w:adjustRightInd w:val="0"/>
        <w:snapToGrid w:val="0"/>
        <w:spacing w:line="360" w:lineRule="auto"/>
        <w:jc w:val="center"/>
        <w:rPr>
          <w:rFonts w:ascii="黑体" w:eastAsia="黑体" w:hAnsi="黑体" w:cs="Arial"/>
          <w:b/>
          <w:color w:val="1F497D"/>
          <w:kern w:val="0"/>
          <w:sz w:val="30"/>
          <w:szCs w:val="30"/>
        </w:rPr>
      </w:pPr>
      <w:r w:rsidRPr="009F1179">
        <w:rPr>
          <w:rFonts w:ascii="黑体" w:eastAsia="黑体" w:hAnsi="黑体" w:cs="Arial" w:hint="eastAsia"/>
          <w:b/>
          <w:color w:val="1F497D"/>
          <w:kern w:val="0"/>
          <w:sz w:val="30"/>
          <w:szCs w:val="30"/>
        </w:rPr>
        <w:t>前海开源</w:t>
      </w:r>
      <w:r w:rsidR="00777E77">
        <w:rPr>
          <w:rFonts w:ascii="黑体" w:eastAsia="黑体" w:hAnsi="黑体" w:cs="Arial" w:hint="eastAsia"/>
          <w:b/>
          <w:color w:val="1F497D"/>
          <w:kern w:val="0"/>
          <w:sz w:val="30"/>
          <w:szCs w:val="30"/>
        </w:rPr>
        <w:t>基金管理有限公司</w:t>
      </w:r>
      <w:r w:rsidR="00777E77" w:rsidRPr="009F1179">
        <w:rPr>
          <w:rFonts w:ascii="黑体" w:eastAsia="黑体" w:hAnsi="黑体" w:cs="Arial" w:hint="eastAsia"/>
          <w:b/>
          <w:color w:val="1F497D"/>
          <w:kern w:val="0"/>
          <w:sz w:val="30"/>
          <w:szCs w:val="30"/>
        </w:rPr>
        <w:t>关于调整</w:t>
      </w:r>
      <w:r w:rsidR="00813727">
        <w:rPr>
          <w:rFonts w:ascii="黑体" w:eastAsia="黑体" w:hAnsi="黑体" w:cs="Arial" w:hint="eastAsia"/>
          <w:b/>
          <w:color w:val="1F497D"/>
          <w:kern w:val="0"/>
          <w:sz w:val="30"/>
          <w:szCs w:val="30"/>
        </w:rPr>
        <w:t>旗下部分</w:t>
      </w:r>
      <w:r w:rsidRPr="009F1179">
        <w:rPr>
          <w:rFonts w:ascii="黑体" w:eastAsia="黑体" w:hAnsi="黑体" w:cs="Arial" w:hint="eastAsia"/>
          <w:b/>
          <w:color w:val="1F497D"/>
          <w:kern w:val="0"/>
          <w:sz w:val="30"/>
          <w:szCs w:val="30"/>
        </w:rPr>
        <w:t>证券投资基金通过</w:t>
      </w:r>
      <w:r w:rsidR="00B43CBE" w:rsidRPr="00B43CBE">
        <w:rPr>
          <w:rFonts w:ascii="黑体" w:eastAsia="黑体" w:hAnsi="黑体" w:cs="Arial" w:hint="eastAsia"/>
          <w:b/>
          <w:color w:val="1F497D"/>
          <w:kern w:val="0"/>
          <w:sz w:val="30"/>
          <w:szCs w:val="30"/>
        </w:rPr>
        <w:t>珠海盈米基金销售有限公司</w:t>
      </w:r>
      <w:r w:rsidR="00777E77">
        <w:rPr>
          <w:rFonts w:ascii="黑体" w:eastAsia="黑体" w:hAnsi="黑体" w:cs="Arial" w:hint="eastAsia"/>
          <w:b/>
          <w:color w:val="1F497D"/>
          <w:kern w:val="0"/>
          <w:sz w:val="30"/>
          <w:szCs w:val="30"/>
        </w:rPr>
        <w:t>办理业务最低限额</w:t>
      </w:r>
      <w:r w:rsidRPr="009F1179">
        <w:rPr>
          <w:rFonts w:ascii="黑体" w:eastAsia="黑体" w:hAnsi="黑体" w:cs="Arial" w:hint="eastAsia"/>
          <w:b/>
          <w:color w:val="1F497D"/>
          <w:kern w:val="0"/>
          <w:sz w:val="30"/>
          <w:szCs w:val="30"/>
        </w:rPr>
        <w:t>的公告</w:t>
      </w:r>
    </w:p>
    <w:p w:rsidR="00756E61" w:rsidRDefault="009F1179" w:rsidP="00850543">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sidRPr="00286A91">
        <w:rPr>
          <w:rFonts w:ascii="宋体" w:hAnsi="宋体" w:cs="Arial" w:hint="eastAsia"/>
          <w:color w:val="000000"/>
          <w:kern w:val="0"/>
          <w:sz w:val="24"/>
          <w:szCs w:val="24"/>
        </w:rPr>
        <w:t>为答谢广大客户长期以来给予的信任与支持，</w:t>
      </w:r>
      <w:r>
        <w:rPr>
          <w:rFonts w:ascii="宋体" w:hAnsi="宋体" w:cs="Arial" w:hint="eastAsia"/>
          <w:color w:val="000000"/>
          <w:kern w:val="0"/>
          <w:sz w:val="24"/>
          <w:szCs w:val="24"/>
        </w:rPr>
        <w:t>前海开源基金</w:t>
      </w:r>
      <w:r>
        <w:rPr>
          <w:rFonts w:ascii="宋体" w:hAnsi="宋体" w:cs="Arial"/>
          <w:color w:val="000000"/>
          <w:kern w:val="0"/>
          <w:sz w:val="24"/>
          <w:szCs w:val="24"/>
        </w:rPr>
        <w:t>管理有限公司</w:t>
      </w:r>
      <w:r w:rsidRPr="00286A91">
        <w:rPr>
          <w:rFonts w:ascii="宋体" w:hAnsi="宋体" w:cs="Arial" w:hint="eastAsia"/>
          <w:color w:val="000000"/>
          <w:kern w:val="0"/>
          <w:sz w:val="24"/>
          <w:szCs w:val="24"/>
        </w:rPr>
        <w:t>（以下简称“本公司”）经与</w:t>
      </w:r>
      <w:r w:rsidR="00B43CBE" w:rsidRPr="00B43CBE">
        <w:rPr>
          <w:rFonts w:ascii="宋体" w:hAnsi="宋体" w:cs="Arial" w:hint="eastAsia"/>
          <w:color w:val="000000"/>
          <w:kern w:val="0"/>
          <w:sz w:val="24"/>
          <w:szCs w:val="24"/>
        </w:rPr>
        <w:t>珠海盈米基金销售有限公司</w:t>
      </w:r>
      <w:r w:rsidRPr="009F1179">
        <w:rPr>
          <w:rFonts w:ascii="宋体" w:hAnsi="宋体" w:cs="Arial" w:hint="eastAsia"/>
          <w:color w:val="000000"/>
          <w:kern w:val="0"/>
          <w:sz w:val="24"/>
          <w:szCs w:val="24"/>
        </w:rPr>
        <w:t>（以下简称“</w:t>
      </w:r>
      <w:r w:rsidR="00B43CBE">
        <w:rPr>
          <w:rFonts w:ascii="宋体" w:hAnsi="宋体" w:cs="Arial" w:hint="eastAsia"/>
          <w:color w:val="000000"/>
          <w:kern w:val="0"/>
          <w:sz w:val="24"/>
          <w:szCs w:val="24"/>
        </w:rPr>
        <w:t>盈米</w:t>
      </w:r>
      <w:r w:rsidR="00B64E83">
        <w:rPr>
          <w:rFonts w:ascii="宋体" w:hAnsi="宋体" w:cs="Arial" w:hint="eastAsia"/>
          <w:color w:val="000000"/>
          <w:kern w:val="0"/>
          <w:sz w:val="24"/>
          <w:szCs w:val="24"/>
        </w:rPr>
        <w:t>基金</w:t>
      </w:r>
      <w:r w:rsidRPr="00286A91">
        <w:rPr>
          <w:rFonts w:ascii="宋体" w:hAnsi="宋体" w:cs="Arial" w:hint="eastAsia"/>
          <w:color w:val="000000"/>
          <w:kern w:val="0"/>
          <w:sz w:val="24"/>
          <w:szCs w:val="24"/>
        </w:rPr>
        <w:t>”）协商一致，自</w:t>
      </w:r>
      <w:r w:rsidR="00B43CBE">
        <w:rPr>
          <w:rFonts w:ascii="宋体" w:hAnsi="宋体" w:cs="Arial" w:hint="eastAsia"/>
          <w:color w:val="000000"/>
          <w:kern w:val="0"/>
          <w:sz w:val="24"/>
          <w:szCs w:val="24"/>
        </w:rPr>
        <w:t>2021</w:t>
      </w:r>
      <w:r w:rsidR="00B64E83">
        <w:rPr>
          <w:rFonts w:ascii="宋体" w:hAnsi="宋体" w:cs="Arial" w:hint="eastAsia"/>
          <w:color w:val="000000"/>
          <w:kern w:val="0"/>
          <w:sz w:val="24"/>
          <w:szCs w:val="24"/>
        </w:rPr>
        <w:t>年</w:t>
      </w:r>
      <w:r w:rsidR="00B43CBE">
        <w:rPr>
          <w:rFonts w:ascii="宋体" w:hAnsi="宋体" w:cs="Arial" w:hint="eastAsia"/>
          <w:color w:val="000000"/>
          <w:kern w:val="0"/>
          <w:sz w:val="24"/>
          <w:szCs w:val="24"/>
        </w:rPr>
        <w:t>4</w:t>
      </w:r>
      <w:r w:rsidR="00B64E83">
        <w:rPr>
          <w:rFonts w:ascii="宋体" w:hAnsi="宋体" w:cs="Arial" w:hint="eastAsia"/>
          <w:color w:val="000000"/>
          <w:kern w:val="0"/>
          <w:sz w:val="24"/>
          <w:szCs w:val="24"/>
        </w:rPr>
        <w:t>月</w:t>
      </w:r>
      <w:r w:rsidR="00B43CBE">
        <w:rPr>
          <w:rFonts w:ascii="宋体" w:hAnsi="宋体" w:cs="Arial" w:hint="eastAsia"/>
          <w:color w:val="000000"/>
          <w:kern w:val="0"/>
          <w:sz w:val="24"/>
          <w:szCs w:val="24"/>
        </w:rPr>
        <w:t>28</w:t>
      </w:r>
      <w:r w:rsidR="00B64E83">
        <w:rPr>
          <w:rFonts w:ascii="宋体" w:hAnsi="宋体" w:cs="Arial" w:hint="eastAsia"/>
          <w:color w:val="000000"/>
          <w:kern w:val="0"/>
          <w:sz w:val="24"/>
          <w:szCs w:val="24"/>
        </w:rPr>
        <w:t>日</w:t>
      </w:r>
      <w:r w:rsidRPr="00286A91">
        <w:rPr>
          <w:rFonts w:ascii="宋体" w:hAnsi="宋体" w:cs="Arial" w:hint="eastAsia"/>
          <w:color w:val="000000"/>
          <w:kern w:val="0"/>
          <w:sz w:val="24"/>
          <w:szCs w:val="24"/>
        </w:rPr>
        <w:t>起，调整本公司</w:t>
      </w:r>
      <w:r w:rsidR="00813727" w:rsidRPr="00813727">
        <w:rPr>
          <w:rFonts w:ascii="宋体" w:hAnsi="宋体" w:cs="Arial" w:hint="eastAsia"/>
          <w:color w:val="000000"/>
          <w:kern w:val="0"/>
          <w:sz w:val="24"/>
          <w:szCs w:val="24"/>
        </w:rPr>
        <w:t>旗下部分证券投资基金</w:t>
      </w:r>
      <w:r w:rsidRPr="00286A91">
        <w:rPr>
          <w:rFonts w:ascii="宋体" w:hAnsi="宋体" w:cs="Arial" w:hint="eastAsia"/>
          <w:color w:val="000000"/>
          <w:kern w:val="0"/>
          <w:sz w:val="24"/>
          <w:szCs w:val="24"/>
        </w:rPr>
        <w:t>通过</w:t>
      </w:r>
      <w:r w:rsidR="00B43CBE">
        <w:rPr>
          <w:rFonts w:ascii="宋体" w:hAnsi="宋体" w:cs="Arial" w:hint="eastAsia"/>
          <w:color w:val="000000"/>
          <w:kern w:val="0"/>
          <w:sz w:val="24"/>
          <w:szCs w:val="24"/>
        </w:rPr>
        <w:t>盈米</w:t>
      </w:r>
      <w:r w:rsidR="00B64E83">
        <w:rPr>
          <w:rFonts w:ascii="宋体" w:hAnsi="宋体" w:cs="Arial" w:hint="eastAsia"/>
          <w:color w:val="000000"/>
          <w:kern w:val="0"/>
          <w:sz w:val="24"/>
          <w:szCs w:val="24"/>
        </w:rPr>
        <w:t>基金</w:t>
      </w:r>
      <w:r w:rsidRPr="00286A91">
        <w:rPr>
          <w:rFonts w:ascii="宋体" w:hAnsi="宋体" w:cs="Arial" w:hint="eastAsia"/>
          <w:color w:val="000000"/>
          <w:kern w:val="0"/>
          <w:sz w:val="24"/>
          <w:szCs w:val="24"/>
        </w:rPr>
        <w:t>办理</w:t>
      </w:r>
      <w:r w:rsidR="00B43CBE">
        <w:rPr>
          <w:rFonts w:ascii="宋体" w:hAnsi="宋体" w:cs="Arial" w:hint="eastAsia"/>
          <w:color w:val="000000"/>
          <w:kern w:val="0"/>
          <w:sz w:val="24"/>
          <w:szCs w:val="24"/>
        </w:rPr>
        <w:t>赎回及</w:t>
      </w:r>
      <w:r w:rsidR="00777E77">
        <w:rPr>
          <w:rFonts w:ascii="宋体" w:hAnsi="宋体" w:cs="Arial" w:hint="eastAsia"/>
          <w:color w:val="000000"/>
          <w:kern w:val="0"/>
          <w:sz w:val="24"/>
          <w:szCs w:val="24"/>
        </w:rPr>
        <w:t>转换</w:t>
      </w:r>
      <w:r w:rsidRPr="00286A91">
        <w:rPr>
          <w:rFonts w:ascii="宋体" w:hAnsi="宋体" w:cs="Arial" w:hint="eastAsia"/>
          <w:color w:val="000000"/>
          <w:kern w:val="0"/>
          <w:sz w:val="24"/>
          <w:szCs w:val="24"/>
        </w:rPr>
        <w:t>业务的单笔最低</w:t>
      </w:r>
      <w:r w:rsidR="00777E77">
        <w:rPr>
          <w:rFonts w:ascii="宋体" w:hAnsi="宋体" w:cs="Arial" w:hint="eastAsia"/>
          <w:color w:val="000000"/>
          <w:kern w:val="0"/>
          <w:sz w:val="24"/>
          <w:szCs w:val="24"/>
        </w:rPr>
        <w:t>限额</w:t>
      </w:r>
      <w:r w:rsidRPr="00286A91">
        <w:rPr>
          <w:rFonts w:ascii="宋体" w:hAnsi="宋体" w:cs="Arial" w:hint="eastAsia"/>
          <w:color w:val="000000"/>
          <w:kern w:val="0"/>
          <w:sz w:val="24"/>
          <w:szCs w:val="24"/>
        </w:rPr>
        <w:t>。具体内容如下：</w:t>
      </w:r>
    </w:p>
    <w:p w:rsidR="00176BDA" w:rsidRDefault="009F1179" w:rsidP="00286A91">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w:t>
      </w:r>
      <w:r>
        <w:rPr>
          <w:rFonts w:ascii="宋体" w:hAnsi="宋体" w:cs="Arial"/>
          <w:b/>
          <w:color w:val="000000"/>
          <w:kern w:val="0"/>
          <w:sz w:val="24"/>
          <w:szCs w:val="24"/>
        </w:rPr>
        <w:t>、</w:t>
      </w:r>
      <w:r w:rsidR="00756E61" w:rsidRPr="00176BDA">
        <w:rPr>
          <w:rFonts w:ascii="宋体" w:hAnsi="宋体" w:cs="Arial"/>
          <w:b/>
          <w:color w:val="000000"/>
          <w:kern w:val="0"/>
          <w:sz w:val="24"/>
          <w:szCs w:val="24"/>
        </w:rPr>
        <w:t>适用基金</w:t>
      </w:r>
    </w:p>
    <w:p w:rsidR="00850543" w:rsidRPr="00B64E83" w:rsidRDefault="00752E0B" w:rsidP="00B64E83">
      <w:pPr>
        <w:adjustRightInd w:val="0"/>
        <w:snapToGrid w:val="0"/>
        <w:spacing w:line="360" w:lineRule="auto"/>
        <w:ind w:firstLineChars="200" w:firstLine="480"/>
        <w:rPr>
          <w:rFonts w:ascii="宋体" w:hAnsi="宋体" w:cs="Adobe 仿宋 Std R" w:hint="eastAsia"/>
          <w:sz w:val="24"/>
          <w:szCs w:val="24"/>
        </w:rPr>
      </w:pPr>
      <w:r w:rsidRPr="00C92F8C">
        <w:rPr>
          <w:rFonts w:ascii="宋体" w:hAnsi="宋体" w:cs="Adobe 仿宋 Std R" w:hint="eastAsia"/>
          <w:sz w:val="24"/>
          <w:szCs w:val="24"/>
        </w:rPr>
        <w:t>本公司旗下在</w:t>
      </w:r>
      <w:r w:rsidR="00B43CBE" w:rsidRPr="00B43CBE">
        <w:rPr>
          <w:rFonts w:ascii="宋体" w:hAnsi="宋体" w:cs="Adobe 仿宋 Std R" w:hint="eastAsia"/>
          <w:sz w:val="24"/>
          <w:szCs w:val="24"/>
        </w:rPr>
        <w:t>盈米</w:t>
      </w:r>
      <w:r w:rsidR="00B64E83">
        <w:rPr>
          <w:rFonts w:ascii="宋体" w:hAnsi="宋体" w:cs="Adobe 仿宋 Std R" w:hint="eastAsia"/>
          <w:sz w:val="24"/>
          <w:szCs w:val="24"/>
        </w:rPr>
        <w:t>基金</w:t>
      </w:r>
      <w:r w:rsidRPr="00C92F8C">
        <w:rPr>
          <w:rFonts w:ascii="宋体" w:hAnsi="宋体" w:cs="Adobe 仿宋 Std R" w:hint="eastAsia"/>
          <w:sz w:val="24"/>
          <w:szCs w:val="24"/>
        </w:rPr>
        <w:t>销售的开放式基金及</w:t>
      </w:r>
      <w:r w:rsidR="003315BD">
        <w:rPr>
          <w:rFonts w:ascii="宋体" w:hAnsi="宋体" w:cs="Adobe 仿宋 Std R" w:hint="eastAsia"/>
          <w:sz w:val="24"/>
          <w:szCs w:val="24"/>
        </w:rPr>
        <w:t>未</w:t>
      </w:r>
      <w:r w:rsidRPr="00C92F8C">
        <w:rPr>
          <w:rFonts w:ascii="宋体" w:hAnsi="宋体" w:cs="Adobe 仿宋 Std R" w:hint="eastAsia"/>
          <w:sz w:val="24"/>
          <w:szCs w:val="24"/>
        </w:rPr>
        <w:t>来本公司新增通过</w:t>
      </w:r>
      <w:r w:rsidR="00B43CBE" w:rsidRPr="00B43CBE">
        <w:rPr>
          <w:rFonts w:ascii="宋体" w:hAnsi="宋体" w:cs="Adobe 仿宋 Std R" w:hint="eastAsia"/>
          <w:sz w:val="24"/>
          <w:szCs w:val="24"/>
        </w:rPr>
        <w:t>盈米</w:t>
      </w:r>
      <w:r w:rsidR="00B64E83">
        <w:rPr>
          <w:rFonts w:ascii="宋体" w:hAnsi="宋体" w:cs="Adobe 仿宋 Std R" w:hint="eastAsia"/>
          <w:sz w:val="24"/>
          <w:szCs w:val="24"/>
        </w:rPr>
        <w:t>基金</w:t>
      </w:r>
      <w:r w:rsidRPr="00C92F8C">
        <w:rPr>
          <w:rFonts w:ascii="宋体" w:hAnsi="宋体" w:cs="Adobe 仿宋 Std R" w:hint="eastAsia"/>
          <w:sz w:val="24"/>
          <w:szCs w:val="24"/>
        </w:rPr>
        <w:t>销售的</w:t>
      </w:r>
      <w:r w:rsidR="003315BD">
        <w:rPr>
          <w:rFonts w:ascii="宋体" w:hAnsi="宋体" w:cs="Adobe 仿宋 Std R" w:hint="eastAsia"/>
          <w:sz w:val="24"/>
          <w:szCs w:val="24"/>
        </w:rPr>
        <w:t>开放式</w:t>
      </w:r>
      <w:r w:rsidR="00050978">
        <w:rPr>
          <w:rFonts w:ascii="宋体" w:hAnsi="宋体" w:cs="Adobe 仿宋 Std R" w:hint="eastAsia"/>
          <w:sz w:val="24"/>
          <w:szCs w:val="24"/>
        </w:rPr>
        <w:t>基金</w:t>
      </w:r>
      <w:r w:rsidR="006454F5">
        <w:rPr>
          <w:rFonts w:ascii="宋体" w:hAnsi="宋体" w:cs="Adobe 仿宋 Std R" w:hint="eastAsia"/>
          <w:sz w:val="24"/>
          <w:szCs w:val="24"/>
        </w:rPr>
        <w:t>(不</w:t>
      </w:r>
      <w:r w:rsidR="00777E77">
        <w:rPr>
          <w:rFonts w:ascii="宋体" w:hAnsi="宋体" w:cs="Adobe 仿宋 Std R" w:hint="eastAsia"/>
          <w:sz w:val="24"/>
          <w:szCs w:val="24"/>
        </w:rPr>
        <w:t>支持转换</w:t>
      </w:r>
      <w:r w:rsidR="006454F5">
        <w:rPr>
          <w:rFonts w:ascii="宋体" w:hAnsi="宋体" w:cs="Adobe 仿宋 Std R" w:hint="eastAsia"/>
          <w:sz w:val="24"/>
          <w:szCs w:val="24"/>
        </w:rPr>
        <w:t>功能的产品</w:t>
      </w:r>
      <w:r w:rsidR="00A4291F">
        <w:rPr>
          <w:rFonts w:ascii="宋体" w:hAnsi="宋体" w:cs="Adobe 仿宋 Std R" w:hint="eastAsia"/>
          <w:sz w:val="24"/>
          <w:szCs w:val="24"/>
        </w:rPr>
        <w:t>及</w:t>
      </w:r>
      <w:r w:rsidR="006F487B">
        <w:rPr>
          <w:rFonts w:ascii="宋体" w:hAnsi="宋体" w:cs="Adobe 仿宋 Std R" w:hint="eastAsia"/>
          <w:sz w:val="24"/>
          <w:szCs w:val="24"/>
        </w:rPr>
        <w:t>中登TA产品</w:t>
      </w:r>
      <w:r w:rsidR="006454F5">
        <w:rPr>
          <w:rFonts w:ascii="宋体" w:hAnsi="宋体" w:cs="Adobe 仿宋 Std R" w:hint="eastAsia"/>
          <w:sz w:val="24"/>
          <w:szCs w:val="24"/>
        </w:rPr>
        <w:t>除外)</w:t>
      </w:r>
      <w:r w:rsidR="00050978">
        <w:rPr>
          <w:rFonts w:ascii="宋体" w:hAnsi="宋体" w:cs="Adobe 仿宋 Std R" w:hint="eastAsia"/>
          <w:sz w:val="24"/>
          <w:szCs w:val="24"/>
        </w:rPr>
        <w:t>。</w:t>
      </w:r>
    </w:p>
    <w:p w:rsidR="00756E61" w:rsidRPr="00424718" w:rsidRDefault="00756E61" w:rsidP="00424718">
      <w:pPr>
        <w:widowControl/>
        <w:shd w:val="clear" w:color="auto" w:fill="FFFFFF"/>
        <w:adjustRightInd w:val="0"/>
        <w:snapToGrid w:val="0"/>
        <w:spacing w:line="360" w:lineRule="auto"/>
        <w:ind w:firstLineChars="200" w:firstLine="482"/>
        <w:rPr>
          <w:rFonts w:ascii="宋体" w:hAnsi="宋体" w:cs="Arial" w:hint="eastAsia"/>
          <w:b/>
          <w:color w:val="000000"/>
          <w:kern w:val="0"/>
          <w:sz w:val="24"/>
          <w:szCs w:val="24"/>
        </w:rPr>
      </w:pPr>
      <w:r w:rsidRPr="00424718">
        <w:rPr>
          <w:rFonts w:ascii="宋体" w:hAnsi="宋体" w:cs="Arial" w:hint="eastAsia"/>
          <w:b/>
          <w:color w:val="000000"/>
          <w:kern w:val="0"/>
          <w:sz w:val="24"/>
          <w:szCs w:val="24"/>
        </w:rPr>
        <w:t>二、</w:t>
      </w:r>
      <w:r w:rsidR="001D5329">
        <w:rPr>
          <w:rFonts w:ascii="宋体" w:hAnsi="宋体" w:cs="Arial" w:hint="eastAsia"/>
          <w:b/>
          <w:color w:val="000000"/>
          <w:kern w:val="0"/>
          <w:sz w:val="24"/>
          <w:szCs w:val="24"/>
        </w:rPr>
        <w:t>调整内容</w:t>
      </w:r>
    </w:p>
    <w:p w:rsidR="00777E77" w:rsidRPr="00777E77" w:rsidRDefault="00777E77" w:rsidP="00B43CBE">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Pr>
          <w:rFonts w:ascii="宋体" w:hAnsi="宋体" w:cs="Arial" w:hint="eastAsia"/>
          <w:color w:val="000000"/>
          <w:kern w:val="0"/>
          <w:sz w:val="24"/>
          <w:szCs w:val="24"/>
        </w:rPr>
        <w:t>1、</w:t>
      </w:r>
      <w:r w:rsidR="009F1179" w:rsidRPr="009F1179">
        <w:rPr>
          <w:rFonts w:ascii="宋体" w:hAnsi="宋体" w:cs="Arial" w:hint="eastAsia"/>
          <w:color w:val="000000"/>
          <w:kern w:val="0"/>
          <w:sz w:val="24"/>
          <w:szCs w:val="24"/>
        </w:rPr>
        <w:t>自</w:t>
      </w:r>
      <w:r w:rsidR="00B43CBE">
        <w:rPr>
          <w:rFonts w:ascii="宋体" w:hAnsi="宋体" w:cs="Arial" w:hint="eastAsia"/>
          <w:color w:val="000000"/>
          <w:kern w:val="0"/>
          <w:sz w:val="24"/>
          <w:szCs w:val="24"/>
        </w:rPr>
        <w:t>2021</w:t>
      </w:r>
      <w:r w:rsidR="00B64E83">
        <w:rPr>
          <w:rFonts w:ascii="宋体" w:hAnsi="宋体" w:cs="Arial" w:hint="eastAsia"/>
          <w:color w:val="000000"/>
          <w:kern w:val="0"/>
          <w:sz w:val="24"/>
          <w:szCs w:val="24"/>
        </w:rPr>
        <w:t>年</w:t>
      </w:r>
      <w:r w:rsidR="00B43CBE">
        <w:rPr>
          <w:rFonts w:ascii="宋体" w:hAnsi="宋体" w:cs="Arial" w:hint="eastAsia"/>
          <w:color w:val="000000"/>
          <w:kern w:val="0"/>
          <w:sz w:val="24"/>
          <w:szCs w:val="24"/>
        </w:rPr>
        <w:t>4</w:t>
      </w:r>
      <w:r w:rsidR="00B64E83">
        <w:rPr>
          <w:rFonts w:ascii="宋体" w:hAnsi="宋体" w:cs="Arial" w:hint="eastAsia"/>
          <w:color w:val="000000"/>
          <w:kern w:val="0"/>
          <w:sz w:val="24"/>
          <w:szCs w:val="24"/>
        </w:rPr>
        <w:t>月</w:t>
      </w:r>
      <w:r w:rsidR="00B43CBE">
        <w:rPr>
          <w:rFonts w:ascii="宋体" w:hAnsi="宋体" w:cs="Arial" w:hint="eastAsia"/>
          <w:color w:val="000000"/>
          <w:kern w:val="0"/>
          <w:sz w:val="24"/>
          <w:szCs w:val="24"/>
        </w:rPr>
        <w:t>28</w:t>
      </w:r>
      <w:r w:rsidR="00B64E83">
        <w:rPr>
          <w:rFonts w:ascii="宋体" w:hAnsi="宋体" w:cs="Arial" w:hint="eastAsia"/>
          <w:color w:val="000000"/>
          <w:kern w:val="0"/>
          <w:sz w:val="24"/>
          <w:szCs w:val="24"/>
        </w:rPr>
        <w:t>日</w:t>
      </w:r>
      <w:r w:rsidR="009F1179" w:rsidRPr="009F1179">
        <w:rPr>
          <w:rFonts w:ascii="宋体" w:hAnsi="宋体" w:cs="Arial" w:hint="eastAsia"/>
          <w:color w:val="000000"/>
          <w:kern w:val="0"/>
          <w:sz w:val="24"/>
          <w:szCs w:val="24"/>
        </w:rPr>
        <w:t>起，投资者在</w:t>
      </w:r>
      <w:r w:rsidR="00B43CBE" w:rsidRPr="00B43CBE">
        <w:rPr>
          <w:rFonts w:ascii="宋体" w:hAnsi="宋体" w:cs="Arial" w:hint="eastAsia"/>
          <w:color w:val="000000"/>
          <w:kern w:val="0"/>
          <w:sz w:val="24"/>
          <w:szCs w:val="24"/>
        </w:rPr>
        <w:t>盈米</w:t>
      </w:r>
      <w:r w:rsidR="00B64E83">
        <w:rPr>
          <w:rFonts w:ascii="宋体" w:hAnsi="宋体" w:cs="Arial" w:hint="eastAsia"/>
          <w:color w:val="000000"/>
          <w:kern w:val="0"/>
          <w:sz w:val="24"/>
          <w:szCs w:val="24"/>
        </w:rPr>
        <w:t>基金</w:t>
      </w:r>
      <w:r w:rsidR="009F1179" w:rsidRPr="009F1179">
        <w:rPr>
          <w:rFonts w:ascii="宋体" w:hAnsi="宋体" w:cs="Arial" w:hint="eastAsia"/>
          <w:color w:val="000000"/>
          <w:kern w:val="0"/>
          <w:sz w:val="24"/>
          <w:szCs w:val="24"/>
        </w:rPr>
        <w:t>办理本公</w:t>
      </w:r>
      <w:r w:rsidR="00850543">
        <w:rPr>
          <w:rFonts w:ascii="宋体" w:hAnsi="宋体" w:cs="Arial" w:hint="eastAsia"/>
          <w:color w:val="000000"/>
          <w:kern w:val="0"/>
          <w:sz w:val="24"/>
          <w:szCs w:val="24"/>
        </w:rPr>
        <w:t>司上述基金的</w:t>
      </w:r>
      <w:r>
        <w:rPr>
          <w:rFonts w:ascii="宋体" w:hAnsi="宋体" w:cs="Arial" w:hint="eastAsia"/>
          <w:color w:val="000000"/>
          <w:kern w:val="0"/>
          <w:sz w:val="24"/>
          <w:szCs w:val="24"/>
        </w:rPr>
        <w:t>赎回</w:t>
      </w:r>
      <w:r w:rsidR="00B43CBE">
        <w:rPr>
          <w:rFonts w:ascii="宋体" w:hAnsi="宋体" w:cs="Arial" w:hint="eastAsia"/>
          <w:color w:val="000000"/>
          <w:kern w:val="0"/>
          <w:sz w:val="24"/>
          <w:szCs w:val="24"/>
        </w:rPr>
        <w:t>及</w:t>
      </w:r>
      <w:r w:rsidR="002441E0">
        <w:rPr>
          <w:rFonts w:ascii="宋体" w:hAnsi="宋体" w:cs="Arial" w:hint="eastAsia"/>
          <w:color w:val="000000"/>
          <w:kern w:val="0"/>
          <w:sz w:val="24"/>
          <w:szCs w:val="24"/>
        </w:rPr>
        <w:t>转换</w:t>
      </w:r>
      <w:r w:rsidRPr="009F1179">
        <w:rPr>
          <w:rFonts w:ascii="宋体" w:hAnsi="宋体" w:cs="Arial" w:hint="eastAsia"/>
          <w:color w:val="000000"/>
          <w:kern w:val="0"/>
          <w:sz w:val="24"/>
          <w:szCs w:val="24"/>
        </w:rPr>
        <w:t>业务，单笔</w:t>
      </w:r>
      <w:r>
        <w:rPr>
          <w:rFonts w:ascii="宋体" w:hAnsi="宋体" w:cs="Arial" w:hint="eastAsia"/>
          <w:color w:val="000000"/>
          <w:kern w:val="0"/>
          <w:sz w:val="24"/>
          <w:szCs w:val="24"/>
        </w:rPr>
        <w:t>最低赎回</w:t>
      </w:r>
      <w:r w:rsidR="00EB1397">
        <w:rPr>
          <w:rFonts w:ascii="宋体" w:hAnsi="宋体" w:cs="Arial" w:hint="eastAsia"/>
          <w:color w:val="000000"/>
          <w:kern w:val="0"/>
          <w:sz w:val="24"/>
          <w:szCs w:val="24"/>
        </w:rPr>
        <w:t>、转换</w:t>
      </w:r>
      <w:r w:rsidR="002441E0">
        <w:rPr>
          <w:rFonts w:ascii="宋体" w:hAnsi="宋体" w:cs="Arial" w:hint="eastAsia"/>
          <w:color w:val="000000"/>
          <w:kern w:val="0"/>
          <w:sz w:val="24"/>
          <w:szCs w:val="24"/>
        </w:rPr>
        <w:t>份额</w:t>
      </w:r>
      <w:r w:rsidRPr="009F1179">
        <w:rPr>
          <w:rFonts w:ascii="宋体" w:hAnsi="宋体" w:cs="Arial" w:hint="eastAsia"/>
          <w:color w:val="000000"/>
          <w:kern w:val="0"/>
          <w:sz w:val="24"/>
          <w:szCs w:val="24"/>
        </w:rPr>
        <w:t>调整为</w:t>
      </w:r>
      <w:r w:rsidR="00B43CBE">
        <w:rPr>
          <w:rFonts w:ascii="宋体" w:hAnsi="宋体" w:cs="Arial" w:hint="eastAsia"/>
          <w:color w:val="000000"/>
          <w:kern w:val="0"/>
          <w:sz w:val="24"/>
          <w:szCs w:val="24"/>
        </w:rPr>
        <w:t>0.0</w:t>
      </w:r>
      <w:r w:rsidR="00B64E83">
        <w:rPr>
          <w:rFonts w:ascii="宋体" w:hAnsi="宋体" w:cs="Arial" w:hint="eastAsia"/>
          <w:color w:val="000000"/>
          <w:kern w:val="0"/>
          <w:sz w:val="24"/>
          <w:szCs w:val="24"/>
        </w:rPr>
        <w:t>1</w:t>
      </w:r>
      <w:r w:rsidR="002441E0">
        <w:rPr>
          <w:rFonts w:ascii="宋体" w:hAnsi="宋体" w:cs="Arial" w:hint="eastAsia"/>
          <w:color w:val="000000"/>
          <w:kern w:val="0"/>
          <w:sz w:val="24"/>
          <w:szCs w:val="24"/>
        </w:rPr>
        <w:t>份</w:t>
      </w:r>
      <w:r w:rsidRPr="009F1179">
        <w:rPr>
          <w:rFonts w:ascii="宋体" w:hAnsi="宋体" w:cs="Arial" w:hint="eastAsia"/>
          <w:color w:val="000000"/>
          <w:kern w:val="0"/>
          <w:sz w:val="24"/>
          <w:szCs w:val="24"/>
        </w:rPr>
        <w:t>(含)</w:t>
      </w:r>
      <w:r w:rsidR="00050978">
        <w:rPr>
          <w:rFonts w:ascii="宋体" w:hAnsi="宋体" w:cs="Arial" w:hint="eastAsia"/>
          <w:color w:val="000000"/>
          <w:kern w:val="0"/>
          <w:sz w:val="24"/>
          <w:szCs w:val="24"/>
        </w:rPr>
        <w:t>。</w:t>
      </w:r>
    </w:p>
    <w:p w:rsidR="001D5329" w:rsidRDefault="00B43CBE" w:rsidP="00286A91">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2</w:t>
      </w:r>
      <w:r w:rsidR="00777E77">
        <w:rPr>
          <w:rFonts w:ascii="宋体" w:hAnsi="宋体" w:cs="Arial" w:hint="eastAsia"/>
          <w:color w:val="000000"/>
          <w:kern w:val="0"/>
          <w:sz w:val="24"/>
          <w:szCs w:val="24"/>
        </w:rPr>
        <w:t>、</w:t>
      </w:r>
      <w:r w:rsidR="00B03EA2">
        <w:rPr>
          <w:rFonts w:ascii="宋体" w:hAnsi="宋体" w:cs="Arial" w:hint="eastAsia"/>
          <w:color w:val="000000"/>
          <w:kern w:val="0"/>
          <w:sz w:val="24"/>
          <w:szCs w:val="24"/>
        </w:rPr>
        <w:t>后续</w:t>
      </w:r>
      <w:r w:rsidR="00B03EA2" w:rsidRPr="00A63F8D">
        <w:rPr>
          <w:rFonts w:ascii="宋体" w:hAnsi="宋体" w:cs="Arial" w:hint="eastAsia"/>
          <w:color w:val="000000"/>
          <w:kern w:val="0"/>
          <w:sz w:val="24"/>
          <w:szCs w:val="24"/>
        </w:rPr>
        <w:t>本公司新增通过</w:t>
      </w:r>
      <w:r w:rsidRPr="00B43CBE">
        <w:rPr>
          <w:rFonts w:ascii="宋体" w:hAnsi="宋体" w:cs="Arial" w:hint="eastAsia"/>
          <w:color w:val="000000"/>
          <w:kern w:val="0"/>
          <w:sz w:val="24"/>
          <w:szCs w:val="24"/>
        </w:rPr>
        <w:t>盈米</w:t>
      </w:r>
      <w:r w:rsidR="00B64E83">
        <w:rPr>
          <w:rFonts w:ascii="宋体" w:hAnsi="宋体" w:cs="Arial" w:hint="eastAsia"/>
          <w:color w:val="000000"/>
          <w:kern w:val="0"/>
          <w:sz w:val="24"/>
          <w:szCs w:val="24"/>
        </w:rPr>
        <w:t>基金</w:t>
      </w:r>
      <w:r w:rsidR="00B03EA2" w:rsidRPr="00A63F8D">
        <w:rPr>
          <w:rFonts w:ascii="宋体" w:hAnsi="宋体" w:cs="Arial" w:hint="eastAsia"/>
          <w:color w:val="000000"/>
          <w:kern w:val="0"/>
          <w:sz w:val="24"/>
          <w:szCs w:val="24"/>
        </w:rPr>
        <w:t>销售的基金产品</w:t>
      </w:r>
      <w:r w:rsidR="00C12EAA">
        <w:rPr>
          <w:rFonts w:ascii="宋体" w:hAnsi="宋体" w:cs="Arial" w:hint="eastAsia"/>
          <w:color w:val="000000"/>
          <w:kern w:val="0"/>
          <w:sz w:val="24"/>
          <w:szCs w:val="24"/>
        </w:rPr>
        <w:t>，适用</w:t>
      </w:r>
      <w:r w:rsidR="002441E0">
        <w:rPr>
          <w:rFonts w:ascii="宋体" w:hAnsi="宋体" w:cs="Arial" w:hint="eastAsia"/>
          <w:color w:val="000000"/>
          <w:kern w:val="0"/>
          <w:sz w:val="24"/>
          <w:szCs w:val="24"/>
        </w:rPr>
        <w:t>于</w:t>
      </w:r>
      <w:r w:rsidR="00C12EAA">
        <w:rPr>
          <w:rFonts w:ascii="宋体" w:hAnsi="宋体" w:cs="Arial" w:hint="eastAsia"/>
          <w:color w:val="000000"/>
          <w:kern w:val="0"/>
          <w:sz w:val="24"/>
          <w:szCs w:val="24"/>
        </w:rPr>
        <w:t>上述</w:t>
      </w:r>
      <w:r w:rsidR="002441E0">
        <w:rPr>
          <w:rFonts w:ascii="宋体" w:hAnsi="宋体" w:cs="Arial" w:hint="eastAsia"/>
          <w:color w:val="000000"/>
          <w:kern w:val="0"/>
          <w:sz w:val="24"/>
          <w:szCs w:val="24"/>
        </w:rPr>
        <w:t>业务规则</w:t>
      </w:r>
      <w:r w:rsidR="00C12EAA">
        <w:rPr>
          <w:rFonts w:ascii="宋体" w:hAnsi="宋体" w:cs="Arial" w:hint="eastAsia"/>
          <w:color w:val="000000"/>
          <w:kern w:val="0"/>
          <w:sz w:val="24"/>
          <w:szCs w:val="24"/>
        </w:rPr>
        <w:t>,</w:t>
      </w:r>
      <w:r w:rsidR="00C12EAA" w:rsidRPr="00C12EAA">
        <w:rPr>
          <w:rFonts w:ascii="宋体" w:hAnsi="宋体" w:cs="Arial" w:hint="eastAsia"/>
          <w:color w:val="000000"/>
          <w:kern w:val="0"/>
          <w:sz w:val="24"/>
          <w:szCs w:val="24"/>
        </w:rPr>
        <w:t xml:space="preserve"> </w:t>
      </w:r>
      <w:r w:rsidR="00C12EAA">
        <w:rPr>
          <w:rFonts w:ascii="宋体" w:hAnsi="宋体" w:cs="Arial" w:hint="eastAsia"/>
          <w:color w:val="000000"/>
          <w:kern w:val="0"/>
          <w:sz w:val="24"/>
          <w:szCs w:val="24"/>
        </w:rPr>
        <w:t>本公司不再另行公告。</w:t>
      </w:r>
    </w:p>
    <w:p w:rsidR="00AC03FE" w:rsidRPr="00424718" w:rsidRDefault="00AC03FE" w:rsidP="00AC03FE">
      <w:pPr>
        <w:widowControl/>
        <w:shd w:val="clear" w:color="auto" w:fill="FFFFFF"/>
        <w:adjustRightInd w:val="0"/>
        <w:snapToGrid w:val="0"/>
        <w:spacing w:line="360" w:lineRule="auto"/>
        <w:ind w:firstLineChars="200" w:firstLine="482"/>
        <w:rPr>
          <w:rFonts w:ascii="宋体" w:hAnsi="宋体" w:cs="Arial" w:hint="eastAsia"/>
          <w:b/>
          <w:color w:val="000000"/>
          <w:kern w:val="0"/>
          <w:sz w:val="24"/>
          <w:szCs w:val="24"/>
        </w:rPr>
      </w:pPr>
      <w:r>
        <w:rPr>
          <w:rFonts w:ascii="宋体" w:hAnsi="宋体" w:cs="Arial" w:hint="eastAsia"/>
          <w:b/>
          <w:color w:val="000000"/>
          <w:kern w:val="0"/>
          <w:sz w:val="24"/>
          <w:szCs w:val="24"/>
        </w:rPr>
        <w:t>三</w:t>
      </w:r>
      <w:r w:rsidRPr="00424718">
        <w:rPr>
          <w:rFonts w:ascii="宋体" w:hAnsi="宋体" w:cs="Arial" w:hint="eastAsia"/>
          <w:b/>
          <w:color w:val="000000"/>
          <w:kern w:val="0"/>
          <w:sz w:val="24"/>
          <w:szCs w:val="24"/>
        </w:rPr>
        <w:t>、</w:t>
      </w:r>
      <w:r>
        <w:rPr>
          <w:rFonts w:ascii="宋体" w:hAnsi="宋体" w:cs="Arial" w:hint="eastAsia"/>
          <w:b/>
          <w:color w:val="000000"/>
          <w:kern w:val="0"/>
          <w:sz w:val="24"/>
          <w:szCs w:val="24"/>
        </w:rPr>
        <w:t>重要提示</w:t>
      </w:r>
    </w:p>
    <w:p w:rsidR="00756E61" w:rsidRDefault="00AC03FE" w:rsidP="00AC03FE">
      <w:pPr>
        <w:widowControl/>
        <w:shd w:val="clear" w:color="auto" w:fill="FFFFFF"/>
        <w:adjustRightInd w:val="0"/>
        <w:snapToGrid w:val="0"/>
        <w:spacing w:line="360" w:lineRule="auto"/>
        <w:ind w:firstLineChars="175" w:firstLine="420"/>
        <w:rPr>
          <w:rFonts w:ascii="宋体" w:hAnsi="宋体" w:cs="Arial"/>
          <w:color w:val="000000"/>
          <w:kern w:val="0"/>
          <w:sz w:val="24"/>
          <w:szCs w:val="24"/>
        </w:rPr>
      </w:pPr>
      <w:r>
        <w:rPr>
          <w:rFonts w:ascii="宋体" w:hAnsi="宋体" w:cs="Arial" w:hint="eastAsia"/>
          <w:color w:val="000000"/>
          <w:kern w:val="0"/>
          <w:sz w:val="24"/>
          <w:szCs w:val="24"/>
        </w:rPr>
        <w:t>1、</w:t>
      </w:r>
      <w:r w:rsidR="001D5329" w:rsidRPr="001D5329">
        <w:rPr>
          <w:rFonts w:ascii="宋体" w:hAnsi="宋体" w:cs="Arial" w:hint="eastAsia"/>
          <w:color w:val="000000"/>
          <w:kern w:val="0"/>
          <w:sz w:val="24"/>
          <w:szCs w:val="24"/>
        </w:rPr>
        <w:t>业务开始或结束办理的具体时间及具体程序、规则以代销机构的有关规定为准，如有变动，敬请投资者留意代销机构的有关公告</w:t>
      </w:r>
      <w:r w:rsidR="00756E61">
        <w:rPr>
          <w:rFonts w:ascii="宋体" w:hAnsi="宋体" w:cs="Arial"/>
          <w:color w:val="000000"/>
          <w:kern w:val="0"/>
          <w:sz w:val="24"/>
          <w:szCs w:val="24"/>
        </w:rPr>
        <w:t>。</w:t>
      </w:r>
    </w:p>
    <w:p w:rsidR="0082277F" w:rsidRDefault="00AC03FE" w:rsidP="0082277F">
      <w:pPr>
        <w:widowControl/>
        <w:shd w:val="clear" w:color="auto" w:fill="FFFFFF"/>
        <w:adjustRightInd w:val="0"/>
        <w:snapToGrid w:val="0"/>
        <w:spacing w:beforeLines="50" w:line="360" w:lineRule="auto"/>
        <w:ind w:firstLineChars="200" w:firstLine="480"/>
        <w:rPr>
          <w:rFonts w:ascii="宋体" w:hAnsi="宋体" w:cs="Arial" w:hint="eastAsia"/>
          <w:color w:val="000000"/>
          <w:kern w:val="0"/>
          <w:sz w:val="24"/>
          <w:szCs w:val="24"/>
        </w:rPr>
      </w:pPr>
      <w:r>
        <w:rPr>
          <w:rFonts w:ascii="宋体" w:hAnsi="宋体" w:cs="Arial" w:hint="eastAsia"/>
          <w:color w:val="000000"/>
          <w:kern w:val="0"/>
          <w:sz w:val="24"/>
          <w:szCs w:val="24"/>
        </w:rPr>
        <w:t>2、</w:t>
      </w:r>
      <w:r w:rsidRPr="009C331A">
        <w:rPr>
          <w:rFonts w:ascii="宋体" w:hAnsi="宋体" w:cs="Arial" w:hint="eastAsia"/>
          <w:color w:val="000000"/>
          <w:kern w:val="0"/>
          <w:sz w:val="24"/>
          <w:szCs w:val="24"/>
        </w:rPr>
        <w:t>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w:t>
      </w:r>
      <w:r>
        <w:rPr>
          <w:rFonts w:ascii="宋体" w:hAnsi="宋体" w:cs="Arial" w:hint="eastAsia"/>
          <w:color w:val="000000"/>
          <w:kern w:val="0"/>
          <w:sz w:val="24"/>
          <w:szCs w:val="24"/>
        </w:rPr>
        <w:t>不同</w:t>
      </w:r>
      <w:r w:rsidRPr="009C331A">
        <w:rPr>
          <w:rFonts w:ascii="宋体" w:hAnsi="宋体" w:cs="Arial" w:hint="eastAsia"/>
          <w:color w:val="000000"/>
          <w:kern w:val="0"/>
          <w:sz w:val="24"/>
          <w:szCs w:val="24"/>
        </w:rPr>
        <w:t>份额之间暂不开通转换</w:t>
      </w:r>
      <w:r>
        <w:rPr>
          <w:rFonts w:ascii="宋体" w:hAnsi="宋体" w:cs="Arial" w:hint="eastAsia"/>
          <w:color w:val="000000"/>
          <w:kern w:val="0"/>
          <w:sz w:val="24"/>
          <w:szCs w:val="24"/>
        </w:rPr>
        <w:t>。</w:t>
      </w:r>
      <w:r w:rsidRPr="009C331A">
        <w:rPr>
          <w:rFonts w:ascii="宋体" w:hAnsi="宋体" w:cs="Arial" w:hint="eastAsia"/>
          <w:color w:val="000000"/>
          <w:kern w:val="0"/>
          <w:sz w:val="24"/>
          <w:szCs w:val="24"/>
        </w:rPr>
        <w:t>基金转换费用与转换业务规则可参照</w:t>
      </w:r>
      <w:r w:rsidR="0082277F" w:rsidRPr="0082277F">
        <w:rPr>
          <w:rFonts w:ascii="宋体" w:hAnsi="宋体" w:cs="Arial" w:hint="eastAsia"/>
          <w:color w:val="000000"/>
          <w:kern w:val="0"/>
          <w:sz w:val="24"/>
          <w:szCs w:val="24"/>
        </w:rPr>
        <w:t>本公司发布的《前海开源基金管理有限公司关于旗下基金开通转换业务并在直销机构实行申购补差费率优惠的公告》等相关公告。</w:t>
      </w:r>
    </w:p>
    <w:p w:rsidR="00756E61" w:rsidRPr="00424718" w:rsidRDefault="00AC03FE" w:rsidP="0082277F">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四</w:t>
      </w:r>
      <w:r w:rsidR="00CA0E29">
        <w:rPr>
          <w:rFonts w:ascii="宋体" w:hAnsi="宋体" w:cs="Arial"/>
          <w:b/>
          <w:color w:val="000000"/>
          <w:kern w:val="0"/>
          <w:sz w:val="24"/>
          <w:szCs w:val="24"/>
        </w:rPr>
        <w:t>、投资者可通过以下途径咨询有关详情</w:t>
      </w:r>
    </w:p>
    <w:p w:rsidR="00B43CBE" w:rsidRDefault="00B64E83" w:rsidP="00B64E83">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hint="eastAsia"/>
          <w:color w:val="000000"/>
          <w:kern w:val="0"/>
          <w:sz w:val="24"/>
          <w:szCs w:val="24"/>
        </w:rPr>
        <w:t>1、</w:t>
      </w:r>
      <w:r w:rsidR="00B43CBE" w:rsidRPr="00B43CBE">
        <w:rPr>
          <w:rFonts w:ascii="宋体" w:hAnsi="宋体" w:cs="Arial" w:hint="eastAsia"/>
          <w:color w:val="000000"/>
          <w:kern w:val="0"/>
          <w:sz w:val="24"/>
          <w:szCs w:val="24"/>
        </w:rPr>
        <w:t>珠海盈米基金销售有限公司</w:t>
      </w:r>
    </w:p>
    <w:p w:rsidR="00B64E83" w:rsidRDefault="00B64E83" w:rsidP="00B64E83">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hint="eastAsia"/>
          <w:color w:val="000000"/>
          <w:kern w:val="0"/>
          <w:sz w:val="24"/>
          <w:szCs w:val="24"/>
        </w:rPr>
        <w:t>客服电话：</w:t>
      </w:r>
      <w:r w:rsidR="00B43CBE" w:rsidRPr="00B43CBE">
        <w:rPr>
          <w:rFonts w:ascii="宋体" w:hAnsi="宋体" w:cs="Arial"/>
          <w:color w:val="000000"/>
          <w:kern w:val="0"/>
          <w:sz w:val="24"/>
          <w:szCs w:val="24"/>
        </w:rPr>
        <w:t>020-</w:t>
      </w:r>
      <w:r w:rsidR="00E1162F">
        <w:rPr>
          <w:rFonts w:ascii="宋体" w:hAnsi="宋体" w:cs="Arial" w:hint="eastAsia"/>
          <w:color w:val="000000"/>
          <w:kern w:val="0"/>
          <w:sz w:val="24"/>
          <w:szCs w:val="24"/>
        </w:rPr>
        <w:t>89629066</w:t>
      </w:r>
    </w:p>
    <w:p w:rsidR="00B64E83" w:rsidRDefault="00B64E83" w:rsidP="00B64E83">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hint="eastAsia"/>
          <w:color w:val="000000"/>
          <w:kern w:val="0"/>
          <w:sz w:val="24"/>
          <w:szCs w:val="24"/>
        </w:rPr>
        <w:t>网址：</w:t>
      </w:r>
      <w:r w:rsidR="00E1162F" w:rsidRPr="00E1162F">
        <w:rPr>
          <w:rFonts w:ascii="宋体" w:hAnsi="宋体" w:cs="Arial"/>
          <w:color w:val="000000"/>
          <w:kern w:val="0"/>
          <w:sz w:val="24"/>
          <w:szCs w:val="24"/>
        </w:rPr>
        <w:t>www.yingmi.cn</w:t>
      </w:r>
    </w:p>
    <w:p w:rsidR="00756E61" w:rsidRDefault="00756E61" w:rsidP="00B64E8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756E61" w:rsidRDefault="00756E6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lastRenderedPageBreak/>
        <w:t>客服电话：4001-666-998</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网址：</w:t>
      </w:r>
      <w:hyperlink r:id="rId8" w:history="1">
        <w:r>
          <w:rPr>
            <w:rFonts w:ascii="宋体" w:hAnsi="宋体" w:cs="Arial"/>
            <w:color w:val="000000"/>
            <w:kern w:val="0"/>
            <w:sz w:val="24"/>
            <w:szCs w:val="24"/>
          </w:rPr>
          <w:t>www.qhkyfund.com</w:t>
        </w:r>
      </w:hyperlink>
    </w:p>
    <w:p w:rsidR="00CC327E" w:rsidRDefault="00CC327E">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756E61" w:rsidRPr="00424718" w:rsidRDefault="00AC03FE" w:rsidP="00424718">
      <w:pPr>
        <w:widowControl/>
        <w:shd w:val="clear" w:color="auto" w:fill="FFFFFF"/>
        <w:adjustRightInd w:val="0"/>
        <w:snapToGrid w:val="0"/>
        <w:spacing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sidR="00E334FB">
        <w:rPr>
          <w:rFonts w:ascii="宋体" w:hAnsi="宋体" w:cs="Arial"/>
          <w:b/>
          <w:color w:val="000000"/>
          <w:kern w:val="0"/>
          <w:sz w:val="24"/>
          <w:szCs w:val="24"/>
        </w:rPr>
        <w:t>、风险提示</w:t>
      </w:r>
    </w:p>
    <w:p w:rsidR="00B64E83" w:rsidRPr="00B64E83" w:rsidRDefault="00B64E83" w:rsidP="00B64E83">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64E83">
        <w:rPr>
          <w:rFonts w:ascii="宋体" w:hAnsi="宋体" w:cs="Arial" w:hint="eastAsia"/>
          <w:color w:val="000000"/>
          <w:kern w:val="0"/>
          <w:sz w:val="24"/>
          <w:szCs w:val="24"/>
        </w:rPr>
        <w:t>基金管理人承诺以诚实信用、勤勉尽责的原则管理和运用基金资产，但不保证基金一定盈利，也不保证最</w:t>
      </w:r>
      <w:r w:rsidR="00E1162F">
        <w:rPr>
          <w:rFonts w:ascii="宋体" w:hAnsi="宋体" w:cs="Arial" w:hint="eastAsia"/>
          <w:color w:val="000000"/>
          <w:kern w:val="0"/>
          <w:sz w:val="24"/>
          <w:szCs w:val="24"/>
        </w:rPr>
        <w:t>低收益。投资者投资于本公司旗下基金前应认真阅读各基金的基金合同、</w:t>
      </w:r>
      <w:r w:rsidRPr="00B64E83">
        <w:rPr>
          <w:rFonts w:ascii="宋体" w:hAnsi="宋体" w:cs="Arial" w:hint="eastAsia"/>
          <w:color w:val="000000"/>
          <w:kern w:val="0"/>
          <w:sz w:val="24"/>
          <w:szCs w:val="24"/>
        </w:rPr>
        <w:t>招募说明书</w:t>
      </w:r>
      <w:r w:rsidR="00E1162F">
        <w:rPr>
          <w:rFonts w:ascii="宋体" w:hAnsi="宋体" w:cs="Arial" w:hint="eastAsia"/>
          <w:color w:val="000000"/>
          <w:kern w:val="0"/>
          <w:sz w:val="24"/>
          <w:szCs w:val="24"/>
        </w:rPr>
        <w:t>、基金产品资料概要</w:t>
      </w:r>
      <w:r w:rsidRPr="00B64E83">
        <w:rPr>
          <w:rFonts w:ascii="宋体" w:hAnsi="宋体" w:cs="Arial" w:hint="eastAsia"/>
          <w:color w:val="000000"/>
          <w:kern w:val="0"/>
          <w:sz w:val="24"/>
          <w:szCs w:val="24"/>
        </w:rPr>
        <w:t>及其更新。敬请投资者注意投资风险。</w:t>
      </w:r>
    </w:p>
    <w:p w:rsidR="00B64E83" w:rsidRPr="00B64E83" w:rsidRDefault="00B64E83" w:rsidP="00B64E83">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64E83">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21018D" w:rsidRDefault="0021018D" w:rsidP="0021018D">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64E83">
        <w:rPr>
          <w:rFonts w:ascii="宋体" w:hAnsi="宋体" w:cs="Arial" w:hint="eastAsia"/>
          <w:color w:val="000000"/>
          <w:kern w:val="0"/>
          <w:sz w:val="24"/>
          <w:szCs w:val="24"/>
        </w:rPr>
        <w:t>养老目标基金的名称中包含“养老目标”字样，不代表基金收益保障或其他任何形式的收益承诺，基金管理人在此特别提示投资者：投资者投资于养老目标基金不保本，可能发生亏损。</w:t>
      </w:r>
    </w:p>
    <w:p w:rsidR="00E1162F" w:rsidRPr="0021018D" w:rsidRDefault="00E1162F">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特此公告</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756E61" w:rsidRDefault="00E1162F">
      <w:pPr>
        <w:widowControl/>
        <w:shd w:val="clear" w:color="auto" w:fill="FFFFFF"/>
        <w:adjustRightInd w:val="0"/>
        <w:snapToGrid w:val="0"/>
        <w:spacing w:line="360" w:lineRule="auto"/>
        <w:ind w:firstLineChars="200" w:firstLine="480"/>
        <w:jc w:val="right"/>
      </w:pPr>
      <w:r>
        <w:rPr>
          <w:rFonts w:ascii="宋体" w:hAnsi="宋体" w:cs="Arial" w:hint="eastAsia"/>
          <w:color w:val="000000"/>
          <w:kern w:val="0"/>
          <w:sz w:val="24"/>
          <w:szCs w:val="24"/>
        </w:rPr>
        <w:t>2021</w:t>
      </w:r>
      <w:r w:rsidR="00B64E83">
        <w:rPr>
          <w:rFonts w:ascii="宋体" w:hAnsi="宋体" w:cs="Arial" w:hint="eastAsia"/>
          <w:color w:val="000000"/>
          <w:kern w:val="0"/>
          <w:sz w:val="24"/>
          <w:szCs w:val="24"/>
        </w:rPr>
        <w:t>年</w:t>
      </w:r>
      <w:r>
        <w:rPr>
          <w:rFonts w:ascii="宋体" w:hAnsi="宋体" w:cs="Arial" w:hint="eastAsia"/>
          <w:color w:val="000000"/>
          <w:kern w:val="0"/>
          <w:sz w:val="24"/>
          <w:szCs w:val="24"/>
        </w:rPr>
        <w:t>4</w:t>
      </w:r>
      <w:r w:rsidR="00B64E83">
        <w:rPr>
          <w:rFonts w:ascii="宋体" w:hAnsi="宋体" w:cs="Arial" w:hint="eastAsia"/>
          <w:color w:val="000000"/>
          <w:kern w:val="0"/>
          <w:sz w:val="24"/>
          <w:szCs w:val="24"/>
        </w:rPr>
        <w:t>月</w:t>
      </w:r>
      <w:r>
        <w:rPr>
          <w:rFonts w:ascii="宋体" w:hAnsi="宋体" w:cs="Arial" w:hint="eastAsia"/>
          <w:color w:val="000000"/>
          <w:kern w:val="0"/>
          <w:sz w:val="24"/>
          <w:szCs w:val="24"/>
        </w:rPr>
        <w:t>28</w:t>
      </w:r>
      <w:r w:rsidR="00B64E83">
        <w:rPr>
          <w:rFonts w:ascii="宋体" w:hAnsi="宋体" w:cs="Arial" w:hint="eastAsia"/>
          <w:color w:val="000000"/>
          <w:kern w:val="0"/>
          <w:sz w:val="24"/>
          <w:szCs w:val="24"/>
        </w:rPr>
        <w:t>日</w:t>
      </w:r>
    </w:p>
    <w:sectPr w:rsidR="00756E61">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0EC" w:rsidRDefault="007630EC">
      <w:r>
        <w:separator/>
      </w:r>
    </w:p>
  </w:endnote>
  <w:endnote w:type="continuationSeparator" w:id="0">
    <w:p w:rsidR="007630EC" w:rsidRDefault="00763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0EC" w:rsidRDefault="007630EC">
      <w:r>
        <w:separator/>
      </w:r>
    </w:p>
  </w:footnote>
  <w:footnote w:type="continuationSeparator" w:id="0">
    <w:p w:rsidR="007630EC" w:rsidRDefault="00763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4" w:rsidRDefault="00E63FE4">
    <w:pPr>
      <w:pStyle w:val="a9"/>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8.5pt;height:21.75pt;mso-position-horizontal-relative:page;mso-position-vertical-relative:page">
          <v:imagedata r:id="rId1" o:title=""/>
        </v:shape>
      </w:pict>
    </w:r>
    <w:r>
      <w:rPr>
        <w:rFonts w:hint="eastAsia"/>
      </w:rPr>
      <w:tab/>
    </w:r>
    <w:r>
      <w:rPr>
        <w:rFonts w:hint="eastAsia"/>
      </w:rPr>
      <w:tab/>
    </w:r>
    <w:r>
      <w:rPr>
        <w:rFonts w:hint="eastAsia"/>
      </w:rPr>
      <w:t>临时公告</w:t>
    </w:r>
  </w:p>
  <w:p w:rsidR="00E63FE4" w:rsidRDefault="00E63F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1FC9"/>
    <w:multiLevelType w:val="singleLevel"/>
    <w:tmpl w:val="594B1FC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4B3"/>
    <w:rsid w:val="00007250"/>
    <w:rsid w:val="00013742"/>
    <w:rsid w:val="000148FC"/>
    <w:rsid w:val="00021F0C"/>
    <w:rsid w:val="00023C51"/>
    <w:rsid w:val="00033045"/>
    <w:rsid w:val="00036B23"/>
    <w:rsid w:val="00045F31"/>
    <w:rsid w:val="00050978"/>
    <w:rsid w:val="000539B9"/>
    <w:rsid w:val="000564C0"/>
    <w:rsid w:val="00066B51"/>
    <w:rsid w:val="000709A2"/>
    <w:rsid w:val="0007546E"/>
    <w:rsid w:val="00086D65"/>
    <w:rsid w:val="000933CE"/>
    <w:rsid w:val="00097EAE"/>
    <w:rsid w:val="000A00F6"/>
    <w:rsid w:val="000A0688"/>
    <w:rsid w:val="000B20EA"/>
    <w:rsid w:val="000B419F"/>
    <w:rsid w:val="000B5E8E"/>
    <w:rsid w:val="000C0F62"/>
    <w:rsid w:val="000C3565"/>
    <w:rsid w:val="000C3FA2"/>
    <w:rsid w:val="000D1102"/>
    <w:rsid w:val="000E5675"/>
    <w:rsid w:val="000F6002"/>
    <w:rsid w:val="000F6886"/>
    <w:rsid w:val="00111219"/>
    <w:rsid w:val="00116B4B"/>
    <w:rsid w:val="00125026"/>
    <w:rsid w:val="001251EE"/>
    <w:rsid w:val="00132BD8"/>
    <w:rsid w:val="00134461"/>
    <w:rsid w:val="001364E3"/>
    <w:rsid w:val="00141110"/>
    <w:rsid w:val="00142EF8"/>
    <w:rsid w:val="00145A86"/>
    <w:rsid w:val="001465C3"/>
    <w:rsid w:val="001524EF"/>
    <w:rsid w:val="0017104C"/>
    <w:rsid w:val="00176BDA"/>
    <w:rsid w:val="00193408"/>
    <w:rsid w:val="001A3F03"/>
    <w:rsid w:val="001A6685"/>
    <w:rsid w:val="001B1A38"/>
    <w:rsid w:val="001C03A0"/>
    <w:rsid w:val="001C4CED"/>
    <w:rsid w:val="001D1638"/>
    <w:rsid w:val="001D5329"/>
    <w:rsid w:val="001F24C1"/>
    <w:rsid w:val="002011AE"/>
    <w:rsid w:val="0021018D"/>
    <w:rsid w:val="00212069"/>
    <w:rsid w:val="00212255"/>
    <w:rsid w:val="00213620"/>
    <w:rsid w:val="00214617"/>
    <w:rsid w:val="00220AE5"/>
    <w:rsid w:val="00223811"/>
    <w:rsid w:val="0023169F"/>
    <w:rsid w:val="002441E0"/>
    <w:rsid w:val="00244B57"/>
    <w:rsid w:val="00244F18"/>
    <w:rsid w:val="00252FA3"/>
    <w:rsid w:val="00262D29"/>
    <w:rsid w:val="0026398D"/>
    <w:rsid w:val="00264431"/>
    <w:rsid w:val="00275BCF"/>
    <w:rsid w:val="002777E3"/>
    <w:rsid w:val="0027790A"/>
    <w:rsid w:val="002868A8"/>
    <w:rsid w:val="00286A91"/>
    <w:rsid w:val="00292E33"/>
    <w:rsid w:val="00293355"/>
    <w:rsid w:val="00294C44"/>
    <w:rsid w:val="00296D8A"/>
    <w:rsid w:val="00297CD7"/>
    <w:rsid w:val="002A0758"/>
    <w:rsid w:val="002A689C"/>
    <w:rsid w:val="002A7C4B"/>
    <w:rsid w:val="002D266F"/>
    <w:rsid w:val="002E44D1"/>
    <w:rsid w:val="002F1195"/>
    <w:rsid w:val="002F669C"/>
    <w:rsid w:val="00312730"/>
    <w:rsid w:val="0031344A"/>
    <w:rsid w:val="00316026"/>
    <w:rsid w:val="00323318"/>
    <w:rsid w:val="00324AA8"/>
    <w:rsid w:val="00326F4C"/>
    <w:rsid w:val="003275E2"/>
    <w:rsid w:val="00331565"/>
    <w:rsid w:val="003315BD"/>
    <w:rsid w:val="003326FD"/>
    <w:rsid w:val="003359E5"/>
    <w:rsid w:val="00355322"/>
    <w:rsid w:val="00355876"/>
    <w:rsid w:val="00355AF0"/>
    <w:rsid w:val="0035640E"/>
    <w:rsid w:val="003623A8"/>
    <w:rsid w:val="00370FF9"/>
    <w:rsid w:val="00374625"/>
    <w:rsid w:val="00393D91"/>
    <w:rsid w:val="00394297"/>
    <w:rsid w:val="003973E8"/>
    <w:rsid w:val="003976CB"/>
    <w:rsid w:val="003A14C7"/>
    <w:rsid w:val="003A3E4F"/>
    <w:rsid w:val="003B6C01"/>
    <w:rsid w:val="003C07C7"/>
    <w:rsid w:val="003C5684"/>
    <w:rsid w:val="003D7860"/>
    <w:rsid w:val="003E4F67"/>
    <w:rsid w:val="003E61C3"/>
    <w:rsid w:val="003E643B"/>
    <w:rsid w:val="003F199A"/>
    <w:rsid w:val="003F3C33"/>
    <w:rsid w:val="003F5017"/>
    <w:rsid w:val="003F6719"/>
    <w:rsid w:val="003F787A"/>
    <w:rsid w:val="004008CA"/>
    <w:rsid w:val="00400FE1"/>
    <w:rsid w:val="00415F4A"/>
    <w:rsid w:val="00420E82"/>
    <w:rsid w:val="00424718"/>
    <w:rsid w:val="0042669A"/>
    <w:rsid w:val="00435522"/>
    <w:rsid w:val="00437F1E"/>
    <w:rsid w:val="0044065B"/>
    <w:rsid w:val="004460D7"/>
    <w:rsid w:val="00450FAF"/>
    <w:rsid w:val="00455838"/>
    <w:rsid w:val="00476140"/>
    <w:rsid w:val="00481B4F"/>
    <w:rsid w:val="0048672D"/>
    <w:rsid w:val="00495BA6"/>
    <w:rsid w:val="00495E06"/>
    <w:rsid w:val="00496E43"/>
    <w:rsid w:val="00497487"/>
    <w:rsid w:val="004C2887"/>
    <w:rsid w:val="004E76BA"/>
    <w:rsid w:val="004F02DA"/>
    <w:rsid w:val="004F1566"/>
    <w:rsid w:val="004F49B6"/>
    <w:rsid w:val="004F6437"/>
    <w:rsid w:val="00500CB2"/>
    <w:rsid w:val="00501447"/>
    <w:rsid w:val="00520C13"/>
    <w:rsid w:val="005255A0"/>
    <w:rsid w:val="00533E77"/>
    <w:rsid w:val="00536B0F"/>
    <w:rsid w:val="00544EF3"/>
    <w:rsid w:val="00551711"/>
    <w:rsid w:val="00561E2F"/>
    <w:rsid w:val="0057602C"/>
    <w:rsid w:val="0058162C"/>
    <w:rsid w:val="005867C6"/>
    <w:rsid w:val="00590F6B"/>
    <w:rsid w:val="00592113"/>
    <w:rsid w:val="00593F24"/>
    <w:rsid w:val="00595E1F"/>
    <w:rsid w:val="00596990"/>
    <w:rsid w:val="005A45B3"/>
    <w:rsid w:val="005B1D04"/>
    <w:rsid w:val="005B7062"/>
    <w:rsid w:val="005E0320"/>
    <w:rsid w:val="005F0A1F"/>
    <w:rsid w:val="005F105E"/>
    <w:rsid w:val="005F6D69"/>
    <w:rsid w:val="0060072B"/>
    <w:rsid w:val="006028C0"/>
    <w:rsid w:val="00602E55"/>
    <w:rsid w:val="00605A19"/>
    <w:rsid w:val="006063C6"/>
    <w:rsid w:val="00611081"/>
    <w:rsid w:val="00637CEA"/>
    <w:rsid w:val="006406F6"/>
    <w:rsid w:val="00642CEB"/>
    <w:rsid w:val="00644426"/>
    <w:rsid w:val="006454F5"/>
    <w:rsid w:val="006472F0"/>
    <w:rsid w:val="00647649"/>
    <w:rsid w:val="00655CBA"/>
    <w:rsid w:val="0066057D"/>
    <w:rsid w:val="006611D4"/>
    <w:rsid w:val="00664DC6"/>
    <w:rsid w:val="00667049"/>
    <w:rsid w:val="00674925"/>
    <w:rsid w:val="00686A5B"/>
    <w:rsid w:val="00686EC9"/>
    <w:rsid w:val="00693672"/>
    <w:rsid w:val="006A5390"/>
    <w:rsid w:val="006A58C4"/>
    <w:rsid w:val="006B17C8"/>
    <w:rsid w:val="006B4AC1"/>
    <w:rsid w:val="006B5AB5"/>
    <w:rsid w:val="006B60E1"/>
    <w:rsid w:val="006B782F"/>
    <w:rsid w:val="006C3DC5"/>
    <w:rsid w:val="006D5682"/>
    <w:rsid w:val="006D6210"/>
    <w:rsid w:val="006E00F9"/>
    <w:rsid w:val="006E1994"/>
    <w:rsid w:val="006E2262"/>
    <w:rsid w:val="006E5B21"/>
    <w:rsid w:val="006F2F16"/>
    <w:rsid w:val="006F3AD5"/>
    <w:rsid w:val="006F487B"/>
    <w:rsid w:val="006F5FF0"/>
    <w:rsid w:val="00713F26"/>
    <w:rsid w:val="00715251"/>
    <w:rsid w:val="00725D59"/>
    <w:rsid w:val="00732AFC"/>
    <w:rsid w:val="00735F1E"/>
    <w:rsid w:val="00736252"/>
    <w:rsid w:val="0074350D"/>
    <w:rsid w:val="0074395D"/>
    <w:rsid w:val="007439FF"/>
    <w:rsid w:val="00747EC1"/>
    <w:rsid w:val="0075085D"/>
    <w:rsid w:val="00752E0B"/>
    <w:rsid w:val="00756E61"/>
    <w:rsid w:val="007630EC"/>
    <w:rsid w:val="007634EF"/>
    <w:rsid w:val="00763A7B"/>
    <w:rsid w:val="00770928"/>
    <w:rsid w:val="007729C1"/>
    <w:rsid w:val="007752F5"/>
    <w:rsid w:val="00777E77"/>
    <w:rsid w:val="0078229F"/>
    <w:rsid w:val="007845E7"/>
    <w:rsid w:val="007A03B7"/>
    <w:rsid w:val="007C6DA7"/>
    <w:rsid w:val="007D06F0"/>
    <w:rsid w:val="007D0A19"/>
    <w:rsid w:val="007D0D95"/>
    <w:rsid w:val="007E5E75"/>
    <w:rsid w:val="00800130"/>
    <w:rsid w:val="00800945"/>
    <w:rsid w:val="008059F6"/>
    <w:rsid w:val="00806618"/>
    <w:rsid w:val="00813727"/>
    <w:rsid w:val="008224AB"/>
    <w:rsid w:val="008225F0"/>
    <w:rsid w:val="0082277F"/>
    <w:rsid w:val="00832260"/>
    <w:rsid w:val="00835FBF"/>
    <w:rsid w:val="008473A4"/>
    <w:rsid w:val="00850543"/>
    <w:rsid w:val="00853D84"/>
    <w:rsid w:val="00864A5B"/>
    <w:rsid w:val="0086626E"/>
    <w:rsid w:val="00870966"/>
    <w:rsid w:val="00885D35"/>
    <w:rsid w:val="00894FF6"/>
    <w:rsid w:val="00896E04"/>
    <w:rsid w:val="008A2062"/>
    <w:rsid w:val="008A5539"/>
    <w:rsid w:val="008B7AAC"/>
    <w:rsid w:val="008C1E3E"/>
    <w:rsid w:val="008C50E4"/>
    <w:rsid w:val="008C736A"/>
    <w:rsid w:val="008D221B"/>
    <w:rsid w:val="008F2B6D"/>
    <w:rsid w:val="008F6F2E"/>
    <w:rsid w:val="009005F3"/>
    <w:rsid w:val="00905C70"/>
    <w:rsid w:val="00907F19"/>
    <w:rsid w:val="009159EC"/>
    <w:rsid w:val="00925F6E"/>
    <w:rsid w:val="00947A68"/>
    <w:rsid w:val="00962DA3"/>
    <w:rsid w:val="00964DE5"/>
    <w:rsid w:val="00966793"/>
    <w:rsid w:val="00975B2F"/>
    <w:rsid w:val="009931B8"/>
    <w:rsid w:val="0099744D"/>
    <w:rsid w:val="009A1088"/>
    <w:rsid w:val="009A1C2A"/>
    <w:rsid w:val="009B0C50"/>
    <w:rsid w:val="009C17EC"/>
    <w:rsid w:val="009C331A"/>
    <w:rsid w:val="009C5322"/>
    <w:rsid w:val="009D3186"/>
    <w:rsid w:val="009D54A5"/>
    <w:rsid w:val="009D6D49"/>
    <w:rsid w:val="009D7041"/>
    <w:rsid w:val="009E134F"/>
    <w:rsid w:val="009E2862"/>
    <w:rsid w:val="009E40F3"/>
    <w:rsid w:val="009E6907"/>
    <w:rsid w:val="009E7F8A"/>
    <w:rsid w:val="009F1179"/>
    <w:rsid w:val="009F4195"/>
    <w:rsid w:val="00A0378F"/>
    <w:rsid w:val="00A05C9D"/>
    <w:rsid w:val="00A05F48"/>
    <w:rsid w:val="00A15244"/>
    <w:rsid w:val="00A30ADD"/>
    <w:rsid w:val="00A337A9"/>
    <w:rsid w:val="00A3383A"/>
    <w:rsid w:val="00A33A50"/>
    <w:rsid w:val="00A4291F"/>
    <w:rsid w:val="00A5268D"/>
    <w:rsid w:val="00A56CDE"/>
    <w:rsid w:val="00A61236"/>
    <w:rsid w:val="00A741B1"/>
    <w:rsid w:val="00A75483"/>
    <w:rsid w:val="00A81CFB"/>
    <w:rsid w:val="00A838AA"/>
    <w:rsid w:val="00A85258"/>
    <w:rsid w:val="00A9684E"/>
    <w:rsid w:val="00AA23C0"/>
    <w:rsid w:val="00AA2A6A"/>
    <w:rsid w:val="00AA5858"/>
    <w:rsid w:val="00AA61BA"/>
    <w:rsid w:val="00AA69BD"/>
    <w:rsid w:val="00AC03FE"/>
    <w:rsid w:val="00AC156B"/>
    <w:rsid w:val="00AC15DF"/>
    <w:rsid w:val="00AD542E"/>
    <w:rsid w:val="00AE416D"/>
    <w:rsid w:val="00AE711A"/>
    <w:rsid w:val="00AF4FBA"/>
    <w:rsid w:val="00B03EA2"/>
    <w:rsid w:val="00B050AD"/>
    <w:rsid w:val="00B06B60"/>
    <w:rsid w:val="00B12998"/>
    <w:rsid w:val="00B25CB2"/>
    <w:rsid w:val="00B42C8C"/>
    <w:rsid w:val="00B42CF7"/>
    <w:rsid w:val="00B43706"/>
    <w:rsid w:val="00B43CBE"/>
    <w:rsid w:val="00B63F9E"/>
    <w:rsid w:val="00B64E83"/>
    <w:rsid w:val="00B71624"/>
    <w:rsid w:val="00B738DD"/>
    <w:rsid w:val="00B81897"/>
    <w:rsid w:val="00B83136"/>
    <w:rsid w:val="00B8447C"/>
    <w:rsid w:val="00B90161"/>
    <w:rsid w:val="00B97ABE"/>
    <w:rsid w:val="00BA1191"/>
    <w:rsid w:val="00BA5F5B"/>
    <w:rsid w:val="00BC1132"/>
    <w:rsid w:val="00BC39F3"/>
    <w:rsid w:val="00BD2434"/>
    <w:rsid w:val="00BD2C71"/>
    <w:rsid w:val="00BD5BD6"/>
    <w:rsid w:val="00BE0E90"/>
    <w:rsid w:val="00BE66E9"/>
    <w:rsid w:val="00BF6B65"/>
    <w:rsid w:val="00C00C98"/>
    <w:rsid w:val="00C052D3"/>
    <w:rsid w:val="00C12883"/>
    <w:rsid w:val="00C12EAA"/>
    <w:rsid w:val="00C16DE4"/>
    <w:rsid w:val="00C20E70"/>
    <w:rsid w:val="00C22633"/>
    <w:rsid w:val="00C24838"/>
    <w:rsid w:val="00C32739"/>
    <w:rsid w:val="00C32923"/>
    <w:rsid w:val="00C3773E"/>
    <w:rsid w:val="00C45D04"/>
    <w:rsid w:val="00C46083"/>
    <w:rsid w:val="00C50F93"/>
    <w:rsid w:val="00C53FBC"/>
    <w:rsid w:val="00C56BC2"/>
    <w:rsid w:val="00C573F5"/>
    <w:rsid w:val="00C64127"/>
    <w:rsid w:val="00C66731"/>
    <w:rsid w:val="00C747D4"/>
    <w:rsid w:val="00C77D88"/>
    <w:rsid w:val="00C920F7"/>
    <w:rsid w:val="00C946A3"/>
    <w:rsid w:val="00CA0E29"/>
    <w:rsid w:val="00CA5CA2"/>
    <w:rsid w:val="00CB0130"/>
    <w:rsid w:val="00CB0669"/>
    <w:rsid w:val="00CB45CD"/>
    <w:rsid w:val="00CB4B3D"/>
    <w:rsid w:val="00CB69EC"/>
    <w:rsid w:val="00CC03CF"/>
    <w:rsid w:val="00CC327E"/>
    <w:rsid w:val="00CC738F"/>
    <w:rsid w:val="00CD345B"/>
    <w:rsid w:val="00CE08B1"/>
    <w:rsid w:val="00CE13EA"/>
    <w:rsid w:val="00CE3BEA"/>
    <w:rsid w:val="00CF1E5D"/>
    <w:rsid w:val="00CF2427"/>
    <w:rsid w:val="00CF6A30"/>
    <w:rsid w:val="00D04615"/>
    <w:rsid w:val="00D16DF3"/>
    <w:rsid w:val="00D22912"/>
    <w:rsid w:val="00D34469"/>
    <w:rsid w:val="00D41492"/>
    <w:rsid w:val="00D445E3"/>
    <w:rsid w:val="00D52193"/>
    <w:rsid w:val="00D57635"/>
    <w:rsid w:val="00D667DE"/>
    <w:rsid w:val="00D72BFE"/>
    <w:rsid w:val="00D7489D"/>
    <w:rsid w:val="00D74B5E"/>
    <w:rsid w:val="00D8015A"/>
    <w:rsid w:val="00D811E8"/>
    <w:rsid w:val="00D934B3"/>
    <w:rsid w:val="00D963DA"/>
    <w:rsid w:val="00DB2D1E"/>
    <w:rsid w:val="00DB558F"/>
    <w:rsid w:val="00DC0248"/>
    <w:rsid w:val="00DC407E"/>
    <w:rsid w:val="00DD06B3"/>
    <w:rsid w:val="00DD3865"/>
    <w:rsid w:val="00DD3AB3"/>
    <w:rsid w:val="00DD4962"/>
    <w:rsid w:val="00DD7819"/>
    <w:rsid w:val="00DE153D"/>
    <w:rsid w:val="00DE6B99"/>
    <w:rsid w:val="00DF0C23"/>
    <w:rsid w:val="00DF48FA"/>
    <w:rsid w:val="00E022C6"/>
    <w:rsid w:val="00E061F2"/>
    <w:rsid w:val="00E113DD"/>
    <w:rsid w:val="00E1162F"/>
    <w:rsid w:val="00E14F4A"/>
    <w:rsid w:val="00E22214"/>
    <w:rsid w:val="00E23AC4"/>
    <w:rsid w:val="00E2727F"/>
    <w:rsid w:val="00E334FB"/>
    <w:rsid w:val="00E41286"/>
    <w:rsid w:val="00E470DA"/>
    <w:rsid w:val="00E505CB"/>
    <w:rsid w:val="00E5745E"/>
    <w:rsid w:val="00E62DD7"/>
    <w:rsid w:val="00E63FE4"/>
    <w:rsid w:val="00E6625E"/>
    <w:rsid w:val="00E70629"/>
    <w:rsid w:val="00E739EE"/>
    <w:rsid w:val="00E74F00"/>
    <w:rsid w:val="00E755BE"/>
    <w:rsid w:val="00E8081B"/>
    <w:rsid w:val="00E8164F"/>
    <w:rsid w:val="00E857FC"/>
    <w:rsid w:val="00E86569"/>
    <w:rsid w:val="00E941D7"/>
    <w:rsid w:val="00EA1EAB"/>
    <w:rsid w:val="00EA5AC5"/>
    <w:rsid w:val="00EA5FB2"/>
    <w:rsid w:val="00EB1397"/>
    <w:rsid w:val="00EE0C05"/>
    <w:rsid w:val="00EE243D"/>
    <w:rsid w:val="00EE2F44"/>
    <w:rsid w:val="00EE6288"/>
    <w:rsid w:val="00EF09F1"/>
    <w:rsid w:val="00F048D5"/>
    <w:rsid w:val="00F1335E"/>
    <w:rsid w:val="00F20554"/>
    <w:rsid w:val="00F20D45"/>
    <w:rsid w:val="00F23429"/>
    <w:rsid w:val="00F25749"/>
    <w:rsid w:val="00F26200"/>
    <w:rsid w:val="00F26CC7"/>
    <w:rsid w:val="00F3555C"/>
    <w:rsid w:val="00F356D9"/>
    <w:rsid w:val="00F41FCE"/>
    <w:rsid w:val="00F44155"/>
    <w:rsid w:val="00F444FA"/>
    <w:rsid w:val="00F46E60"/>
    <w:rsid w:val="00F51106"/>
    <w:rsid w:val="00F519EF"/>
    <w:rsid w:val="00F61419"/>
    <w:rsid w:val="00F61E1A"/>
    <w:rsid w:val="00F81557"/>
    <w:rsid w:val="00F83C33"/>
    <w:rsid w:val="00F94FBE"/>
    <w:rsid w:val="00FA306E"/>
    <w:rsid w:val="00FA4C91"/>
    <w:rsid w:val="00FA7BDE"/>
    <w:rsid w:val="00FB2C5E"/>
    <w:rsid w:val="00FB55C5"/>
    <w:rsid w:val="00FC3B88"/>
    <w:rsid w:val="00FE1BB5"/>
    <w:rsid w:val="00FE1DB6"/>
    <w:rsid w:val="00FE587C"/>
    <w:rsid w:val="00FF2BF3"/>
    <w:rsid w:val="00FF30CB"/>
    <w:rsid w:val="00FF363B"/>
    <w:rsid w:val="00FF787E"/>
    <w:rsid w:val="0A641D92"/>
    <w:rsid w:val="1C137696"/>
    <w:rsid w:val="2AA41866"/>
    <w:rsid w:val="352B6ADC"/>
    <w:rsid w:val="5FE809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sz w:val="21"/>
      <w:szCs w:val="21"/>
    </w:rPr>
  </w:style>
  <w:style w:type="character" w:customStyle="1" w:styleId="Char">
    <w:name w:val="批注文字 Char"/>
    <w:link w:val="a5"/>
    <w:uiPriority w:val="99"/>
    <w:semiHidden/>
    <w:rPr>
      <w:kern w:val="2"/>
      <w:sz w:val="21"/>
      <w:szCs w:val="22"/>
    </w:rPr>
  </w:style>
  <w:style w:type="character" w:customStyle="1" w:styleId="Char0">
    <w:name w:val="页脚 Char"/>
    <w:link w:val="a6"/>
    <w:uiPriority w:val="99"/>
    <w:rPr>
      <w:kern w:val="2"/>
      <w:sz w:val="18"/>
      <w:szCs w:val="18"/>
    </w:rPr>
  </w:style>
  <w:style w:type="character" w:customStyle="1" w:styleId="2Char">
    <w:name w:val="标题 2 Char"/>
    <w:link w:val="2"/>
    <w:uiPriority w:val="9"/>
    <w:rPr>
      <w:rFonts w:ascii="宋体" w:hAnsi="宋体" w:cs="宋体"/>
      <w:b/>
      <w:bCs/>
      <w:sz w:val="36"/>
      <w:szCs w:val="36"/>
    </w:rPr>
  </w:style>
  <w:style w:type="character" w:customStyle="1" w:styleId="Char1">
    <w:name w:val="批注框文本 Char"/>
    <w:link w:val="a7"/>
    <w:uiPriority w:val="99"/>
    <w:semiHidden/>
    <w:rPr>
      <w:sz w:val="18"/>
      <w:szCs w:val="18"/>
    </w:rPr>
  </w:style>
  <w:style w:type="character" w:customStyle="1" w:styleId="Char2">
    <w:name w:val="批注主题 Char"/>
    <w:link w:val="a8"/>
    <w:uiPriority w:val="99"/>
    <w:semiHidden/>
    <w:rPr>
      <w:b/>
      <w:bCs/>
      <w:kern w:val="2"/>
      <w:sz w:val="21"/>
      <w:szCs w:val="22"/>
    </w:rPr>
  </w:style>
  <w:style w:type="character" w:customStyle="1" w:styleId="Char3">
    <w:name w:val="页眉 Char"/>
    <w:link w:val="a9"/>
    <w:uiPriority w:val="99"/>
    <w:rPr>
      <w:rFonts w:ascii="Calibri" w:eastAsia="宋体" w:hAnsi="Calibri" w:cs="Times New Roman"/>
      <w:sz w:val="18"/>
      <w:szCs w:val="18"/>
    </w:rPr>
  </w:style>
  <w:style w:type="paragraph" w:styleId="a7">
    <w:name w:val="Balloon Text"/>
    <w:basedOn w:val="a"/>
    <w:link w:val="Char1"/>
    <w:uiPriority w:val="99"/>
    <w:unhideWhenUsed/>
    <w:rPr>
      <w:sz w:val="18"/>
      <w:szCs w:val="18"/>
    </w:rPr>
  </w:style>
  <w:style w:type="paragraph" w:styleId="a9">
    <w:name w:val="header"/>
    <w:basedOn w:val="a"/>
    <w:link w:val="Char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5">
    <w:name w:val="annotation text"/>
    <w:basedOn w:val="a"/>
    <w:link w:val="Char"/>
    <w:uiPriority w:val="99"/>
    <w:unhideWhenUsed/>
    <w:pPr>
      <w:jc w:val="left"/>
    </w:pPr>
  </w:style>
  <w:style w:type="paragraph" w:styleId="a8">
    <w:name w:val="annotation subject"/>
    <w:basedOn w:val="a5"/>
    <w:next w:val="a5"/>
    <w:link w:val="Char2"/>
    <w:uiPriority w:val="99"/>
    <w:unhideWhenUsed/>
    <w:rPr>
      <w:b/>
      <w:bCs/>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b">
    <w:name w:val="Revision"/>
    <w:uiPriority w:val="99"/>
    <w:semiHidden/>
    <w:rPr>
      <w:kern w:val="2"/>
      <w:sz w:val="21"/>
      <w:szCs w:val="22"/>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00452">
      <w:bodyDiv w:val="1"/>
      <w:marLeft w:val="0"/>
      <w:marRight w:val="0"/>
      <w:marTop w:val="0"/>
      <w:marBottom w:val="0"/>
      <w:divBdr>
        <w:top w:val="none" w:sz="0" w:space="0" w:color="auto"/>
        <w:left w:val="none" w:sz="0" w:space="0" w:color="auto"/>
        <w:bottom w:val="none" w:sz="0" w:space="0" w:color="auto"/>
        <w:right w:val="none" w:sz="0" w:space="0" w:color="auto"/>
      </w:divBdr>
    </w:div>
    <w:div w:id="264778138">
      <w:bodyDiv w:val="1"/>
      <w:marLeft w:val="0"/>
      <w:marRight w:val="0"/>
      <w:marTop w:val="0"/>
      <w:marBottom w:val="0"/>
      <w:divBdr>
        <w:top w:val="none" w:sz="0" w:space="0" w:color="auto"/>
        <w:left w:val="none" w:sz="0" w:space="0" w:color="auto"/>
        <w:bottom w:val="none" w:sz="0" w:space="0" w:color="auto"/>
        <w:right w:val="none" w:sz="0" w:space="0" w:color="auto"/>
      </w:divBdr>
    </w:div>
    <w:div w:id="319700634">
      <w:bodyDiv w:val="1"/>
      <w:marLeft w:val="0"/>
      <w:marRight w:val="0"/>
      <w:marTop w:val="0"/>
      <w:marBottom w:val="0"/>
      <w:divBdr>
        <w:top w:val="none" w:sz="0" w:space="0" w:color="auto"/>
        <w:left w:val="none" w:sz="0" w:space="0" w:color="auto"/>
        <w:bottom w:val="none" w:sz="0" w:space="0" w:color="auto"/>
        <w:right w:val="none" w:sz="0" w:space="0" w:color="auto"/>
      </w:divBdr>
    </w:div>
    <w:div w:id="341976583">
      <w:bodyDiv w:val="1"/>
      <w:marLeft w:val="0"/>
      <w:marRight w:val="0"/>
      <w:marTop w:val="0"/>
      <w:marBottom w:val="0"/>
      <w:divBdr>
        <w:top w:val="none" w:sz="0" w:space="0" w:color="auto"/>
        <w:left w:val="none" w:sz="0" w:space="0" w:color="auto"/>
        <w:bottom w:val="none" w:sz="0" w:space="0" w:color="auto"/>
        <w:right w:val="none" w:sz="0" w:space="0" w:color="auto"/>
      </w:divBdr>
    </w:div>
    <w:div w:id="374815177">
      <w:bodyDiv w:val="1"/>
      <w:marLeft w:val="0"/>
      <w:marRight w:val="0"/>
      <w:marTop w:val="0"/>
      <w:marBottom w:val="0"/>
      <w:divBdr>
        <w:top w:val="none" w:sz="0" w:space="0" w:color="auto"/>
        <w:left w:val="none" w:sz="0" w:space="0" w:color="auto"/>
        <w:bottom w:val="none" w:sz="0" w:space="0" w:color="auto"/>
        <w:right w:val="none" w:sz="0" w:space="0" w:color="auto"/>
      </w:divBdr>
    </w:div>
    <w:div w:id="377819356">
      <w:bodyDiv w:val="1"/>
      <w:marLeft w:val="0"/>
      <w:marRight w:val="0"/>
      <w:marTop w:val="0"/>
      <w:marBottom w:val="0"/>
      <w:divBdr>
        <w:top w:val="none" w:sz="0" w:space="0" w:color="auto"/>
        <w:left w:val="none" w:sz="0" w:space="0" w:color="auto"/>
        <w:bottom w:val="none" w:sz="0" w:space="0" w:color="auto"/>
        <w:right w:val="none" w:sz="0" w:space="0" w:color="auto"/>
      </w:divBdr>
    </w:div>
    <w:div w:id="397900995">
      <w:bodyDiv w:val="1"/>
      <w:marLeft w:val="0"/>
      <w:marRight w:val="0"/>
      <w:marTop w:val="0"/>
      <w:marBottom w:val="0"/>
      <w:divBdr>
        <w:top w:val="none" w:sz="0" w:space="0" w:color="auto"/>
        <w:left w:val="none" w:sz="0" w:space="0" w:color="auto"/>
        <w:bottom w:val="none" w:sz="0" w:space="0" w:color="auto"/>
        <w:right w:val="none" w:sz="0" w:space="0" w:color="auto"/>
      </w:divBdr>
    </w:div>
    <w:div w:id="490298128">
      <w:bodyDiv w:val="1"/>
      <w:marLeft w:val="0"/>
      <w:marRight w:val="0"/>
      <w:marTop w:val="0"/>
      <w:marBottom w:val="0"/>
      <w:divBdr>
        <w:top w:val="none" w:sz="0" w:space="0" w:color="auto"/>
        <w:left w:val="none" w:sz="0" w:space="0" w:color="auto"/>
        <w:bottom w:val="none" w:sz="0" w:space="0" w:color="auto"/>
        <w:right w:val="none" w:sz="0" w:space="0" w:color="auto"/>
      </w:divBdr>
    </w:div>
    <w:div w:id="501822745">
      <w:bodyDiv w:val="1"/>
      <w:marLeft w:val="0"/>
      <w:marRight w:val="0"/>
      <w:marTop w:val="0"/>
      <w:marBottom w:val="0"/>
      <w:divBdr>
        <w:top w:val="none" w:sz="0" w:space="0" w:color="auto"/>
        <w:left w:val="none" w:sz="0" w:space="0" w:color="auto"/>
        <w:bottom w:val="none" w:sz="0" w:space="0" w:color="auto"/>
        <w:right w:val="none" w:sz="0" w:space="0" w:color="auto"/>
      </w:divBdr>
    </w:div>
    <w:div w:id="557520075">
      <w:bodyDiv w:val="1"/>
      <w:marLeft w:val="0"/>
      <w:marRight w:val="0"/>
      <w:marTop w:val="0"/>
      <w:marBottom w:val="0"/>
      <w:divBdr>
        <w:top w:val="none" w:sz="0" w:space="0" w:color="auto"/>
        <w:left w:val="none" w:sz="0" w:space="0" w:color="auto"/>
        <w:bottom w:val="none" w:sz="0" w:space="0" w:color="auto"/>
        <w:right w:val="none" w:sz="0" w:space="0" w:color="auto"/>
      </w:divBdr>
    </w:div>
    <w:div w:id="688875386">
      <w:bodyDiv w:val="1"/>
      <w:marLeft w:val="0"/>
      <w:marRight w:val="0"/>
      <w:marTop w:val="0"/>
      <w:marBottom w:val="0"/>
      <w:divBdr>
        <w:top w:val="none" w:sz="0" w:space="0" w:color="auto"/>
        <w:left w:val="none" w:sz="0" w:space="0" w:color="auto"/>
        <w:bottom w:val="none" w:sz="0" w:space="0" w:color="auto"/>
        <w:right w:val="none" w:sz="0" w:space="0" w:color="auto"/>
      </w:divBdr>
    </w:div>
    <w:div w:id="731268181">
      <w:bodyDiv w:val="1"/>
      <w:marLeft w:val="0"/>
      <w:marRight w:val="0"/>
      <w:marTop w:val="0"/>
      <w:marBottom w:val="0"/>
      <w:divBdr>
        <w:top w:val="none" w:sz="0" w:space="0" w:color="auto"/>
        <w:left w:val="none" w:sz="0" w:space="0" w:color="auto"/>
        <w:bottom w:val="none" w:sz="0" w:space="0" w:color="auto"/>
        <w:right w:val="none" w:sz="0" w:space="0" w:color="auto"/>
      </w:divBdr>
    </w:div>
    <w:div w:id="750741566">
      <w:bodyDiv w:val="1"/>
      <w:marLeft w:val="0"/>
      <w:marRight w:val="0"/>
      <w:marTop w:val="0"/>
      <w:marBottom w:val="0"/>
      <w:divBdr>
        <w:top w:val="none" w:sz="0" w:space="0" w:color="auto"/>
        <w:left w:val="none" w:sz="0" w:space="0" w:color="auto"/>
        <w:bottom w:val="none" w:sz="0" w:space="0" w:color="auto"/>
        <w:right w:val="none" w:sz="0" w:space="0" w:color="auto"/>
      </w:divBdr>
    </w:div>
    <w:div w:id="812596425">
      <w:bodyDiv w:val="1"/>
      <w:marLeft w:val="0"/>
      <w:marRight w:val="0"/>
      <w:marTop w:val="0"/>
      <w:marBottom w:val="0"/>
      <w:divBdr>
        <w:top w:val="none" w:sz="0" w:space="0" w:color="auto"/>
        <w:left w:val="none" w:sz="0" w:space="0" w:color="auto"/>
        <w:bottom w:val="none" w:sz="0" w:space="0" w:color="auto"/>
        <w:right w:val="none" w:sz="0" w:space="0" w:color="auto"/>
      </w:divBdr>
    </w:div>
    <w:div w:id="829325162">
      <w:bodyDiv w:val="1"/>
      <w:marLeft w:val="0"/>
      <w:marRight w:val="0"/>
      <w:marTop w:val="0"/>
      <w:marBottom w:val="0"/>
      <w:divBdr>
        <w:top w:val="none" w:sz="0" w:space="0" w:color="auto"/>
        <w:left w:val="none" w:sz="0" w:space="0" w:color="auto"/>
        <w:bottom w:val="none" w:sz="0" w:space="0" w:color="auto"/>
        <w:right w:val="none" w:sz="0" w:space="0" w:color="auto"/>
      </w:divBdr>
    </w:div>
    <w:div w:id="865602369">
      <w:bodyDiv w:val="1"/>
      <w:marLeft w:val="0"/>
      <w:marRight w:val="0"/>
      <w:marTop w:val="0"/>
      <w:marBottom w:val="0"/>
      <w:divBdr>
        <w:top w:val="none" w:sz="0" w:space="0" w:color="auto"/>
        <w:left w:val="none" w:sz="0" w:space="0" w:color="auto"/>
        <w:bottom w:val="none" w:sz="0" w:space="0" w:color="auto"/>
        <w:right w:val="none" w:sz="0" w:space="0" w:color="auto"/>
      </w:divBdr>
    </w:div>
    <w:div w:id="892887409">
      <w:bodyDiv w:val="1"/>
      <w:marLeft w:val="0"/>
      <w:marRight w:val="0"/>
      <w:marTop w:val="0"/>
      <w:marBottom w:val="0"/>
      <w:divBdr>
        <w:top w:val="none" w:sz="0" w:space="0" w:color="auto"/>
        <w:left w:val="none" w:sz="0" w:space="0" w:color="auto"/>
        <w:bottom w:val="none" w:sz="0" w:space="0" w:color="auto"/>
        <w:right w:val="none" w:sz="0" w:space="0" w:color="auto"/>
      </w:divBdr>
    </w:div>
    <w:div w:id="906916697">
      <w:bodyDiv w:val="1"/>
      <w:marLeft w:val="0"/>
      <w:marRight w:val="0"/>
      <w:marTop w:val="0"/>
      <w:marBottom w:val="0"/>
      <w:divBdr>
        <w:top w:val="none" w:sz="0" w:space="0" w:color="auto"/>
        <w:left w:val="none" w:sz="0" w:space="0" w:color="auto"/>
        <w:bottom w:val="none" w:sz="0" w:space="0" w:color="auto"/>
        <w:right w:val="none" w:sz="0" w:space="0" w:color="auto"/>
      </w:divBdr>
    </w:div>
    <w:div w:id="1000934393">
      <w:bodyDiv w:val="1"/>
      <w:marLeft w:val="0"/>
      <w:marRight w:val="0"/>
      <w:marTop w:val="0"/>
      <w:marBottom w:val="0"/>
      <w:divBdr>
        <w:top w:val="none" w:sz="0" w:space="0" w:color="auto"/>
        <w:left w:val="none" w:sz="0" w:space="0" w:color="auto"/>
        <w:bottom w:val="none" w:sz="0" w:space="0" w:color="auto"/>
        <w:right w:val="none" w:sz="0" w:space="0" w:color="auto"/>
      </w:divBdr>
    </w:div>
    <w:div w:id="1123767283">
      <w:bodyDiv w:val="1"/>
      <w:marLeft w:val="0"/>
      <w:marRight w:val="0"/>
      <w:marTop w:val="0"/>
      <w:marBottom w:val="0"/>
      <w:divBdr>
        <w:top w:val="none" w:sz="0" w:space="0" w:color="auto"/>
        <w:left w:val="none" w:sz="0" w:space="0" w:color="auto"/>
        <w:bottom w:val="none" w:sz="0" w:space="0" w:color="auto"/>
        <w:right w:val="none" w:sz="0" w:space="0" w:color="auto"/>
      </w:divBdr>
    </w:div>
    <w:div w:id="1323972787">
      <w:bodyDiv w:val="1"/>
      <w:marLeft w:val="0"/>
      <w:marRight w:val="0"/>
      <w:marTop w:val="0"/>
      <w:marBottom w:val="0"/>
      <w:divBdr>
        <w:top w:val="none" w:sz="0" w:space="0" w:color="auto"/>
        <w:left w:val="none" w:sz="0" w:space="0" w:color="auto"/>
        <w:bottom w:val="none" w:sz="0" w:space="0" w:color="auto"/>
        <w:right w:val="none" w:sz="0" w:space="0" w:color="auto"/>
      </w:divBdr>
    </w:div>
    <w:div w:id="1354112251">
      <w:bodyDiv w:val="1"/>
      <w:marLeft w:val="0"/>
      <w:marRight w:val="0"/>
      <w:marTop w:val="0"/>
      <w:marBottom w:val="0"/>
      <w:divBdr>
        <w:top w:val="none" w:sz="0" w:space="0" w:color="auto"/>
        <w:left w:val="none" w:sz="0" w:space="0" w:color="auto"/>
        <w:bottom w:val="none" w:sz="0" w:space="0" w:color="auto"/>
        <w:right w:val="none" w:sz="0" w:space="0" w:color="auto"/>
      </w:divBdr>
    </w:div>
    <w:div w:id="1415781952">
      <w:bodyDiv w:val="1"/>
      <w:marLeft w:val="0"/>
      <w:marRight w:val="0"/>
      <w:marTop w:val="0"/>
      <w:marBottom w:val="0"/>
      <w:divBdr>
        <w:top w:val="none" w:sz="0" w:space="0" w:color="auto"/>
        <w:left w:val="none" w:sz="0" w:space="0" w:color="auto"/>
        <w:bottom w:val="none" w:sz="0" w:space="0" w:color="auto"/>
        <w:right w:val="none" w:sz="0" w:space="0" w:color="auto"/>
      </w:divBdr>
    </w:div>
    <w:div w:id="1456370514">
      <w:bodyDiv w:val="1"/>
      <w:marLeft w:val="0"/>
      <w:marRight w:val="0"/>
      <w:marTop w:val="0"/>
      <w:marBottom w:val="0"/>
      <w:divBdr>
        <w:top w:val="none" w:sz="0" w:space="0" w:color="auto"/>
        <w:left w:val="none" w:sz="0" w:space="0" w:color="auto"/>
        <w:bottom w:val="none" w:sz="0" w:space="0" w:color="auto"/>
        <w:right w:val="none" w:sz="0" w:space="0" w:color="auto"/>
      </w:divBdr>
    </w:div>
    <w:div w:id="1498181663">
      <w:bodyDiv w:val="1"/>
      <w:marLeft w:val="0"/>
      <w:marRight w:val="0"/>
      <w:marTop w:val="0"/>
      <w:marBottom w:val="0"/>
      <w:divBdr>
        <w:top w:val="none" w:sz="0" w:space="0" w:color="auto"/>
        <w:left w:val="none" w:sz="0" w:space="0" w:color="auto"/>
        <w:bottom w:val="none" w:sz="0" w:space="0" w:color="auto"/>
        <w:right w:val="none" w:sz="0" w:space="0" w:color="auto"/>
      </w:divBdr>
    </w:div>
    <w:div w:id="1580945224">
      <w:bodyDiv w:val="1"/>
      <w:marLeft w:val="0"/>
      <w:marRight w:val="0"/>
      <w:marTop w:val="0"/>
      <w:marBottom w:val="0"/>
      <w:divBdr>
        <w:top w:val="none" w:sz="0" w:space="0" w:color="auto"/>
        <w:left w:val="none" w:sz="0" w:space="0" w:color="auto"/>
        <w:bottom w:val="none" w:sz="0" w:space="0" w:color="auto"/>
        <w:right w:val="none" w:sz="0" w:space="0" w:color="auto"/>
      </w:divBdr>
    </w:div>
    <w:div w:id="1635599858">
      <w:bodyDiv w:val="1"/>
      <w:marLeft w:val="0"/>
      <w:marRight w:val="0"/>
      <w:marTop w:val="0"/>
      <w:marBottom w:val="0"/>
      <w:divBdr>
        <w:top w:val="none" w:sz="0" w:space="0" w:color="auto"/>
        <w:left w:val="none" w:sz="0" w:space="0" w:color="auto"/>
        <w:bottom w:val="none" w:sz="0" w:space="0" w:color="auto"/>
        <w:right w:val="none" w:sz="0" w:space="0" w:color="auto"/>
      </w:divBdr>
    </w:div>
    <w:div w:id="1754354960">
      <w:bodyDiv w:val="1"/>
      <w:marLeft w:val="0"/>
      <w:marRight w:val="0"/>
      <w:marTop w:val="0"/>
      <w:marBottom w:val="0"/>
      <w:divBdr>
        <w:top w:val="none" w:sz="0" w:space="0" w:color="auto"/>
        <w:left w:val="none" w:sz="0" w:space="0" w:color="auto"/>
        <w:bottom w:val="none" w:sz="0" w:space="0" w:color="auto"/>
        <w:right w:val="none" w:sz="0" w:space="0" w:color="auto"/>
      </w:divBdr>
    </w:div>
    <w:div w:id="1812018963">
      <w:bodyDiv w:val="1"/>
      <w:marLeft w:val="0"/>
      <w:marRight w:val="0"/>
      <w:marTop w:val="0"/>
      <w:marBottom w:val="0"/>
      <w:divBdr>
        <w:top w:val="none" w:sz="0" w:space="0" w:color="auto"/>
        <w:left w:val="none" w:sz="0" w:space="0" w:color="auto"/>
        <w:bottom w:val="none" w:sz="0" w:space="0" w:color="auto"/>
        <w:right w:val="none" w:sz="0" w:space="0" w:color="auto"/>
      </w:divBdr>
    </w:div>
    <w:div w:id="1895434464">
      <w:bodyDiv w:val="1"/>
      <w:marLeft w:val="0"/>
      <w:marRight w:val="0"/>
      <w:marTop w:val="0"/>
      <w:marBottom w:val="0"/>
      <w:divBdr>
        <w:top w:val="none" w:sz="0" w:space="0" w:color="auto"/>
        <w:left w:val="none" w:sz="0" w:space="0" w:color="auto"/>
        <w:bottom w:val="none" w:sz="0" w:space="0" w:color="auto"/>
        <w:right w:val="none" w:sz="0" w:space="0" w:color="auto"/>
      </w:divBdr>
    </w:div>
    <w:div w:id="2015454555">
      <w:bodyDiv w:val="1"/>
      <w:marLeft w:val="0"/>
      <w:marRight w:val="0"/>
      <w:marTop w:val="0"/>
      <w:marBottom w:val="0"/>
      <w:divBdr>
        <w:top w:val="none" w:sz="0" w:space="0" w:color="auto"/>
        <w:left w:val="none" w:sz="0" w:space="0" w:color="auto"/>
        <w:bottom w:val="none" w:sz="0" w:space="0" w:color="auto"/>
        <w:right w:val="none" w:sz="0" w:space="0" w:color="auto"/>
      </w:divBdr>
    </w:div>
    <w:div w:id="2059232612">
      <w:bodyDiv w:val="1"/>
      <w:marLeft w:val="0"/>
      <w:marRight w:val="0"/>
      <w:marTop w:val="0"/>
      <w:marBottom w:val="0"/>
      <w:divBdr>
        <w:top w:val="none" w:sz="0" w:space="0" w:color="auto"/>
        <w:left w:val="none" w:sz="0" w:space="0" w:color="auto"/>
        <w:bottom w:val="none" w:sz="0" w:space="0" w:color="auto"/>
        <w:right w:val="none" w:sz="0" w:space="0" w:color="auto"/>
      </w:divBdr>
    </w:div>
    <w:div w:id="2067607422">
      <w:bodyDiv w:val="1"/>
      <w:marLeft w:val="0"/>
      <w:marRight w:val="0"/>
      <w:marTop w:val="0"/>
      <w:marBottom w:val="0"/>
      <w:divBdr>
        <w:top w:val="none" w:sz="0" w:space="0" w:color="auto"/>
        <w:left w:val="none" w:sz="0" w:space="0" w:color="auto"/>
        <w:bottom w:val="none" w:sz="0" w:space="0" w:color="auto"/>
        <w:right w:val="none" w:sz="0" w:space="0" w:color="auto"/>
      </w:divBdr>
    </w:div>
    <w:div w:id="2108234355">
      <w:bodyDiv w:val="1"/>
      <w:marLeft w:val="0"/>
      <w:marRight w:val="0"/>
      <w:marTop w:val="0"/>
      <w:marBottom w:val="0"/>
      <w:divBdr>
        <w:top w:val="none" w:sz="0" w:space="0" w:color="auto"/>
        <w:left w:val="none" w:sz="0" w:space="0" w:color="auto"/>
        <w:bottom w:val="none" w:sz="0" w:space="0" w:color="auto"/>
        <w:right w:val="none" w:sz="0" w:space="0" w:color="auto"/>
      </w:divBdr>
    </w:div>
    <w:div w:id="2133938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qhky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411AF2-CC9F-426C-8FD3-AF90F3A5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960</Characters>
  <Application>Microsoft Office Word</Application>
  <DocSecurity>4</DocSecurity>
  <PresentationFormat/>
  <Lines>8</Lines>
  <Paragraphs>2</Paragraphs>
  <Slides>0</Slides>
  <Notes>0</Notes>
  <HiddenSlides>0</HiddenSlides>
  <MMClips>0</MMClips>
  <ScaleCrop>false</ScaleCrop>
  <Company>Lenovo</Company>
  <LinksUpToDate>false</LinksUpToDate>
  <CharactersWithSpaces>1126</CharactersWithSpaces>
  <SharedDoc>false</SharedDoc>
  <HLinks>
    <vt:vector size="6" baseType="variant">
      <vt:variant>
        <vt:i4>5701726</vt:i4>
      </vt:variant>
      <vt:variant>
        <vt:i4>0</vt:i4>
      </vt:variant>
      <vt:variant>
        <vt:i4>0</vt:i4>
      </vt:variant>
      <vt:variant>
        <vt:i4>5</vt:i4>
      </vt:variant>
      <vt:variant>
        <vt:lpwstr>http://www.qhkyfund.com/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2021-04-27T18:08:00Z</dcterms:created>
  <dcterms:modified xsi:type="dcterms:W3CDTF">2021-04-27T18:08:00Z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