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EA10E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天坛生物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600161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EA10E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北京天坛生物制品股份有限公司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943EEF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北京天坛生物制品股份有限公司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088"/>
        <w:gridCol w:w="1173"/>
        <w:gridCol w:w="1539"/>
        <w:gridCol w:w="796"/>
        <w:gridCol w:w="1529"/>
        <w:gridCol w:w="818"/>
        <w:gridCol w:w="579"/>
      </w:tblGrid>
      <w:tr w:rsidR="00387016" w:rsidRPr="00472218" w:rsidTr="00166CFB">
        <w:trPr>
          <w:jc w:val="center"/>
        </w:trPr>
        <w:tc>
          <w:tcPr>
            <w:tcW w:w="1935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9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54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847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29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90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565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易方达裕丰回报债券型证券投资基金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2,915,037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81,999,990.81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98,411,649.12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0.30%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易方达丰华债券型证券投资基金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355,492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9,999,989.96</w:t>
            </w:r>
          </w:p>
        </w:tc>
        <w:tc>
          <w:tcPr>
            <w:tcW w:w="0" w:type="auto"/>
            <w:vAlign w:val="center"/>
          </w:tcPr>
          <w:p w:rsidR="002C102E" w:rsidRDefault="00994D1D" w:rsidP="00DE689D">
            <w:pPr>
              <w:jc w:val="center"/>
            </w:pPr>
            <w:r>
              <w:rPr>
                <w:szCs w:val="21"/>
              </w:rPr>
              <w:t>0.</w:t>
            </w:r>
            <w:r w:rsidR="00DE689D">
              <w:rPr>
                <w:szCs w:val="21"/>
              </w:rPr>
              <w:t>27</w:t>
            </w:r>
            <w:r>
              <w:rPr>
                <w:szCs w:val="21"/>
              </w:rPr>
              <w:t>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12,001,409.92</w:t>
            </w:r>
          </w:p>
        </w:tc>
        <w:tc>
          <w:tcPr>
            <w:tcW w:w="0" w:type="auto"/>
            <w:vAlign w:val="center"/>
          </w:tcPr>
          <w:p w:rsidR="002C102E" w:rsidRDefault="00994D1D" w:rsidP="00DE689D">
            <w:pPr>
              <w:jc w:val="center"/>
            </w:pPr>
            <w:r>
              <w:rPr>
                <w:szCs w:val="21"/>
              </w:rPr>
              <w:t>0.</w:t>
            </w:r>
            <w:r w:rsidR="00DE689D">
              <w:rPr>
                <w:szCs w:val="21"/>
              </w:rPr>
              <w:t>32</w:t>
            </w:r>
            <w:r>
              <w:rPr>
                <w:szCs w:val="21"/>
              </w:rPr>
              <w:t>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易方达新收益灵活配置混合型证券投资基金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1,030,927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28,999,976.51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0.46%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34,804,095.52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0.55%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  <w:bookmarkStart w:id="0" w:name="_GoBack"/>
        <w:bookmarkEnd w:id="0"/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易方达安盈回报混合型证券投资基金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284,393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7,999,975.09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0.49%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9,601,107.68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0.59%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易方达丰和债券型证券投资基金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1,564,166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43,999,989.58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52,806,244.16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0.31%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易方达蓝筹精选混合型证券投资基金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4,088,162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114,999,997.06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0.12%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138,016,349.12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易方达磐泰一年持有期混合型证券投资基金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142,196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3,999,973.48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0.22%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4,800,536.96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0.27%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易方达招易一年持有期混合型证券投资基金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213,295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5,999,988.35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0.26%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7,200,839.20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0.31%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易方达悦通一年持有期混合型证券投资基金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106,647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2,999,980.11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0.22%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3,600,402.72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0.26%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易方达悦兴一年持有期混合型证券投</w:t>
            </w:r>
            <w:r>
              <w:rPr>
                <w:szCs w:val="21"/>
              </w:rPr>
              <w:lastRenderedPageBreak/>
              <w:t>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lastRenderedPageBreak/>
              <w:t>1,813,011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50,999,999.43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61,207,251.36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lastRenderedPageBreak/>
              <w:t>易方达磐固六个月持有期混合型证券投资基金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533,238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14,999,984.94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0.21%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18,002,114.88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0.26%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易方达悦享一年持有期混合型证券投资基金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817,632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22,999,988.16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0.24%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27,603,256.32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易方达悦盈一年持有期混合型证券投资基金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355,492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9,999,989.96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12,001,409.92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0.30%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易方达悦弘一年持有期混合型证券投资基金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710,994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20,000,261.22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24,003,157.44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易方达中小盘混合型证券投资基金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10,131,532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284,999,995.16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0.91%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342,040,520.32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1.09%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2C102E">
        <w:trPr>
          <w:jc w:val="center"/>
        </w:trPr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易方达安心回报债券型证券投资基金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1,741,912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48,999,984.56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0.25%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58,806,949.12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0.30%</w:t>
            </w:r>
          </w:p>
        </w:tc>
        <w:tc>
          <w:tcPr>
            <w:tcW w:w="0" w:type="auto"/>
            <w:vAlign w:val="center"/>
          </w:tcPr>
          <w:p w:rsidR="002C102E" w:rsidRDefault="00994D1D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EA10E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2021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4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26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EA10E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EA10E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F2076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2021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4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28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1D" w:rsidRDefault="00994D1D" w:rsidP="004A6FD4">
      <w:r>
        <w:separator/>
      </w:r>
    </w:p>
  </w:endnote>
  <w:endnote w:type="continuationSeparator" w:id="0">
    <w:p w:rsidR="00994D1D" w:rsidRDefault="00994D1D" w:rsidP="004A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1D" w:rsidRDefault="00994D1D" w:rsidP="004A6FD4">
      <w:r>
        <w:separator/>
      </w:r>
    </w:p>
  </w:footnote>
  <w:footnote w:type="continuationSeparator" w:id="0">
    <w:p w:rsidR="00994D1D" w:rsidRDefault="00994D1D" w:rsidP="004A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66CFB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2C102E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94D1D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77E96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DE689D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00AD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4D5F-956C-48F3-9E3A-BE2C526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4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2021-04-27T18:07:00Z</dcterms:created>
  <dcterms:modified xsi:type="dcterms:W3CDTF">2021-04-27T18:07:00Z</dcterms:modified>
</cp:coreProperties>
</file>