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A73" w:rsidRDefault="00001D34" w:rsidP="003E67B9">
      <w:pPr>
        <w:autoSpaceDE w:val="0"/>
        <w:autoSpaceDN w:val="0"/>
        <w:adjustRightInd w:val="0"/>
        <w:spacing w:line="360" w:lineRule="auto"/>
        <w:ind w:firstLineChars="200" w:firstLine="482"/>
        <w:jc w:val="center"/>
        <w:rPr>
          <w:rFonts w:ascii="Times New Roman" w:hAnsi="宋体"/>
          <w:b/>
          <w:color w:val="000000"/>
          <w:kern w:val="0"/>
          <w:sz w:val="24"/>
          <w:szCs w:val="24"/>
        </w:rPr>
      </w:pPr>
      <w:r w:rsidRPr="00CE26C1">
        <w:rPr>
          <w:rFonts w:ascii="Times New Roman" w:hAnsi="宋体" w:hint="eastAsia"/>
          <w:b/>
          <w:color w:val="000000"/>
          <w:kern w:val="0"/>
          <w:sz w:val="24"/>
          <w:szCs w:val="24"/>
        </w:rPr>
        <w:t>华夏</w:t>
      </w:r>
      <w:r w:rsidRPr="00CE26C1">
        <w:rPr>
          <w:rFonts w:ascii="Times New Roman" w:hAnsi="宋体"/>
          <w:b/>
          <w:color w:val="000000"/>
          <w:kern w:val="0"/>
          <w:sz w:val="24"/>
          <w:szCs w:val="24"/>
        </w:rPr>
        <w:t>基金管理有限公司</w:t>
      </w:r>
    </w:p>
    <w:p w:rsidR="00C11A73" w:rsidRDefault="00331C90" w:rsidP="003E67B9">
      <w:pPr>
        <w:autoSpaceDE w:val="0"/>
        <w:autoSpaceDN w:val="0"/>
        <w:adjustRightInd w:val="0"/>
        <w:spacing w:line="360" w:lineRule="auto"/>
        <w:ind w:firstLineChars="200" w:firstLine="482"/>
        <w:jc w:val="center"/>
        <w:rPr>
          <w:rFonts w:ascii="Times New Roman" w:hAnsi="宋体"/>
          <w:b/>
          <w:color w:val="000000"/>
          <w:kern w:val="0"/>
          <w:sz w:val="24"/>
          <w:szCs w:val="24"/>
        </w:rPr>
      </w:pPr>
      <w:r w:rsidRPr="00CE26C1">
        <w:rPr>
          <w:rFonts w:ascii="Times New Roman" w:hAnsi="宋体" w:hint="eastAsia"/>
          <w:b/>
          <w:color w:val="000000"/>
          <w:kern w:val="0"/>
          <w:sz w:val="24"/>
          <w:szCs w:val="24"/>
        </w:rPr>
        <w:t>关于</w:t>
      </w:r>
      <w:r w:rsidR="00C4740A">
        <w:rPr>
          <w:rFonts w:ascii="Times New Roman" w:hAnsi="宋体" w:hint="eastAsia"/>
          <w:b/>
          <w:color w:val="000000"/>
          <w:kern w:val="0"/>
          <w:sz w:val="24"/>
          <w:szCs w:val="24"/>
        </w:rPr>
        <w:t>根据《</w:t>
      </w:r>
      <w:r w:rsidR="00C4740A" w:rsidRPr="00C4740A">
        <w:rPr>
          <w:rFonts w:ascii="Times New Roman" w:hAnsi="宋体" w:hint="eastAsia"/>
          <w:b/>
          <w:color w:val="000000"/>
          <w:kern w:val="0"/>
          <w:sz w:val="24"/>
          <w:szCs w:val="24"/>
        </w:rPr>
        <w:t>公开募集证券投资基金侧袋机制指引（试行）</w:t>
      </w:r>
      <w:r w:rsidR="00C4740A">
        <w:rPr>
          <w:rFonts w:ascii="Times New Roman" w:hAnsi="宋体" w:hint="eastAsia"/>
          <w:b/>
          <w:color w:val="000000"/>
          <w:kern w:val="0"/>
          <w:sz w:val="24"/>
          <w:szCs w:val="24"/>
        </w:rPr>
        <w:t>》</w:t>
      </w:r>
    </w:p>
    <w:p w:rsidR="00331C90" w:rsidRPr="00CE26C1" w:rsidRDefault="009452E8" w:rsidP="003E67B9">
      <w:pPr>
        <w:autoSpaceDE w:val="0"/>
        <w:autoSpaceDN w:val="0"/>
        <w:adjustRightInd w:val="0"/>
        <w:spacing w:line="360" w:lineRule="auto"/>
        <w:ind w:firstLineChars="200" w:firstLine="482"/>
        <w:jc w:val="center"/>
        <w:rPr>
          <w:rFonts w:ascii="Times New Roman" w:hAnsi="宋体"/>
          <w:b/>
          <w:color w:val="000000"/>
          <w:kern w:val="0"/>
          <w:sz w:val="24"/>
          <w:szCs w:val="24"/>
        </w:rPr>
      </w:pPr>
      <w:r w:rsidRPr="00CE26C1">
        <w:rPr>
          <w:rFonts w:ascii="Times New Roman" w:hAnsi="宋体" w:hint="eastAsia"/>
          <w:b/>
          <w:color w:val="000000"/>
          <w:kern w:val="0"/>
          <w:sz w:val="24"/>
          <w:szCs w:val="24"/>
        </w:rPr>
        <w:t>修订</w:t>
      </w:r>
      <w:r w:rsidR="00DD35F9" w:rsidRPr="00CE26C1">
        <w:rPr>
          <w:rFonts w:ascii="Times New Roman" w:hAnsi="宋体" w:hint="eastAsia"/>
          <w:b/>
          <w:color w:val="000000"/>
          <w:kern w:val="0"/>
          <w:sz w:val="24"/>
          <w:szCs w:val="24"/>
        </w:rPr>
        <w:t>旗下部分公募基金</w:t>
      </w:r>
      <w:r w:rsidR="00331C90" w:rsidRPr="00CE26C1">
        <w:rPr>
          <w:rFonts w:ascii="Times New Roman" w:hAnsi="宋体" w:hint="eastAsia"/>
          <w:b/>
          <w:color w:val="000000"/>
          <w:kern w:val="0"/>
          <w:sz w:val="24"/>
          <w:szCs w:val="24"/>
        </w:rPr>
        <w:t>基金合同</w:t>
      </w:r>
      <w:r w:rsidRPr="00CE26C1">
        <w:rPr>
          <w:rFonts w:ascii="Times New Roman" w:hAnsi="宋体" w:hint="eastAsia"/>
          <w:b/>
          <w:color w:val="000000"/>
          <w:kern w:val="0"/>
          <w:sz w:val="24"/>
          <w:szCs w:val="24"/>
        </w:rPr>
        <w:t>的公告</w:t>
      </w:r>
    </w:p>
    <w:p w:rsidR="008D1847" w:rsidRPr="00712841" w:rsidRDefault="008D1847" w:rsidP="003E67B9"/>
    <w:p w:rsidR="00001D34" w:rsidRPr="00712841" w:rsidRDefault="00331C90" w:rsidP="003E67B9">
      <w:pPr>
        <w:autoSpaceDE w:val="0"/>
        <w:autoSpaceDN w:val="0"/>
        <w:adjustRightInd w:val="0"/>
        <w:spacing w:line="360" w:lineRule="auto"/>
        <w:ind w:firstLineChars="200" w:firstLine="480"/>
        <w:rPr>
          <w:rFonts w:ascii="Times New Roman" w:hAnsi="宋体"/>
          <w:color w:val="000000"/>
          <w:kern w:val="0"/>
          <w:sz w:val="24"/>
          <w:szCs w:val="24"/>
        </w:rPr>
      </w:pPr>
      <w:r w:rsidRPr="00712841">
        <w:rPr>
          <w:rFonts w:ascii="Times New Roman" w:hAnsi="宋体" w:hint="eastAsia"/>
          <w:color w:val="000000"/>
          <w:kern w:val="0"/>
          <w:sz w:val="24"/>
          <w:szCs w:val="24"/>
        </w:rPr>
        <w:t>根据</w:t>
      </w:r>
      <w:r w:rsidR="000B3D23" w:rsidRPr="007F125E">
        <w:rPr>
          <w:rFonts w:ascii="Times New Roman" w:hAnsi="宋体"/>
          <w:color w:val="000000"/>
          <w:kern w:val="0"/>
          <w:sz w:val="24"/>
          <w:szCs w:val="24"/>
        </w:rPr>
        <w:t>《中华人民共和国证券投资基金法》《公开募集证券投资基金信息披露管理办法》《公开募集证券投资基金运作管理办法》</w:t>
      </w:r>
      <w:r w:rsidR="00DD35F9">
        <w:rPr>
          <w:rFonts w:ascii="Times New Roman" w:hAnsi="宋体" w:hint="eastAsia"/>
          <w:color w:val="000000"/>
          <w:kern w:val="0"/>
          <w:sz w:val="24"/>
          <w:szCs w:val="24"/>
        </w:rPr>
        <w:t>《</w:t>
      </w:r>
      <w:r w:rsidR="00F67F07" w:rsidRPr="00F67F07">
        <w:rPr>
          <w:rFonts w:ascii="Times New Roman" w:hAnsi="宋体" w:hint="eastAsia"/>
          <w:color w:val="000000"/>
          <w:kern w:val="0"/>
          <w:sz w:val="24"/>
          <w:szCs w:val="24"/>
        </w:rPr>
        <w:t>公开募集证券投资基金侧袋机制指引（试行）</w:t>
      </w:r>
      <w:r w:rsidR="00DD35F9">
        <w:rPr>
          <w:rFonts w:ascii="Times New Roman" w:hAnsi="宋体" w:hint="eastAsia"/>
          <w:color w:val="000000"/>
          <w:kern w:val="0"/>
          <w:sz w:val="24"/>
          <w:szCs w:val="24"/>
        </w:rPr>
        <w:t>》等法律法规及各基金基金合同、招募说明书</w:t>
      </w:r>
      <w:r w:rsidR="00D53360">
        <w:rPr>
          <w:rFonts w:ascii="Times New Roman" w:hAnsi="宋体" w:hint="eastAsia"/>
          <w:color w:val="000000"/>
          <w:kern w:val="0"/>
          <w:sz w:val="24"/>
          <w:szCs w:val="24"/>
        </w:rPr>
        <w:t>（</w:t>
      </w:r>
      <w:r w:rsidR="00170B34">
        <w:rPr>
          <w:rFonts w:ascii="Times New Roman" w:hAnsi="宋体" w:hint="eastAsia"/>
          <w:color w:val="000000"/>
          <w:kern w:val="0"/>
          <w:sz w:val="24"/>
          <w:szCs w:val="24"/>
        </w:rPr>
        <w:t>更新</w:t>
      </w:r>
      <w:r w:rsidR="00850EF8">
        <w:rPr>
          <w:rFonts w:ascii="Times New Roman" w:hAnsi="宋体" w:hint="eastAsia"/>
          <w:color w:val="000000"/>
          <w:kern w:val="0"/>
          <w:sz w:val="24"/>
          <w:szCs w:val="24"/>
        </w:rPr>
        <w:t>）</w:t>
      </w:r>
      <w:r w:rsidR="008C1DCD">
        <w:rPr>
          <w:rFonts w:ascii="Times New Roman" w:hAnsi="宋体" w:hint="eastAsia"/>
          <w:color w:val="000000"/>
          <w:kern w:val="0"/>
          <w:sz w:val="24"/>
          <w:szCs w:val="24"/>
        </w:rPr>
        <w:t>等</w:t>
      </w:r>
      <w:r w:rsidR="00DD35F9">
        <w:rPr>
          <w:rFonts w:ascii="Times New Roman" w:hAnsi="宋体" w:hint="eastAsia"/>
          <w:color w:val="000000"/>
          <w:kern w:val="0"/>
          <w:sz w:val="24"/>
          <w:szCs w:val="24"/>
        </w:rPr>
        <w:t>规定，</w:t>
      </w:r>
      <w:r w:rsidR="005F4812" w:rsidRPr="00712841">
        <w:rPr>
          <w:rFonts w:ascii="Times New Roman" w:hAnsi="宋体" w:hint="eastAsia"/>
          <w:color w:val="000000"/>
          <w:kern w:val="0"/>
          <w:sz w:val="24"/>
          <w:szCs w:val="24"/>
        </w:rPr>
        <w:t>经与</w:t>
      </w:r>
      <w:r w:rsidR="00F74512">
        <w:rPr>
          <w:rFonts w:ascii="Times New Roman" w:hAnsi="宋体" w:hint="eastAsia"/>
          <w:color w:val="000000"/>
          <w:kern w:val="0"/>
          <w:sz w:val="24"/>
          <w:szCs w:val="24"/>
        </w:rPr>
        <w:t>各</w:t>
      </w:r>
      <w:r w:rsidR="005F4812" w:rsidRPr="00712841">
        <w:rPr>
          <w:rFonts w:ascii="Times New Roman" w:hAnsi="宋体" w:hint="eastAsia"/>
          <w:color w:val="000000"/>
          <w:kern w:val="0"/>
          <w:sz w:val="24"/>
          <w:szCs w:val="24"/>
        </w:rPr>
        <w:t>基金托管人协商一致，</w:t>
      </w:r>
      <w:r w:rsidR="00DD35F9">
        <w:rPr>
          <w:rFonts w:ascii="Times New Roman" w:hAnsi="宋体" w:hint="eastAsia"/>
          <w:color w:val="000000"/>
          <w:kern w:val="0"/>
          <w:sz w:val="24"/>
          <w:szCs w:val="24"/>
        </w:rPr>
        <w:t>并向中国证监会备案，</w:t>
      </w:r>
      <w:r w:rsidR="00B25241" w:rsidRPr="00712841">
        <w:rPr>
          <w:rFonts w:ascii="Times New Roman" w:hAnsi="宋体" w:hint="eastAsia"/>
          <w:color w:val="000000"/>
          <w:kern w:val="0"/>
          <w:sz w:val="24"/>
          <w:szCs w:val="24"/>
        </w:rPr>
        <w:t>华夏基金管理有限公司（以下简称</w:t>
      </w:r>
      <w:r w:rsidR="00CC72A1" w:rsidRPr="00712841">
        <w:rPr>
          <w:rFonts w:ascii="Times New Roman" w:hAnsi="宋体"/>
          <w:color w:val="000000"/>
          <w:kern w:val="0"/>
          <w:sz w:val="24"/>
          <w:szCs w:val="24"/>
        </w:rPr>
        <w:t>“</w:t>
      </w:r>
      <w:r w:rsidR="00644A7B" w:rsidRPr="00712841">
        <w:rPr>
          <w:rFonts w:ascii="Times New Roman" w:hAnsi="宋体" w:hint="eastAsia"/>
          <w:color w:val="000000"/>
          <w:kern w:val="0"/>
          <w:sz w:val="24"/>
          <w:szCs w:val="24"/>
        </w:rPr>
        <w:t>本</w:t>
      </w:r>
      <w:r w:rsidR="00CC72A1" w:rsidRPr="00712841">
        <w:rPr>
          <w:rFonts w:ascii="Times New Roman" w:hAnsi="宋体" w:hint="eastAsia"/>
          <w:color w:val="000000"/>
          <w:kern w:val="0"/>
          <w:sz w:val="24"/>
          <w:szCs w:val="24"/>
        </w:rPr>
        <w:t>基金</w:t>
      </w:r>
      <w:r w:rsidR="00CC72A1" w:rsidRPr="00712841">
        <w:rPr>
          <w:rFonts w:ascii="Times New Roman" w:hAnsi="宋体"/>
          <w:color w:val="000000"/>
          <w:kern w:val="0"/>
          <w:sz w:val="24"/>
          <w:szCs w:val="24"/>
        </w:rPr>
        <w:t>管理人”</w:t>
      </w:r>
      <w:r w:rsidR="00B25241" w:rsidRPr="00712841">
        <w:rPr>
          <w:rFonts w:ascii="Times New Roman" w:hAnsi="宋体" w:hint="eastAsia"/>
          <w:color w:val="000000"/>
          <w:kern w:val="0"/>
          <w:sz w:val="24"/>
          <w:szCs w:val="24"/>
        </w:rPr>
        <w:t>）</w:t>
      </w:r>
      <w:r w:rsidR="001045DF">
        <w:rPr>
          <w:rFonts w:ascii="Times New Roman" w:hAnsi="宋体" w:hint="eastAsia"/>
          <w:color w:val="000000"/>
          <w:kern w:val="0"/>
          <w:sz w:val="24"/>
          <w:szCs w:val="24"/>
        </w:rPr>
        <w:t>决定</w:t>
      </w:r>
      <w:r w:rsidR="009E0E2E">
        <w:rPr>
          <w:rFonts w:ascii="Times New Roman" w:hAnsi="宋体" w:hint="eastAsia"/>
          <w:color w:val="000000"/>
          <w:kern w:val="0"/>
          <w:sz w:val="24"/>
          <w:szCs w:val="24"/>
        </w:rPr>
        <w:t>对</w:t>
      </w:r>
      <w:r w:rsidR="009F7B08" w:rsidRPr="00712841">
        <w:rPr>
          <w:rFonts w:ascii="Times New Roman" w:hAnsi="宋体" w:hint="eastAsia"/>
          <w:color w:val="000000"/>
          <w:kern w:val="0"/>
          <w:sz w:val="24"/>
          <w:szCs w:val="24"/>
        </w:rPr>
        <w:t>旗下</w:t>
      </w:r>
      <w:r w:rsidR="00E70D50">
        <w:rPr>
          <w:rFonts w:ascii="Times New Roman" w:hAnsi="宋体" w:hint="eastAsia"/>
          <w:color w:val="000000"/>
          <w:kern w:val="0"/>
          <w:sz w:val="24"/>
          <w:szCs w:val="24"/>
        </w:rPr>
        <w:t>5</w:t>
      </w:r>
      <w:r w:rsidR="00C4740A">
        <w:rPr>
          <w:rFonts w:ascii="Times New Roman" w:hAnsi="宋体" w:hint="eastAsia"/>
          <w:color w:val="000000"/>
          <w:kern w:val="0"/>
          <w:sz w:val="24"/>
          <w:szCs w:val="24"/>
        </w:rPr>
        <w:t>1</w:t>
      </w:r>
      <w:r w:rsidR="00DD35F9">
        <w:rPr>
          <w:rFonts w:ascii="Times New Roman" w:hAnsi="宋体" w:hint="eastAsia"/>
          <w:color w:val="000000"/>
          <w:kern w:val="0"/>
          <w:sz w:val="24"/>
          <w:szCs w:val="24"/>
        </w:rPr>
        <w:t>只公募基金</w:t>
      </w:r>
      <w:r w:rsidR="001045DF">
        <w:rPr>
          <w:rFonts w:ascii="Times New Roman" w:hAnsi="宋体" w:hint="eastAsia"/>
          <w:color w:val="000000"/>
          <w:kern w:val="0"/>
          <w:sz w:val="24"/>
          <w:szCs w:val="24"/>
        </w:rPr>
        <w:t>的基金合同等法律文件</w:t>
      </w:r>
      <w:r w:rsidR="009E0E2E">
        <w:rPr>
          <w:rFonts w:ascii="Times New Roman" w:hAnsi="宋体" w:hint="eastAsia"/>
          <w:color w:val="000000"/>
          <w:kern w:val="0"/>
          <w:sz w:val="24"/>
          <w:szCs w:val="24"/>
        </w:rPr>
        <w:t>进行修订</w:t>
      </w:r>
      <w:r w:rsidR="001045DF">
        <w:rPr>
          <w:rFonts w:ascii="Times New Roman" w:hAnsi="宋体" w:hint="eastAsia"/>
          <w:color w:val="000000"/>
          <w:kern w:val="0"/>
          <w:sz w:val="24"/>
          <w:szCs w:val="24"/>
        </w:rPr>
        <w:t>，新增</w:t>
      </w:r>
      <w:r w:rsidR="00E70D50">
        <w:rPr>
          <w:rFonts w:ascii="Times New Roman" w:hAnsi="宋体" w:hint="eastAsia"/>
          <w:color w:val="000000"/>
          <w:kern w:val="0"/>
          <w:sz w:val="24"/>
          <w:szCs w:val="24"/>
        </w:rPr>
        <w:t>侧袋机制</w:t>
      </w:r>
      <w:r w:rsidR="00225862">
        <w:rPr>
          <w:rFonts w:ascii="Times New Roman" w:hAnsi="宋体" w:hint="eastAsia"/>
          <w:color w:val="000000"/>
          <w:kern w:val="0"/>
          <w:sz w:val="24"/>
          <w:szCs w:val="24"/>
        </w:rPr>
        <w:t>相关</w:t>
      </w:r>
      <w:r w:rsidR="001045DF">
        <w:rPr>
          <w:rFonts w:ascii="Times New Roman" w:hAnsi="宋体" w:hint="eastAsia"/>
          <w:color w:val="000000"/>
          <w:kern w:val="0"/>
          <w:sz w:val="24"/>
          <w:szCs w:val="24"/>
        </w:rPr>
        <w:t>约定</w:t>
      </w:r>
      <w:r w:rsidR="00780FE2">
        <w:rPr>
          <w:rFonts w:ascii="Times New Roman" w:hAnsi="宋体" w:hint="eastAsia"/>
          <w:color w:val="000000"/>
          <w:kern w:val="0"/>
          <w:sz w:val="24"/>
          <w:szCs w:val="24"/>
        </w:rPr>
        <w:t>。</w:t>
      </w:r>
      <w:r w:rsidR="004E23CE" w:rsidRPr="00712841">
        <w:rPr>
          <w:rFonts w:ascii="Times New Roman" w:hAnsi="宋体" w:hint="eastAsia"/>
          <w:color w:val="000000"/>
          <w:kern w:val="0"/>
          <w:sz w:val="24"/>
          <w:szCs w:val="24"/>
        </w:rPr>
        <w:t>本次</w:t>
      </w:r>
      <w:r w:rsidR="005F4812" w:rsidRPr="00712841">
        <w:rPr>
          <w:rFonts w:ascii="Times New Roman" w:hAnsi="宋体" w:hint="eastAsia"/>
          <w:color w:val="000000"/>
          <w:kern w:val="0"/>
          <w:sz w:val="24"/>
          <w:szCs w:val="24"/>
        </w:rPr>
        <w:t>修订将</w:t>
      </w:r>
      <w:r w:rsidRPr="00712841">
        <w:rPr>
          <w:rFonts w:ascii="Times New Roman" w:hAnsi="宋体" w:hint="eastAsia"/>
          <w:color w:val="000000"/>
          <w:kern w:val="0"/>
          <w:sz w:val="24"/>
          <w:szCs w:val="24"/>
        </w:rPr>
        <w:t>自</w:t>
      </w:r>
      <w:r w:rsidR="007B5F32" w:rsidRPr="00712841">
        <w:rPr>
          <w:rFonts w:ascii="Times New Roman" w:hAnsi="宋体" w:hint="eastAsia"/>
          <w:color w:val="000000"/>
          <w:kern w:val="0"/>
          <w:sz w:val="24"/>
          <w:szCs w:val="24"/>
        </w:rPr>
        <w:t>202</w:t>
      </w:r>
      <w:r w:rsidR="008035B9">
        <w:rPr>
          <w:rFonts w:ascii="Times New Roman" w:hAnsi="宋体" w:hint="eastAsia"/>
          <w:color w:val="000000"/>
          <w:kern w:val="0"/>
          <w:sz w:val="24"/>
          <w:szCs w:val="24"/>
        </w:rPr>
        <w:t>1</w:t>
      </w:r>
      <w:r w:rsidR="007B5F32" w:rsidRPr="00712841">
        <w:rPr>
          <w:rFonts w:ascii="Times New Roman" w:hAnsi="宋体" w:hint="eastAsia"/>
          <w:color w:val="000000"/>
          <w:kern w:val="0"/>
          <w:sz w:val="24"/>
          <w:szCs w:val="24"/>
        </w:rPr>
        <w:t>年</w:t>
      </w:r>
      <w:r w:rsidR="00CB4E1C">
        <w:rPr>
          <w:rFonts w:ascii="Times New Roman" w:hAnsi="宋体" w:hint="eastAsia"/>
          <w:color w:val="000000"/>
          <w:kern w:val="0"/>
          <w:sz w:val="24"/>
          <w:szCs w:val="24"/>
        </w:rPr>
        <w:t>4</w:t>
      </w:r>
      <w:r w:rsidR="007B5F32" w:rsidRPr="00712841">
        <w:rPr>
          <w:rFonts w:ascii="Times New Roman" w:hAnsi="宋体" w:hint="eastAsia"/>
          <w:color w:val="000000"/>
          <w:kern w:val="0"/>
          <w:sz w:val="24"/>
          <w:szCs w:val="24"/>
        </w:rPr>
        <w:t>月</w:t>
      </w:r>
      <w:r w:rsidR="00F97A0B">
        <w:rPr>
          <w:rFonts w:ascii="Times New Roman" w:hAnsi="宋体" w:hint="eastAsia"/>
          <w:color w:val="000000"/>
          <w:kern w:val="0"/>
          <w:sz w:val="24"/>
          <w:szCs w:val="24"/>
        </w:rPr>
        <w:t>30</w:t>
      </w:r>
      <w:r w:rsidRPr="00712841">
        <w:rPr>
          <w:rFonts w:ascii="Times New Roman" w:hAnsi="宋体" w:hint="eastAsia"/>
          <w:color w:val="000000"/>
          <w:kern w:val="0"/>
          <w:sz w:val="24"/>
          <w:szCs w:val="24"/>
        </w:rPr>
        <w:t>日起</w:t>
      </w:r>
      <w:r w:rsidR="00001D34" w:rsidRPr="00712841">
        <w:rPr>
          <w:rFonts w:ascii="Times New Roman" w:hAnsi="宋体" w:hint="eastAsia"/>
          <w:color w:val="000000"/>
          <w:kern w:val="0"/>
          <w:sz w:val="24"/>
          <w:szCs w:val="24"/>
        </w:rPr>
        <w:t>正式</w:t>
      </w:r>
      <w:r w:rsidR="00986353" w:rsidRPr="00712841">
        <w:rPr>
          <w:rFonts w:ascii="Times New Roman" w:hAnsi="宋体" w:hint="eastAsia"/>
          <w:color w:val="000000"/>
          <w:kern w:val="0"/>
          <w:sz w:val="24"/>
          <w:szCs w:val="24"/>
        </w:rPr>
        <w:t>生效</w:t>
      </w:r>
      <w:r w:rsidR="005F4812" w:rsidRPr="00712841">
        <w:rPr>
          <w:rFonts w:ascii="Times New Roman" w:hAnsi="宋体" w:hint="eastAsia"/>
          <w:color w:val="000000"/>
          <w:kern w:val="0"/>
          <w:sz w:val="24"/>
          <w:szCs w:val="24"/>
        </w:rPr>
        <w:t>。</w:t>
      </w:r>
      <w:r w:rsidR="00171411" w:rsidRPr="00712841">
        <w:rPr>
          <w:rFonts w:ascii="宋体" w:hAnsiTheme="minorHAnsi" w:cs="宋体" w:hint="eastAsia"/>
          <w:kern w:val="0"/>
          <w:sz w:val="24"/>
          <w:szCs w:val="24"/>
        </w:rPr>
        <w:t>现将</w:t>
      </w:r>
      <w:r w:rsidR="00B33D8C">
        <w:rPr>
          <w:rFonts w:ascii="宋体" w:hAnsiTheme="minorHAnsi" w:cs="宋体" w:hint="eastAsia"/>
          <w:kern w:val="0"/>
          <w:sz w:val="24"/>
          <w:szCs w:val="24"/>
        </w:rPr>
        <w:t>基金合同</w:t>
      </w:r>
      <w:r w:rsidR="00171411" w:rsidRPr="00712841">
        <w:rPr>
          <w:rFonts w:ascii="宋体" w:hAnsiTheme="minorHAnsi" w:cs="宋体" w:hint="eastAsia"/>
          <w:kern w:val="0"/>
          <w:sz w:val="24"/>
          <w:szCs w:val="24"/>
        </w:rPr>
        <w:t>修订情况公告如下：</w:t>
      </w:r>
    </w:p>
    <w:p w:rsidR="00B33D8C" w:rsidRDefault="00171411" w:rsidP="003E67B9">
      <w:pPr>
        <w:autoSpaceDE w:val="0"/>
        <w:autoSpaceDN w:val="0"/>
        <w:adjustRightInd w:val="0"/>
        <w:spacing w:line="360" w:lineRule="auto"/>
        <w:ind w:firstLineChars="200" w:firstLine="480"/>
        <w:rPr>
          <w:rFonts w:ascii="Times New Roman" w:hAnsi="宋体"/>
          <w:color w:val="000000"/>
          <w:kern w:val="0"/>
          <w:sz w:val="24"/>
          <w:szCs w:val="24"/>
        </w:rPr>
      </w:pPr>
      <w:r w:rsidRPr="00712841">
        <w:rPr>
          <w:rFonts w:ascii="Times New Roman" w:hAnsi="宋体" w:hint="eastAsia"/>
          <w:color w:val="000000"/>
          <w:kern w:val="0"/>
          <w:sz w:val="24"/>
          <w:szCs w:val="24"/>
        </w:rPr>
        <w:t>一、</w:t>
      </w:r>
      <w:r w:rsidR="00B33D8C">
        <w:rPr>
          <w:rFonts w:ascii="Times New Roman" w:hAnsi="宋体" w:hint="eastAsia"/>
          <w:color w:val="000000"/>
          <w:kern w:val="0"/>
          <w:sz w:val="24"/>
          <w:szCs w:val="24"/>
        </w:rPr>
        <w:t>修订基金范围</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3397"/>
        <w:gridCol w:w="1074"/>
        <w:gridCol w:w="3214"/>
      </w:tblGrid>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center"/>
              <w:rPr>
                <w:rFonts w:ascii="Times New Roman" w:hAnsi="Times New Roman"/>
                <w:b/>
                <w:bCs/>
                <w:kern w:val="0"/>
                <w:szCs w:val="21"/>
              </w:rPr>
            </w:pPr>
            <w:r w:rsidRPr="00DF137F">
              <w:rPr>
                <w:rFonts w:ascii="Times New Roman" w:hAnsi="Times New Roman"/>
                <w:b/>
                <w:bCs/>
                <w:kern w:val="0"/>
                <w:szCs w:val="21"/>
              </w:rPr>
              <w:t>基金代码</w:t>
            </w:r>
          </w:p>
        </w:tc>
        <w:tc>
          <w:tcPr>
            <w:tcW w:w="3397" w:type="dxa"/>
            <w:shd w:val="clear" w:color="auto" w:fill="auto"/>
            <w:noWrap/>
            <w:vAlign w:val="center"/>
            <w:hideMark/>
          </w:tcPr>
          <w:p w:rsidR="00DF137F" w:rsidRPr="00DF137F" w:rsidRDefault="00DF137F" w:rsidP="003E67B9">
            <w:pPr>
              <w:widowControl/>
              <w:jc w:val="center"/>
              <w:rPr>
                <w:rFonts w:ascii="Times New Roman" w:hAnsi="Times New Roman"/>
                <w:b/>
                <w:bCs/>
                <w:kern w:val="0"/>
                <w:szCs w:val="21"/>
              </w:rPr>
            </w:pPr>
            <w:r w:rsidRPr="00DF137F">
              <w:rPr>
                <w:rFonts w:ascii="Times New Roman" w:hAnsi="Times New Roman"/>
                <w:b/>
                <w:bCs/>
                <w:kern w:val="0"/>
                <w:szCs w:val="21"/>
              </w:rPr>
              <w:t>基金名称</w:t>
            </w:r>
          </w:p>
        </w:tc>
        <w:tc>
          <w:tcPr>
            <w:tcW w:w="1074" w:type="dxa"/>
            <w:shd w:val="clear" w:color="auto" w:fill="auto"/>
            <w:noWrap/>
            <w:vAlign w:val="center"/>
            <w:hideMark/>
          </w:tcPr>
          <w:p w:rsidR="00DF137F" w:rsidRPr="00DF137F" w:rsidRDefault="00DF137F" w:rsidP="003E67B9">
            <w:pPr>
              <w:widowControl/>
              <w:jc w:val="center"/>
              <w:rPr>
                <w:rFonts w:ascii="Times New Roman" w:hAnsi="Times New Roman"/>
                <w:b/>
                <w:bCs/>
                <w:kern w:val="0"/>
                <w:szCs w:val="21"/>
              </w:rPr>
            </w:pPr>
            <w:r w:rsidRPr="00DF137F">
              <w:rPr>
                <w:rFonts w:ascii="Times New Roman" w:hAnsi="Times New Roman"/>
                <w:b/>
                <w:bCs/>
                <w:kern w:val="0"/>
                <w:szCs w:val="21"/>
              </w:rPr>
              <w:t>基金代码</w:t>
            </w:r>
          </w:p>
        </w:tc>
        <w:tc>
          <w:tcPr>
            <w:tcW w:w="3214" w:type="dxa"/>
            <w:shd w:val="clear" w:color="auto" w:fill="auto"/>
            <w:noWrap/>
            <w:vAlign w:val="center"/>
            <w:hideMark/>
          </w:tcPr>
          <w:p w:rsidR="00DF137F" w:rsidRPr="00DF137F" w:rsidRDefault="00DF137F" w:rsidP="003E67B9">
            <w:pPr>
              <w:widowControl/>
              <w:jc w:val="center"/>
              <w:rPr>
                <w:rFonts w:ascii="Times New Roman" w:hAnsi="Times New Roman"/>
                <w:b/>
                <w:bCs/>
                <w:kern w:val="0"/>
                <w:szCs w:val="21"/>
              </w:rPr>
            </w:pPr>
            <w:r w:rsidRPr="00DF137F">
              <w:rPr>
                <w:rFonts w:ascii="Times New Roman" w:hAnsi="Times New Roman"/>
                <w:b/>
                <w:bCs/>
                <w:kern w:val="0"/>
                <w:szCs w:val="21"/>
              </w:rPr>
              <w:t>基金名称</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001001</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华夏债券投资基金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005862</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华夏鼎禄三个月定期开放债券型发起式证券投资基金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288102</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华夏稳定双利债券型证券投资基金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006191</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华夏鼎通债券型证券投资基金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001011</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华夏希望债券型证券投资基金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006668</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华夏中短债债券型证券投资基金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001031</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华夏安康信用优选债券型证券投资基金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006665</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华夏鼎康债券型证券投资基金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000015</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华夏纯债债券型证券投资基金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006776</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华夏鼎略债券型证券投资基金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000047</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华夏双债增强债券型证券投资基金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007576</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华夏鼎琪三个月定期开放债券型发起式证券投资基金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000014</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华夏聚利债券型证券投资基金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007282</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华夏鼎淳债券型证券投资基金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002552</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华夏恒利</w:t>
            </w:r>
            <w:r w:rsidRPr="00DF137F">
              <w:rPr>
                <w:rFonts w:ascii="Times New Roman" w:hAnsi="Times New Roman"/>
                <w:kern w:val="0"/>
                <w:szCs w:val="21"/>
              </w:rPr>
              <w:t>3</w:t>
            </w:r>
            <w:r w:rsidRPr="00DF137F">
              <w:rPr>
                <w:rFonts w:ascii="Times New Roman" w:hAnsi="Times New Roman"/>
                <w:kern w:val="0"/>
                <w:szCs w:val="21"/>
              </w:rPr>
              <w:t>个月定期开放债券型证券投资基金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007591</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华夏恒益</w:t>
            </w:r>
            <w:r w:rsidRPr="00DF137F">
              <w:rPr>
                <w:rFonts w:ascii="Times New Roman" w:hAnsi="Times New Roman"/>
                <w:kern w:val="0"/>
                <w:szCs w:val="21"/>
              </w:rPr>
              <w:t>18</w:t>
            </w:r>
            <w:r w:rsidRPr="00DF137F">
              <w:rPr>
                <w:rFonts w:ascii="Times New Roman" w:hAnsi="Times New Roman"/>
                <w:kern w:val="0"/>
                <w:szCs w:val="21"/>
              </w:rPr>
              <w:t>个月定期开放债券型证券投资基金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001045</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华夏可转债增强债券型证券投资基金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007666</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华夏鼎泓债券型证券投资基金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003301</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华夏鼎融债券型证券投资基金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008349</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华夏恒泰</w:t>
            </w:r>
            <w:r w:rsidRPr="00DF137F">
              <w:rPr>
                <w:rFonts w:ascii="Times New Roman" w:hAnsi="Times New Roman"/>
                <w:kern w:val="0"/>
                <w:szCs w:val="21"/>
              </w:rPr>
              <w:t>64</w:t>
            </w:r>
            <w:r w:rsidRPr="00DF137F">
              <w:rPr>
                <w:rFonts w:ascii="Times New Roman" w:hAnsi="Times New Roman"/>
                <w:kern w:val="0"/>
                <w:szCs w:val="21"/>
              </w:rPr>
              <w:t>个月定期开放债券型证券投资基金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002459</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华夏鼎利债券型发起式证券投资基金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004639</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华夏恒慧一年定期开放债券型发起式证券投资基金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003826</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华夏鼎汇债券型证券投资基金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009082</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华夏鼎佳债券型证券投资基金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004052</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华夏鼎智债券型证券投资基金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008266</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华夏鼎明债券型证券投资基金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004061</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华夏鼎隆债券型证券投资基金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008947</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华夏鼎源债券型证券投资基金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004042</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华夏鼎茂债券型证券投资基金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008857</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华夏鼎航债券型证券投资基金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004063</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华夏恒融一年定期开放债券型证券投资基金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009922</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华夏鼎富债券型证券投资基金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lastRenderedPageBreak/>
              <w:t>004979</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华夏鼎诺三个月定期开放债券型发起式证券投资基金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002877</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华夏大中华信用精选债券型证券投资基金（</w:t>
            </w:r>
            <w:r w:rsidRPr="00DF137F">
              <w:rPr>
                <w:rFonts w:ascii="Times New Roman" w:hAnsi="Times New Roman"/>
                <w:kern w:val="0"/>
                <w:szCs w:val="21"/>
              </w:rPr>
              <w:t>QDII</w:t>
            </w:r>
            <w:r w:rsidRPr="00DF137F">
              <w:rPr>
                <w:rFonts w:ascii="Times New Roman" w:hAnsi="Times New Roman"/>
                <w:kern w:val="0"/>
                <w:szCs w:val="21"/>
              </w:rPr>
              <w:t>）</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004921</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华夏鼎瑞三个月定期开放债券型发起式证券投资基金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001061</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华夏海外收益债券型证券投资基金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004923</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华夏鼎祥三个月定期开放债券型发起式证券投资基金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000121</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华夏永福混合型证券投资基金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004672</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华夏短债债券型证券投资基金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005128</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华夏永康添福混合型证券投资基金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004637</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华夏鼎兴债券型证券投资基金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009445</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华夏上海清算所</w:t>
            </w:r>
            <w:r w:rsidRPr="00DF137F">
              <w:rPr>
                <w:rFonts w:ascii="Times New Roman" w:hAnsi="Times New Roman"/>
                <w:kern w:val="0"/>
                <w:szCs w:val="21"/>
              </w:rPr>
              <w:t>1-3</w:t>
            </w:r>
            <w:r w:rsidRPr="00DF137F">
              <w:rPr>
                <w:rFonts w:ascii="Times New Roman" w:hAnsi="Times New Roman"/>
                <w:kern w:val="0"/>
                <w:szCs w:val="21"/>
              </w:rPr>
              <w:t>年高等级国企中期票据指数证券投资基金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005213</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华夏鼎旺三个月定期开放债券型发起式证券投资基金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007186</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华夏中债</w:t>
            </w:r>
            <w:r w:rsidRPr="00DF137F">
              <w:rPr>
                <w:rFonts w:ascii="Times New Roman" w:hAnsi="Times New Roman"/>
                <w:kern w:val="0"/>
                <w:szCs w:val="21"/>
              </w:rPr>
              <w:t>3-5</w:t>
            </w:r>
            <w:r w:rsidRPr="00DF137F">
              <w:rPr>
                <w:rFonts w:ascii="Times New Roman" w:hAnsi="Times New Roman"/>
                <w:kern w:val="0"/>
                <w:szCs w:val="21"/>
              </w:rPr>
              <w:t>年政策性金融债指数证券投资基金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005407</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华夏鼎泰六个月定期开放债券型发起式证券投资基金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007165</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华夏中债</w:t>
            </w:r>
            <w:r w:rsidRPr="00DF137F">
              <w:rPr>
                <w:rFonts w:ascii="Times New Roman" w:hAnsi="Times New Roman"/>
                <w:kern w:val="0"/>
                <w:szCs w:val="21"/>
              </w:rPr>
              <w:t>1-3</w:t>
            </w:r>
            <w:r w:rsidRPr="00DF137F">
              <w:rPr>
                <w:rFonts w:ascii="Times New Roman" w:hAnsi="Times New Roman"/>
                <w:kern w:val="0"/>
                <w:szCs w:val="21"/>
              </w:rPr>
              <w:t>年政策性金融债指数证券投资基金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005886</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华夏鼎沛债券型证券投资基金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005581</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华夏上证</w:t>
            </w:r>
            <w:r w:rsidRPr="00DF137F">
              <w:rPr>
                <w:rFonts w:ascii="Times New Roman" w:hAnsi="Times New Roman"/>
                <w:kern w:val="0"/>
                <w:szCs w:val="21"/>
              </w:rPr>
              <w:t>3-5</w:t>
            </w:r>
            <w:r w:rsidRPr="00DF137F">
              <w:rPr>
                <w:rFonts w:ascii="Times New Roman" w:hAnsi="Times New Roman"/>
                <w:kern w:val="0"/>
                <w:szCs w:val="21"/>
              </w:rPr>
              <w:t>年期中高评级可质押信用债交易型开放式指数证券投资基金发起式联接基金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005364</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华夏鼎顺三个月定期开放债券型发起式证券投资基金</w:t>
            </w:r>
          </w:p>
        </w:tc>
        <w:tc>
          <w:tcPr>
            <w:tcW w:w="107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001021</w:t>
            </w:r>
          </w:p>
        </w:tc>
        <w:tc>
          <w:tcPr>
            <w:tcW w:w="3214"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亚债中国债券指数基金</w:t>
            </w:r>
          </w:p>
        </w:tc>
      </w:tr>
      <w:tr w:rsidR="00DF137F" w:rsidRPr="00DF137F" w:rsidTr="006B73FC">
        <w:trPr>
          <w:trHeight w:val="255"/>
          <w:jc w:val="center"/>
        </w:trPr>
        <w:tc>
          <w:tcPr>
            <w:tcW w:w="1092"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005791</w:t>
            </w:r>
          </w:p>
        </w:tc>
        <w:tc>
          <w:tcPr>
            <w:tcW w:w="3397" w:type="dxa"/>
            <w:shd w:val="clear" w:color="auto" w:fill="auto"/>
            <w:noWrap/>
            <w:vAlign w:val="center"/>
            <w:hideMark/>
          </w:tcPr>
          <w:p w:rsidR="00DF137F" w:rsidRPr="00DF137F" w:rsidRDefault="00DF137F" w:rsidP="003E67B9">
            <w:pPr>
              <w:widowControl/>
              <w:jc w:val="left"/>
              <w:rPr>
                <w:rFonts w:ascii="Times New Roman" w:hAnsi="Times New Roman"/>
                <w:kern w:val="0"/>
                <w:szCs w:val="21"/>
              </w:rPr>
            </w:pPr>
            <w:r w:rsidRPr="00DF137F">
              <w:rPr>
                <w:rFonts w:ascii="Times New Roman" w:hAnsi="Times New Roman"/>
                <w:kern w:val="0"/>
                <w:szCs w:val="21"/>
              </w:rPr>
              <w:t>华夏鼎福三个月定期开放债券型发起式证券投资基金</w:t>
            </w:r>
          </w:p>
        </w:tc>
        <w:tc>
          <w:tcPr>
            <w:tcW w:w="1074" w:type="dxa"/>
            <w:shd w:val="clear" w:color="auto" w:fill="auto"/>
            <w:noWrap/>
            <w:vAlign w:val="center"/>
          </w:tcPr>
          <w:p w:rsidR="00DF137F" w:rsidRPr="00DF137F" w:rsidRDefault="00DF137F" w:rsidP="003E67B9">
            <w:pPr>
              <w:widowControl/>
              <w:jc w:val="left"/>
              <w:rPr>
                <w:rFonts w:ascii="Times New Roman" w:hAnsi="Times New Roman"/>
                <w:kern w:val="0"/>
                <w:szCs w:val="21"/>
              </w:rPr>
            </w:pPr>
          </w:p>
        </w:tc>
        <w:tc>
          <w:tcPr>
            <w:tcW w:w="3214" w:type="dxa"/>
            <w:shd w:val="clear" w:color="auto" w:fill="auto"/>
            <w:noWrap/>
            <w:vAlign w:val="center"/>
          </w:tcPr>
          <w:p w:rsidR="00DF137F" w:rsidRPr="00DF137F" w:rsidRDefault="00DF137F" w:rsidP="003E67B9">
            <w:pPr>
              <w:widowControl/>
              <w:jc w:val="left"/>
              <w:rPr>
                <w:rFonts w:ascii="Times New Roman" w:hAnsi="Times New Roman"/>
                <w:kern w:val="0"/>
                <w:szCs w:val="21"/>
              </w:rPr>
            </w:pPr>
          </w:p>
        </w:tc>
      </w:tr>
    </w:tbl>
    <w:p w:rsidR="00B33D8C" w:rsidRDefault="00D65634" w:rsidP="003E67B9">
      <w:pPr>
        <w:autoSpaceDE w:val="0"/>
        <w:autoSpaceDN w:val="0"/>
        <w:adjustRightInd w:val="0"/>
        <w:spacing w:line="360" w:lineRule="auto"/>
        <w:ind w:firstLineChars="200" w:firstLine="480"/>
        <w:rPr>
          <w:rFonts w:ascii="Times New Roman" w:hAnsi="Times New Roman"/>
          <w:kern w:val="0"/>
          <w:sz w:val="24"/>
          <w:szCs w:val="24"/>
        </w:rPr>
      </w:pPr>
      <w:r w:rsidRPr="009D1B86">
        <w:rPr>
          <w:rFonts w:ascii="Times New Roman" w:hAnsi="Times New Roman" w:hint="eastAsia"/>
          <w:kern w:val="0"/>
          <w:sz w:val="24"/>
          <w:szCs w:val="24"/>
        </w:rPr>
        <w:t>二、基金合同</w:t>
      </w:r>
      <w:r w:rsidR="00CE26C1">
        <w:rPr>
          <w:rFonts w:ascii="Times New Roman" w:hAnsi="Times New Roman" w:hint="eastAsia"/>
          <w:kern w:val="0"/>
          <w:sz w:val="24"/>
          <w:szCs w:val="24"/>
        </w:rPr>
        <w:t>的</w:t>
      </w:r>
      <w:r w:rsidRPr="009D1B86">
        <w:rPr>
          <w:rFonts w:ascii="Times New Roman" w:hAnsi="Times New Roman" w:hint="eastAsia"/>
          <w:kern w:val="0"/>
          <w:sz w:val="24"/>
          <w:szCs w:val="24"/>
        </w:rPr>
        <w:t>修订</w:t>
      </w:r>
    </w:p>
    <w:p w:rsidR="001D4F37" w:rsidRPr="00CE26C1" w:rsidRDefault="00484BE1" w:rsidP="003E67B9">
      <w:pPr>
        <w:autoSpaceDE w:val="0"/>
        <w:autoSpaceDN w:val="0"/>
        <w:adjustRightInd w:val="0"/>
        <w:spacing w:line="360" w:lineRule="auto"/>
        <w:ind w:firstLineChars="200" w:firstLine="480"/>
        <w:rPr>
          <w:rFonts w:ascii="宋体" w:hAnsi="宋体"/>
          <w:kern w:val="0"/>
          <w:sz w:val="24"/>
          <w:szCs w:val="24"/>
        </w:rPr>
      </w:pPr>
      <w:r w:rsidRPr="00CE26C1">
        <w:rPr>
          <w:rFonts w:ascii="宋体" w:hAnsi="宋体" w:hint="eastAsia"/>
          <w:kern w:val="0"/>
          <w:sz w:val="24"/>
          <w:szCs w:val="24"/>
        </w:rPr>
        <w:t>（一）</w:t>
      </w:r>
      <w:r w:rsidR="001D4F37" w:rsidRPr="00CE26C1">
        <w:rPr>
          <w:rFonts w:ascii="宋体" w:hAnsi="宋体" w:hint="eastAsia"/>
          <w:kern w:val="0"/>
          <w:sz w:val="24"/>
          <w:szCs w:val="24"/>
        </w:rPr>
        <w:t>在</w:t>
      </w:r>
      <w:r w:rsidRPr="00CE26C1">
        <w:rPr>
          <w:rFonts w:ascii="宋体" w:hAnsi="宋体" w:hint="eastAsia"/>
          <w:kern w:val="0"/>
          <w:sz w:val="24"/>
          <w:szCs w:val="24"/>
        </w:rPr>
        <w:t>“</w:t>
      </w:r>
      <w:r w:rsidR="001D4F37" w:rsidRPr="00CE26C1">
        <w:rPr>
          <w:rFonts w:ascii="宋体" w:hAnsi="宋体" w:hint="eastAsia"/>
          <w:kern w:val="0"/>
          <w:sz w:val="24"/>
          <w:szCs w:val="24"/>
        </w:rPr>
        <w:t>释义</w:t>
      </w:r>
      <w:r w:rsidRPr="00CE26C1">
        <w:rPr>
          <w:rFonts w:ascii="宋体" w:hAnsi="宋体" w:hint="eastAsia"/>
          <w:kern w:val="0"/>
          <w:sz w:val="24"/>
          <w:szCs w:val="24"/>
        </w:rPr>
        <w:t>”部分</w:t>
      </w:r>
      <w:r w:rsidR="001D4F37" w:rsidRPr="00CE26C1">
        <w:rPr>
          <w:rFonts w:ascii="宋体" w:hAnsi="宋体" w:hint="eastAsia"/>
          <w:kern w:val="0"/>
          <w:sz w:val="24"/>
          <w:szCs w:val="24"/>
        </w:rPr>
        <w:t>新增</w:t>
      </w:r>
      <w:r w:rsidR="001D4F37" w:rsidRPr="00D11E82">
        <w:rPr>
          <w:rFonts w:ascii="宋体" w:hAnsi="宋体" w:hint="eastAsia"/>
          <w:kern w:val="0"/>
          <w:sz w:val="24"/>
          <w:szCs w:val="24"/>
        </w:rPr>
        <w:t>“</w:t>
      </w:r>
      <w:r w:rsidR="001D4F37" w:rsidRPr="00D11E82">
        <w:rPr>
          <w:rFonts w:ascii="宋体" w:hAnsi="宋体" w:hint="eastAsia"/>
          <w:bCs/>
          <w:sz w:val="24"/>
          <w:szCs w:val="24"/>
        </w:rPr>
        <w:t>侧袋机制</w:t>
      </w:r>
      <w:r w:rsidR="001D4F37" w:rsidRPr="00D11E82">
        <w:rPr>
          <w:rFonts w:ascii="宋体" w:hAnsi="宋体" w:hint="eastAsia"/>
          <w:kern w:val="0"/>
          <w:sz w:val="24"/>
          <w:szCs w:val="24"/>
        </w:rPr>
        <w:t>”、“</w:t>
      </w:r>
      <w:r w:rsidR="001D4F37" w:rsidRPr="00D11E82">
        <w:rPr>
          <w:rFonts w:ascii="宋体" w:hAnsi="宋体" w:hint="eastAsia"/>
          <w:bCs/>
          <w:sz w:val="24"/>
          <w:szCs w:val="24"/>
        </w:rPr>
        <w:t>特定资产</w:t>
      </w:r>
      <w:r w:rsidR="001D4F37" w:rsidRPr="00D11E82">
        <w:rPr>
          <w:rFonts w:ascii="宋体" w:hAnsi="宋体" w:hint="eastAsia"/>
          <w:kern w:val="0"/>
          <w:sz w:val="24"/>
          <w:szCs w:val="24"/>
        </w:rPr>
        <w:t>”</w:t>
      </w:r>
      <w:r w:rsidR="001D4F37" w:rsidRPr="00CE26C1">
        <w:rPr>
          <w:rFonts w:ascii="宋体" w:hAnsi="宋体" w:hint="eastAsia"/>
          <w:kern w:val="0"/>
          <w:sz w:val="24"/>
          <w:szCs w:val="24"/>
        </w:rPr>
        <w:t>的释义如下：</w:t>
      </w:r>
    </w:p>
    <w:p w:rsidR="001D4F37" w:rsidRPr="00DA170B" w:rsidRDefault="001D4F37" w:rsidP="003E67B9">
      <w:pPr>
        <w:spacing w:line="360" w:lineRule="auto"/>
        <w:ind w:firstLineChars="200" w:firstLine="480"/>
        <w:rPr>
          <w:rFonts w:ascii="宋体" w:hAnsi="宋体"/>
          <w:b/>
          <w:bCs/>
          <w:sz w:val="24"/>
          <w:szCs w:val="24"/>
        </w:rPr>
      </w:pPr>
      <w:r w:rsidRPr="00CE26C1">
        <w:rPr>
          <w:rFonts w:ascii="宋体" w:hAnsi="宋体" w:hint="eastAsia"/>
          <w:kern w:val="0"/>
          <w:sz w:val="24"/>
          <w:szCs w:val="24"/>
        </w:rPr>
        <w:t>“</w:t>
      </w:r>
      <w:r w:rsidRPr="00DA170B">
        <w:rPr>
          <w:rFonts w:ascii="宋体" w:hAnsi="宋体" w:hint="eastAsia"/>
          <w:b/>
          <w:bCs/>
          <w:sz w:val="24"/>
          <w:szCs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1D4F37" w:rsidRPr="00CE26C1" w:rsidRDefault="001D4F37" w:rsidP="003E67B9">
      <w:pPr>
        <w:autoSpaceDE w:val="0"/>
        <w:autoSpaceDN w:val="0"/>
        <w:adjustRightInd w:val="0"/>
        <w:spacing w:line="360" w:lineRule="auto"/>
        <w:ind w:firstLineChars="200" w:firstLine="482"/>
        <w:rPr>
          <w:rFonts w:ascii="宋体" w:hAnsi="宋体"/>
          <w:kern w:val="0"/>
          <w:sz w:val="24"/>
          <w:szCs w:val="24"/>
        </w:rPr>
      </w:pPr>
      <w:r w:rsidRPr="00DA170B">
        <w:rPr>
          <w:rFonts w:ascii="宋体" w:hAnsi="宋体" w:hint="eastAsia"/>
          <w:b/>
          <w:bCs/>
          <w:sz w:val="24"/>
          <w:szCs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r w:rsidRPr="00CE26C1">
        <w:rPr>
          <w:rFonts w:ascii="宋体" w:hAnsi="宋体" w:hint="eastAsia"/>
          <w:kern w:val="0"/>
          <w:sz w:val="24"/>
          <w:szCs w:val="24"/>
        </w:rPr>
        <w:t>”</w:t>
      </w:r>
    </w:p>
    <w:p w:rsidR="001D4F37" w:rsidRPr="00CE26C1" w:rsidRDefault="001D4F37" w:rsidP="003E67B9">
      <w:pPr>
        <w:autoSpaceDE w:val="0"/>
        <w:autoSpaceDN w:val="0"/>
        <w:adjustRightInd w:val="0"/>
        <w:spacing w:line="360" w:lineRule="auto"/>
        <w:ind w:firstLineChars="200" w:firstLine="480"/>
        <w:rPr>
          <w:rFonts w:ascii="宋体" w:hAnsi="宋体"/>
          <w:kern w:val="0"/>
          <w:sz w:val="24"/>
          <w:szCs w:val="24"/>
        </w:rPr>
      </w:pPr>
      <w:r w:rsidRPr="00CE26C1">
        <w:rPr>
          <w:rFonts w:ascii="宋体" w:hAnsi="宋体" w:hint="eastAsia"/>
          <w:kern w:val="0"/>
          <w:sz w:val="24"/>
          <w:szCs w:val="24"/>
        </w:rPr>
        <w:t>（二）在“基金份额的申购与赎回”章节增加</w:t>
      </w:r>
      <w:r w:rsidR="00931DDD">
        <w:rPr>
          <w:rFonts w:ascii="宋体" w:hAnsi="宋体" w:hint="eastAsia"/>
          <w:bCs/>
          <w:sz w:val="24"/>
          <w:szCs w:val="24"/>
        </w:rPr>
        <w:t>实施侧袋机制期间</w:t>
      </w:r>
      <w:r w:rsidR="00931DDD" w:rsidRPr="00CE26C1">
        <w:rPr>
          <w:rFonts w:ascii="宋体" w:hAnsi="宋体" w:hint="eastAsia"/>
          <w:bCs/>
          <w:sz w:val="24"/>
          <w:szCs w:val="24"/>
        </w:rPr>
        <w:t>基</w:t>
      </w:r>
      <w:r w:rsidR="00931DDD">
        <w:rPr>
          <w:rFonts w:ascii="宋体" w:hAnsi="宋体" w:hint="eastAsia"/>
          <w:bCs/>
          <w:sz w:val="24"/>
          <w:szCs w:val="24"/>
        </w:rPr>
        <w:t>金</w:t>
      </w:r>
      <w:r w:rsidR="00931DDD" w:rsidRPr="00CE26C1">
        <w:rPr>
          <w:rFonts w:ascii="宋体" w:hAnsi="宋体" w:hint="eastAsia"/>
          <w:bCs/>
          <w:sz w:val="24"/>
          <w:szCs w:val="24"/>
        </w:rPr>
        <w:t>申购与赎回</w:t>
      </w:r>
      <w:r w:rsidR="002542CA">
        <w:rPr>
          <w:rFonts w:ascii="宋体" w:hAnsi="宋体" w:hint="eastAsia"/>
          <w:bCs/>
          <w:sz w:val="24"/>
          <w:szCs w:val="24"/>
        </w:rPr>
        <w:t>相关</w:t>
      </w:r>
      <w:r w:rsidRPr="00CE26C1">
        <w:rPr>
          <w:rFonts w:ascii="宋体" w:hAnsi="宋体" w:hint="eastAsia"/>
          <w:kern w:val="0"/>
          <w:sz w:val="24"/>
          <w:szCs w:val="24"/>
        </w:rPr>
        <w:t>内容如下：</w:t>
      </w:r>
    </w:p>
    <w:p w:rsidR="001D4F37" w:rsidRPr="00CE26C1" w:rsidRDefault="001D4F37" w:rsidP="003E67B9">
      <w:pPr>
        <w:spacing w:line="360" w:lineRule="auto"/>
        <w:ind w:firstLineChars="200" w:firstLine="480"/>
        <w:rPr>
          <w:rFonts w:ascii="宋体" w:hAnsi="宋体"/>
          <w:kern w:val="0"/>
          <w:sz w:val="24"/>
          <w:szCs w:val="24"/>
        </w:rPr>
      </w:pPr>
      <w:r w:rsidRPr="00CE26C1">
        <w:rPr>
          <w:rFonts w:ascii="宋体" w:hAnsi="宋体" w:hint="eastAsia"/>
          <w:kern w:val="0"/>
          <w:sz w:val="24"/>
          <w:szCs w:val="24"/>
        </w:rPr>
        <w:t>“</w:t>
      </w:r>
      <w:r w:rsidRPr="00DA170B">
        <w:rPr>
          <w:rFonts w:ascii="宋体" w:hAnsi="宋体" w:hint="eastAsia"/>
          <w:b/>
          <w:bCs/>
          <w:sz w:val="24"/>
          <w:szCs w:val="24"/>
        </w:rPr>
        <w:t>本基金实施侧袋机制的，本基金的申购和赎回安排详见招募说明书或相关公告。</w:t>
      </w:r>
      <w:r w:rsidRPr="00CE26C1">
        <w:rPr>
          <w:rFonts w:ascii="宋体" w:hAnsi="宋体" w:hint="eastAsia"/>
          <w:kern w:val="0"/>
          <w:sz w:val="24"/>
          <w:szCs w:val="24"/>
        </w:rPr>
        <w:t>”</w:t>
      </w:r>
    </w:p>
    <w:p w:rsidR="001D4F37" w:rsidRPr="00CE26C1" w:rsidRDefault="001D4F37" w:rsidP="003E67B9">
      <w:pPr>
        <w:autoSpaceDE w:val="0"/>
        <w:autoSpaceDN w:val="0"/>
        <w:adjustRightInd w:val="0"/>
        <w:spacing w:line="360" w:lineRule="auto"/>
        <w:ind w:firstLineChars="200" w:firstLine="480"/>
        <w:rPr>
          <w:rFonts w:ascii="宋体" w:hAnsi="宋体"/>
          <w:bCs/>
          <w:sz w:val="24"/>
          <w:szCs w:val="24"/>
        </w:rPr>
      </w:pPr>
      <w:r w:rsidRPr="00CE26C1">
        <w:rPr>
          <w:rFonts w:ascii="宋体" w:hAnsi="宋体" w:hint="eastAsia"/>
          <w:kern w:val="0"/>
          <w:sz w:val="24"/>
          <w:szCs w:val="24"/>
        </w:rPr>
        <w:t>（三）在“基金份额持有人大会”章节增加</w:t>
      </w:r>
      <w:r w:rsidRPr="00CE26C1">
        <w:rPr>
          <w:rFonts w:ascii="宋体" w:hAnsi="宋体" w:hint="eastAsia"/>
          <w:bCs/>
          <w:sz w:val="24"/>
          <w:szCs w:val="24"/>
        </w:rPr>
        <w:t>实施侧袋机制期间基金份额持有</w:t>
      </w:r>
      <w:r w:rsidRPr="00CE26C1">
        <w:rPr>
          <w:rFonts w:ascii="宋体" w:hAnsi="宋体" w:hint="eastAsia"/>
          <w:bCs/>
          <w:sz w:val="24"/>
          <w:szCs w:val="24"/>
        </w:rPr>
        <w:lastRenderedPageBreak/>
        <w:t>人大会的特殊约定，具体内容如下</w:t>
      </w:r>
      <w:r w:rsidR="00350C44">
        <w:rPr>
          <w:rFonts w:ascii="宋体" w:hAnsi="宋体" w:hint="eastAsia"/>
          <w:bCs/>
          <w:sz w:val="24"/>
          <w:szCs w:val="24"/>
        </w:rPr>
        <w:t>（本部分不同基金的描述可能存在差异，具体详见各基金基金合同</w:t>
      </w:r>
      <w:r w:rsidR="00214F95">
        <w:rPr>
          <w:rFonts w:ascii="宋体" w:hAnsi="宋体" w:hint="eastAsia"/>
          <w:bCs/>
          <w:sz w:val="24"/>
          <w:szCs w:val="24"/>
        </w:rPr>
        <w:t>，此处以</w:t>
      </w:r>
      <w:r w:rsidR="00214F95" w:rsidRPr="00214F95">
        <w:rPr>
          <w:rFonts w:ascii="宋体" w:hAnsi="宋体" w:hint="eastAsia"/>
          <w:bCs/>
          <w:sz w:val="24"/>
          <w:szCs w:val="24"/>
        </w:rPr>
        <w:t>华夏恒泰</w:t>
      </w:r>
      <w:r w:rsidR="00214F95" w:rsidRPr="00D429EC">
        <w:rPr>
          <w:rFonts w:ascii="Times New Roman" w:hAnsi="Times New Roman"/>
          <w:bCs/>
          <w:sz w:val="24"/>
          <w:szCs w:val="24"/>
        </w:rPr>
        <w:t>64</w:t>
      </w:r>
      <w:r w:rsidR="00214F95" w:rsidRPr="00214F95">
        <w:rPr>
          <w:rFonts w:ascii="宋体" w:hAnsi="宋体" w:hint="eastAsia"/>
          <w:bCs/>
          <w:sz w:val="24"/>
          <w:szCs w:val="24"/>
        </w:rPr>
        <w:t>个月定期开放债券型证券投资基金</w:t>
      </w:r>
      <w:r w:rsidR="004D22DE">
        <w:rPr>
          <w:rFonts w:ascii="宋体" w:hAnsi="宋体" w:hint="eastAsia"/>
          <w:bCs/>
          <w:sz w:val="24"/>
          <w:szCs w:val="24"/>
        </w:rPr>
        <w:t>的</w:t>
      </w:r>
      <w:r w:rsidR="00214F95">
        <w:rPr>
          <w:rFonts w:ascii="宋体" w:hAnsi="宋体" w:hint="eastAsia"/>
          <w:bCs/>
          <w:sz w:val="24"/>
          <w:szCs w:val="24"/>
        </w:rPr>
        <w:t>修订为例</w:t>
      </w:r>
      <w:r w:rsidR="00350C44">
        <w:rPr>
          <w:rFonts w:ascii="宋体" w:hAnsi="宋体" w:hint="eastAsia"/>
          <w:bCs/>
          <w:sz w:val="24"/>
          <w:szCs w:val="24"/>
        </w:rPr>
        <w:t>）</w:t>
      </w:r>
      <w:r w:rsidRPr="00CE26C1">
        <w:rPr>
          <w:rFonts w:ascii="宋体" w:hAnsi="宋体" w:hint="eastAsia"/>
          <w:bCs/>
          <w:sz w:val="24"/>
          <w:szCs w:val="24"/>
        </w:rPr>
        <w:t>：</w:t>
      </w:r>
    </w:p>
    <w:p w:rsidR="001D4F37" w:rsidRPr="00DA170B" w:rsidRDefault="001D4F37" w:rsidP="003E67B9">
      <w:pPr>
        <w:spacing w:line="360" w:lineRule="auto"/>
        <w:ind w:firstLineChars="200" w:firstLine="480"/>
        <w:rPr>
          <w:rFonts w:ascii="Times New Roman" w:hAnsi="Times New Roman"/>
          <w:b/>
          <w:bCs/>
          <w:sz w:val="24"/>
          <w:szCs w:val="24"/>
        </w:rPr>
      </w:pPr>
      <w:r w:rsidRPr="00CE26C1">
        <w:rPr>
          <w:rFonts w:ascii="宋体" w:hAnsi="宋体" w:hint="eastAsia"/>
          <w:bCs/>
          <w:sz w:val="24"/>
          <w:szCs w:val="24"/>
        </w:rPr>
        <w:t>“</w:t>
      </w:r>
      <w:r w:rsidRPr="00DA170B">
        <w:rPr>
          <w:rFonts w:ascii="Times New Roman" w:hAnsi="Times New Roman"/>
          <w:b/>
          <w:bCs/>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1D4F37" w:rsidRPr="00DA170B" w:rsidRDefault="001D4F37"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1</w:t>
      </w:r>
      <w:r w:rsidRPr="00DA170B">
        <w:rPr>
          <w:rFonts w:ascii="Times New Roman" w:hAnsi="Times New Roman"/>
          <w:b/>
          <w:bCs/>
          <w:sz w:val="24"/>
          <w:szCs w:val="24"/>
        </w:rPr>
        <w:t>、基金份额持有人行使提议权、召集权、提名权所需单独或合计代表相关基金份额</w:t>
      </w:r>
      <w:r w:rsidRPr="00DA170B">
        <w:rPr>
          <w:rFonts w:ascii="Times New Roman" w:hAnsi="Times New Roman"/>
          <w:b/>
          <w:bCs/>
          <w:sz w:val="24"/>
          <w:szCs w:val="24"/>
        </w:rPr>
        <w:t>10%</w:t>
      </w:r>
      <w:r w:rsidRPr="00DA170B">
        <w:rPr>
          <w:rFonts w:ascii="Times New Roman" w:hAnsi="Times New Roman"/>
          <w:b/>
          <w:bCs/>
          <w:sz w:val="24"/>
          <w:szCs w:val="24"/>
        </w:rPr>
        <w:t>以上（含</w:t>
      </w:r>
      <w:r w:rsidRPr="00DA170B">
        <w:rPr>
          <w:rFonts w:ascii="Times New Roman" w:hAnsi="Times New Roman"/>
          <w:b/>
          <w:bCs/>
          <w:sz w:val="24"/>
          <w:szCs w:val="24"/>
        </w:rPr>
        <w:t>10%</w:t>
      </w:r>
      <w:r w:rsidRPr="00DA170B">
        <w:rPr>
          <w:rFonts w:ascii="Times New Roman" w:hAnsi="Times New Roman"/>
          <w:b/>
          <w:bCs/>
          <w:sz w:val="24"/>
          <w:szCs w:val="24"/>
        </w:rPr>
        <w:t>）；</w:t>
      </w:r>
    </w:p>
    <w:p w:rsidR="001D4F37" w:rsidRPr="00DA170B" w:rsidRDefault="001D4F37"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2</w:t>
      </w:r>
      <w:r w:rsidRPr="00DA170B">
        <w:rPr>
          <w:rFonts w:ascii="Times New Roman" w:hAnsi="Times New Roman"/>
          <w:b/>
          <w:bCs/>
          <w:sz w:val="24"/>
          <w:szCs w:val="24"/>
        </w:rPr>
        <w:t>、现场开会的到会者在权益登记日代表的基金份额不少于本基金在权益登记日相关基金份额的二分之一（含二分之一）；</w:t>
      </w:r>
    </w:p>
    <w:p w:rsidR="001D4F37" w:rsidRPr="00DA170B" w:rsidRDefault="001D4F37"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3</w:t>
      </w:r>
      <w:r w:rsidRPr="00DA170B">
        <w:rPr>
          <w:rFonts w:ascii="Times New Roman" w:hAnsi="Times New Roman"/>
          <w:b/>
          <w:bCs/>
          <w:sz w:val="24"/>
          <w:szCs w:val="24"/>
        </w:rPr>
        <w:t>、通讯开会的直接出具书面意见或授权他人代表出具书面意见的基金份额持有人所持有的基金份额不小于在权益登记日相关基金份额的二分之一（含二分之一）；</w:t>
      </w:r>
    </w:p>
    <w:p w:rsidR="001D4F37" w:rsidRPr="00DA170B" w:rsidRDefault="001D4F37"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4</w:t>
      </w:r>
      <w:r w:rsidRPr="00DA170B">
        <w:rPr>
          <w:rFonts w:ascii="Times New Roman" w:hAnsi="Times New Roman"/>
          <w:b/>
          <w:bCs/>
          <w:sz w:val="24"/>
          <w:szCs w:val="24"/>
        </w:rPr>
        <w:t>、在参与基金份额持有人大会投票的基金份额持有人所持有的基金份额小于在权益登记日相关基金份额的二分之一、召集人在原公告的基金份额持有人大会召开时间的</w:t>
      </w:r>
      <w:r w:rsidRPr="00DA170B">
        <w:rPr>
          <w:rFonts w:ascii="Times New Roman" w:hAnsi="Times New Roman"/>
          <w:b/>
          <w:bCs/>
          <w:sz w:val="24"/>
          <w:szCs w:val="24"/>
        </w:rPr>
        <w:t>3</w:t>
      </w:r>
      <w:r w:rsidRPr="00DA170B">
        <w:rPr>
          <w:rFonts w:ascii="Times New Roman" w:hAnsi="Times New Roman"/>
          <w:b/>
          <w:bCs/>
          <w:sz w:val="24"/>
          <w:szCs w:val="24"/>
        </w:rPr>
        <w:t>个月以后、</w:t>
      </w:r>
      <w:r w:rsidRPr="00DA170B">
        <w:rPr>
          <w:rFonts w:ascii="Times New Roman" w:hAnsi="Times New Roman"/>
          <w:b/>
          <w:bCs/>
          <w:sz w:val="24"/>
          <w:szCs w:val="24"/>
        </w:rPr>
        <w:t>6</w:t>
      </w:r>
      <w:r w:rsidRPr="00DA170B">
        <w:rPr>
          <w:rFonts w:ascii="Times New Roman" w:hAnsi="Times New Roman"/>
          <w:b/>
          <w:bCs/>
          <w:sz w:val="24"/>
          <w:szCs w:val="24"/>
        </w:rPr>
        <w:t>个月以内就原定审议事项重新召集的基金份额持有人大会应当有代表三分之一以上（含三分之一）相关基金份额的持有人参与或授权他人参与基金份额持有人大会投票；</w:t>
      </w:r>
    </w:p>
    <w:p w:rsidR="001D4F37" w:rsidRPr="00DA170B" w:rsidRDefault="001D4F37"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5</w:t>
      </w:r>
      <w:r w:rsidRPr="00DA170B">
        <w:rPr>
          <w:rFonts w:ascii="Times New Roman" w:hAnsi="Times New Roman"/>
          <w:b/>
          <w:bCs/>
          <w:sz w:val="24"/>
          <w:szCs w:val="24"/>
        </w:rPr>
        <w:t>、现场开会由出席大会的基金份额持有人和代理人所持表决权的</w:t>
      </w:r>
      <w:r w:rsidRPr="00DA170B">
        <w:rPr>
          <w:rFonts w:ascii="Times New Roman" w:hAnsi="Times New Roman"/>
          <w:b/>
          <w:bCs/>
          <w:sz w:val="24"/>
          <w:szCs w:val="24"/>
        </w:rPr>
        <w:t>50%</w:t>
      </w:r>
      <w:r w:rsidRPr="00DA170B">
        <w:rPr>
          <w:rFonts w:ascii="Times New Roman" w:hAnsi="Times New Roman"/>
          <w:b/>
          <w:bCs/>
          <w:sz w:val="24"/>
          <w:szCs w:val="24"/>
        </w:rPr>
        <w:t>以上（含</w:t>
      </w:r>
      <w:r w:rsidRPr="00DA170B">
        <w:rPr>
          <w:rFonts w:ascii="Times New Roman" w:hAnsi="Times New Roman"/>
          <w:b/>
          <w:bCs/>
          <w:sz w:val="24"/>
          <w:szCs w:val="24"/>
        </w:rPr>
        <w:t>50%</w:t>
      </w:r>
      <w:r w:rsidRPr="00DA170B">
        <w:rPr>
          <w:rFonts w:ascii="Times New Roman" w:hAnsi="Times New Roman"/>
          <w:b/>
          <w:bCs/>
          <w:sz w:val="24"/>
          <w:szCs w:val="24"/>
        </w:rPr>
        <w:t>）选举产生一名基金份额持有人作为该次基金份额持有人大会的主持人；</w:t>
      </w:r>
    </w:p>
    <w:p w:rsidR="001D4F37" w:rsidRPr="00DA170B" w:rsidRDefault="001D4F37"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6</w:t>
      </w:r>
      <w:r w:rsidRPr="00DA170B">
        <w:rPr>
          <w:rFonts w:ascii="Times New Roman" w:hAnsi="Times New Roman"/>
          <w:b/>
          <w:bCs/>
          <w:sz w:val="24"/>
          <w:szCs w:val="24"/>
        </w:rPr>
        <w:t>、一般决议须经参加大会的基金份额持有人或其代理人所持表决权的二分之一以上（含二分之一）通过；</w:t>
      </w:r>
    </w:p>
    <w:p w:rsidR="001D4F37" w:rsidRPr="00DA170B" w:rsidRDefault="001D4F37"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7</w:t>
      </w:r>
      <w:r w:rsidRPr="00DA170B">
        <w:rPr>
          <w:rFonts w:ascii="Times New Roman" w:hAnsi="Times New Roman"/>
          <w:b/>
          <w:bCs/>
          <w:sz w:val="24"/>
          <w:szCs w:val="24"/>
        </w:rPr>
        <w:t>、特别决议应当经参加大会的基金份额持有人或其代理人所持表决权的三分之二以上（含三分之二）通过。</w:t>
      </w:r>
    </w:p>
    <w:p w:rsidR="001D4F37" w:rsidRPr="00DA170B" w:rsidRDefault="001D4F37"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rsidR="001D4F37" w:rsidRPr="00CE26C1" w:rsidRDefault="001D4F37" w:rsidP="003E67B9">
      <w:pPr>
        <w:autoSpaceDE w:val="0"/>
        <w:autoSpaceDN w:val="0"/>
        <w:adjustRightInd w:val="0"/>
        <w:spacing w:line="360" w:lineRule="auto"/>
        <w:ind w:firstLineChars="200" w:firstLine="482"/>
        <w:rPr>
          <w:rFonts w:ascii="宋体" w:hAnsi="宋体"/>
          <w:bCs/>
          <w:sz w:val="24"/>
          <w:szCs w:val="24"/>
        </w:rPr>
      </w:pPr>
      <w:r w:rsidRPr="00DA170B">
        <w:rPr>
          <w:rFonts w:ascii="Times New Roman" w:hAnsi="Times New Roman"/>
          <w:b/>
          <w:bCs/>
          <w:sz w:val="24"/>
          <w:szCs w:val="24"/>
        </w:rPr>
        <w:t>侧袋机制实施期间，关于基金份额持有人大会的相关规定以本节特殊约定内容为准，本节没有规定的适用本部分相关约定。</w:t>
      </w:r>
      <w:r w:rsidRPr="00CE26C1">
        <w:rPr>
          <w:rFonts w:ascii="宋体" w:hAnsi="宋体" w:hint="eastAsia"/>
          <w:bCs/>
          <w:sz w:val="24"/>
          <w:szCs w:val="24"/>
        </w:rPr>
        <w:t>”</w:t>
      </w:r>
    </w:p>
    <w:p w:rsidR="001D4F37" w:rsidRPr="00CE26C1" w:rsidRDefault="001D4F37" w:rsidP="003E67B9">
      <w:pPr>
        <w:autoSpaceDE w:val="0"/>
        <w:autoSpaceDN w:val="0"/>
        <w:adjustRightInd w:val="0"/>
        <w:spacing w:line="360" w:lineRule="auto"/>
        <w:ind w:firstLineChars="200" w:firstLine="480"/>
        <w:rPr>
          <w:rFonts w:ascii="宋体" w:hAnsi="宋体"/>
          <w:bCs/>
          <w:sz w:val="24"/>
          <w:szCs w:val="24"/>
        </w:rPr>
      </w:pPr>
      <w:r w:rsidRPr="00CE26C1">
        <w:rPr>
          <w:rFonts w:ascii="宋体" w:hAnsi="宋体" w:hint="eastAsia"/>
          <w:kern w:val="0"/>
          <w:sz w:val="24"/>
          <w:szCs w:val="24"/>
        </w:rPr>
        <w:t>（四）在“基金的投资”章节增加</w:t>
      </w:r>
      <w:r w:rsidRPr="00CE26C1">
        <w:rPr>
          <w:rFonts w:ascii="宋体" w:hAnsi="宋体" w:hint="eastAsia"/>
          <w:sz w:val="24"/>
          <w:szCs w:val="24"/>
        </w:rPr>
        <w:t>侧袋机制的实施和投资运作安排</w:t>
      </w:r>
      <w:r w:rsidRPr="00CE26C1">
        <w:rPr>
          <w:rFonts w:ascii="宋体" w:hAnsi="宋体" w:hint="eastAsia"/>
          <w:bCs/>
          <w:sz w:val="24"/>
          <w:szCs w:val="24"/>
        </w:rPr>
        <w:t>相关内容如下：</w:t>
      </w:r>
    </w:p>
    <w:p w:rsidR="001D4F37" w:rsidRPr="00DA170B" w:rsidRDefault="001D4F37" w:rsidP="003E67B9">
      <w:pPr>
        <w:spacing w:line="360" w:lineRule="auto"/>
        <w:ind w:firstLineChars="200" w:firstLine="480"/>
        <w:rPr>
          <w:rFonts w:ascii="宋体" w:hAnsi="宋体"/>
          <w:b/>
          <w:sz w:val="24"/>
          <w:szCs w:val="24"/>
        </w:rPr>
      </w:pPr>
      <w:r w:rsidRPr="00CE26C1">
        <w:rPr>
          <w:rFonts w:ascii="宋体" w:hAnsi="宋体" w:hint="eastAsia"/>
          <w:bCs/>
          <w:sz w:val="24"/>
          <w:szCs w:val="24"/>
        </w:rPr>
        <w:t>“</w:t>
      </w:r>
      <w:r w:rsidRPr="00DA170B">
        <w:rPr>
          <w:rFonts w:ascii="宋体" w:hAnsi="宋体" w:hint="eastAsia"/>
          <w:b/>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1D4F37" w:rsidRPr="00DA170B" w:rsidRDefault="001D4F37" w:rsidP="003E67B9">
      <w:pPr>
        <w:spacing w:line="360" w:lineRule="auto"/>
        <w:ind w:firstLineChars="200" w:firstLine="482"/>
        <w:rPr>
          <w:rFonts w:ascii="宋体" w:hAnsi="宋体"/>
          <w:b/>
          <w:sz w:val="24"/>
          <w:szCs w:val="24"/>
        </w:rPr>
      </w:pPr>
      <w:r w:rsidRPr="00DA170B">
        <w:rPr>
          <w:rFonts w:ascii="宋体" w:hAnsi="宋体" w:hint="eastAsia"/>
          <w:b/>
          <w:sz w:val="24"/>
          <w:szCs w:val="24"/>
        </w:rPr>
        <w:t>侧袋机制实施期间，本部分约定的投资组合比例、投资策略、组合限制、业绩比较基准、风险收益特征等约定仅适用于主袋账户。</w:t>
      </w:r>
    </w:p>
    <w:p w:rsidR="001D4F37" w:rsidRPr="00CE26C1" w:rsidRDefault="001D4F37" w:rsidP="003E67B9">
      <w:pPr>
        <w:autoSpaceDE w:val="0"/>
        <w:autoSpaceDN w:val="0"/>
        <w:adjustRightInd w:val="0"/>
        <w:spacing w:line="360" w:lineRule="auto"/>
        <w:ind w:firstLineChars="200" w:firstLine="482"/>
        <w:rPr>
          <w:rFonts w:ascii="宋体" w:hAnsi="宋体"/>
          <w:bCs/>
          <w:sz w:val="24"/>
          <w:szCs w:val="24"/>
        </w:rPr>
      </w:pPr>
      <w:r w:rsidRPr="00DA170B">
        <w:rPr>
          <w:rFonts w:ascii="宋体" w:hAnsi="宋体" w:hint="eastAsia"/>
          <w:b/>
          <w:sz w:val="24"/>
          <w:szCs w:val="24"/>
        </w:rPr>
        <w:t>侧袋账户的实施条件、实施程序、运作安排、投资安排、特定资产的处置变现和支付等对投资者权益有重大影响的事项详见招募说明书的规定。</w:t>
      </w:r>
      <w:r w:rsidRPr="00CE26C1">
        <w:rPr>
          <w:rFonts w:ascii="宋体" w:hAnsi="宋体" w:hint="eastAsia"/>
          <w:bCs/>
          <w:sz w:val="24"/>
          <w:szCs w:val="24"/>
        </w:rPr>
        <w:t>”</w:t>
      </w:r>
    </w:p>
    <w:p w:rsidR="001C1D5B" w:rsidRPr="00CE26C1" w:rsidRDefault="001C1D5B" w:rsidP="003E67B9">
      <w:pPr>
        <w:autoSpaceDE w:val="0"/>
        <w:autoSpaceDN w:val="0"/>
        <w:adjustRightInd w:val="0"/>
        <w:spacing w:line="360" w:lineRule="auto"/>
        <w:ind w:firstLineChars="200" w:firstLine="480"/>
        <w:rPr>
          <w:rFonts w:ascii="宋体" w:hAnsi="宋体"/>
          <w:kern w:val="0"/>
          <w:sz w:val="24"/>
          <w:szCs w:val="24"/>
        </w:rPr>
      </w:pPr>
      <w:r w:rsidRPr="00CE26C1">
        <w:rPr>
          <w:rFonts w:ascii="宋体" w:hAnsi="宋体" w:hint="eastAsia"/>
          <w:kern w:val="0"/>
          <w:sz w:val="24"/>
          <w:szCs w:val="24"/>
        </w:rPr>
        <w:t>（五）对“基金资产估值”章节的修订</w:t>
      </w:r>
    </w:p>
    <w:p w:rsidR="001C1D5B" w:rsidRPr="00CE26C1" w:rsidRDefault="001C1D5B" w:rsidP="003E67B9">
      <w:pPr>
        <w:autoSpaceDE w:val="0"/>
        <w:autoSpaceDN w:val="0"/>
        <w:adjustRightInd w:val="0"/>
        <w:spacing w:line="360" w:lineRule="auto"/>
        <w:ind w:firstLineChars="200" w:firstLine="480"/>
        <w:rPr>
          <w:rFonts w:ascii="宋体" w:hAnsi="宋体"/>
          <w:kern w:val="0"/>
          <w:sz w:val="24"/>
          <w:szCs w:val="24"/>
        </w:rPr>
      </w:pPr>
      <w:r w:rsidRPr="00C4740A">
        <w:rPr>
          <w:rFonts w:ascii="Times New Roman" w:hAnsi="Times New Roman"/>
          <w:kern w:val="0"/>
          <w:sz w:val="24"/>
          <w:szCs w:val="24"/>
        </w:rPr>
        <w:t>1</w:t>
      </w:r>
      <w:r w:rsidRPr="00C4740A">
        <w:rPr>
          <w:rFonts w:ascii="Times New Roman" w:hAnsi="Times New Roman"/>
          <w:kern w:val="0"/>
          <w:sz w:val="24"/>
          <w:szCs w:val="24"/>
        </w:rPr>
        <w:t>、</w:t>
      </w:r>
      <w:r w:rsidRPr="00CE26C1">
        <w:rPr>
          <w:rFonts w:ascii="宋体" w:hAnsi="宋体" w:hint="eastAsia"/>
          <w:kern w:val="0"/>
          <w:sz w:val="24"/>
          <w:szCs w:val="24"/>
        </w:rPr>
        <w:t>将“暂停估值的情形”中“</w:t>
      </w:r>
      <w:r w:rsidRPr="00CE26C1">
        <w:rPr>
          <w:rFonts w:ascii="宋体" w:hAnsi="宋体" w:hint="eastAsia"/>
          <w:bCs/>
          <w:sz w:val="24"/>
          <w:szCs w:val="24"/>
        </w:rPr>
        <w:t>当前一估值日基金资产净值</w:t>
      </w:r>
      <w:r w:rsidRPr="00DA170B">
        <w:rPr>
          <w:rFonts w:ascii="Times New Roman" w:hAnsi="Times New Roman"/>
          <w:bCs/>
          <w:sz w:val="24"/>
          <w:szCs w:val="24"/>
        </w:rPr>
        <w:t>50</w:t>
      </w:r>
      <w:r w:rsidRPr="00CE26C1">
        <w:rPr>
          <w:rFonts w:ascii="宋体" w:hAnsi="宋体"/>
          <w:bCs/>
          <w:sz w:val="24"/>
          <w:szCs w:val="24"/>
        </w:rPr>
        <w:t>%</w:t>
      </w:r>
      <w:r w:rsidRPr="00CE26C1">
        <w:rPr>
          <w:rFonts w:ascii="宋体" w:hAnsi="宋体" w:hint="eastAsia"/>
          <w:bCs/>
          <w:sz w:val="24"/>
          <w:szCs w:val="24"/>
        </w:rPr>
        <w:t>以上的资产出现无可参考的活跃市场价格且采用估值技术仍导致公允价值存在重大不确定性时，经与基金托管人协商确认后，基金管理人应当暂停估值。</w:t>
      </w:r>
      <w:r w:rsidRPr="00CE26C1">
        <w:rPr>
          <w:rFonts w:ascii="宋体" w:hAnsi="宋体" w:hint="eastAsia"/>
          <w:kern w:val="0"/>
          <w:sz w:val="24"/>
          <w:szCs w:val="24"/>
        </w:rPr>
        <w:t>”修订为“</w:t>
      </w:r>
      <w:r w:rsidRPr="00DA170B">
        <w:rPr>
          <w:rFonts w:ascii="宋体" w:hAnsi="宋体" w:hint="eastAsia"/>
          <w:b/>
          <w:bCs/>
          <w:sz w:val="24"/>
          <w:szCs w:val="24"/>
        </w:rPr>
        <w:t>当特定资产占前一估值日基金资产净值</w:t>
      </w:r>
      <w:r w:rsidRPr="00DA170B">
        <w:rPr>
          <w:rFonts w:ascii="Times New Roman" w:hAnsi="Times New Roman"/>
          <w:b/>
          <w:bCs/>
          <w:sz w:val="24"/>
          <w:szCs w:val="24"/>
        </w:rPr>
        <w:t>50%</w:t>
      </w:r>
      <w:r w:rsidRPr="00DA170B">
        <w:rPr>
          <w:rFonts w:ascii="宋体" w:hAnsi="宋体" w:hint="eastAsia"/>
          <w:b/>
          <w:bCs/>
          <w:sz w:val="24"/>
          <w:szCs w:val="24"/>
        </w:rPr>
        <w:t>以上的，经与基金托管人协商确认后，基金管理人应当暂停估值。</w:t>
      </w:r>
      <w:r w:rsidRPr="00CE26C1">
        <w:rPr>
          <w:rFonts w:ascii="宋体" w:hAnsi="宋体" w:hint="eastAsia"/>
          <w:kern w:val="0"/>
          <w:sz w:val="24"/>
          <w:szCs w:val="24"/>
        </w:rPr>
        <w:t>”</w:t>
      </w:r>
      <w:r w:rsidR="005B4DD8">
        <w:rPr>
          <w:rFonts w:ascii="宋体" w:hAnsi="宋体" w:hint="eastAsia"/>
          <w:kern w:val="0"/>
          <w:sz w:val="24"/>
          <w:szCs w:val="24"/>
        </w:rPr>
        <w:t>（各基金具体描述详见基金合同）</w:t>
      </w:r>
    </w:p>
    <w:p w:rsidR="001C1D5B" w:rsidRPr="00CE26C1" w:rsidRDefault="001C1D5B" w:rsidP="003E67B9">
      <w:pPr>
        <w:autoSpaceDE w:val="0"/>
        <w:autoSpaceDN w:val="0"/>
        <w:adjustRightInd w:val="0"/>
        <w:spacing w:line="360" w:lineRule="auto"/>
        <w:ind w:firstLineChars="200" w:firstLine="480"/>
        <w:rPr>
          <w:rFonts w:ascii="宋体" w:hAnsi="宋体"/>
          <w:bCs/>
          <w:sz w:val="24"/>
          <w:szCs w:val="24"/>
        </w:rPr>
      </w:pPr>
      <w:r w:rsidRPr="00C4740A">
        <w:rPr>
          <w:rFonts w:ascii="Times New Roman" w:hAnsi="Times New Roman" w:hint="eastAsia"/>
          <w:bCs/>
          <w:sz w:val="24"/>
          <w:szCs w:val="24"/>
        </w:rPr>
        <w:t>2</w:t>
      </w:r>
      <w:r w:rsidRPr="00C4740A">
        <w:rPr>
          <w:rFonts w:ascii="Times New Roman" w:hAnsi="Times New Roman" w:hint="eastAsia"/>
          <w:bCs/>
          <w:sz w:val="24"/>
          <w:szCs w:val="24"/>
        </w:rPr>
        <w:t>、</w:t>
      </w:r>
      <w:r w:rsidRPr="00CE26C1">
        <w:rPr>
          <w:rFonts w:ascii="宋体" w:hAnsi="宋体" w:hint="eastAsia"/>
          <w:kern w:val="0"/>
          <w:sz w:val="24"/>
          <w:szCs w:val="24"/>
        </w:rPr>
        <w:t>增加</w:t>
      </w:r>
      <w:r w:rsidRPr="00CE26C1">
        <w:rPr>
          <w:rFonts w:ascii="宋体" w:hAnsi="宋体" w:hint="eastAsia"/>
          <w:bCs/>
          <w:sz w:val="24"/>
          <w:szCs w:val="24"/>
        </w:rPr>
        <w:t>实施侧袋机制期间基金资产估值相关内容如下：</w:t>
      </w:r>
    </w:p>
    <w:p w:rsidR="001C1D5B" w:rsidRPr="00CE26C1" w:rsidRDefault="001C1D5B" w:rsidP="003E67B9">
      <w:pPr>
        <w:autoSpaceDE w:val="0"/>
        <w:autoSpaceDN w:val="0"/>
        <w:adjustRightInd w:val="0"/>
        <w:spacing w:line="360" w:lineRule="auto"/>
        <w:ind w:firstLineChars="200" w:firstLine="480"/>
        <w:rPr>
          <w:rFonts w:ascii="宋体" w:hAnsi="宋体"/>
          <w:bCs/>
          <w:sz w:val="24"/>
          <w:szCs w:val="24"/>
        </w:rPr>
      </w:pPr>
      <w:r w:rsidRPr="00CE26C1">
        <w:rPr>
          <w:rFonts w:ascii="宋体" w:hAnsi="宋体" w:hint="eastAsia"/>
          <w:bCs/>
          <w:sz w:val="24"/>
          <w:szCs w:val="24"/>
        </w:rPr>
        <w:t>“</w:t>
      </w:r>
      <w:r w:rsidRPr="00DA170B">
        <w:rPr>
          <w:rFonts w:ascii="宋体" w:hAnsi="宋体" w:hint="eastAsia"/>
          <w:b/>
          <w:bCs/>
          <w:sz w:val="24"/>
          <w:szCs w:val="24"/>
        </w:rPr>
        <w:t>本基金实施侧袋机制的，应根据本部分的约定对主袋账户资产进行估值并披露主袋账户的基金净值信息，暂停披露侧袋账户份额净值。</w:t>
      </w:r>
      <w:r w:rsidRPr="00CE26C1">
        <w:rPr>
          <w:rFonts w:ascii="宋体" w:hAnsi="宋体" w:hint="eastAsia"/>
          <w:bCs/>
          <w:sz w:val="24"/>
          <w:szCs w:val="24"/>
        </w:rPr>
        <w:t>”</w:t>
      </w:r>
    </w:p>
    <w:p w:rsidR="001C1D5B" w:rsidRPr="00CE26C1" w:rsidRDefault="001C1D5B" w:rsidP="003E67B9">
      <w:pPr>
        <w:autoSpaceDE w:val="0"/>
        <w:autoSpaceDN w:val="0"/>
        <w:adjustRightInd w:val="0"/>
        <w:spacing w:line="360" w:lineRule="auto"/>
        <w:ind w:firstLineChars="200" w:firstLine="480"/>
        <w:rPr>
          <w:rFonts w:ascii="宋体" w:hAnsi="宋体"/>
          <w:bCs/>
          <w:sz w:val="24"/>
          <w:szCs w:val="24"/>
        </w:rPr>
      </w:pPr>
      <w:r w:rsidRPr="00CE26C1">
        <w:rPr>
          <w:rFonts w:ascii="宋体" w:hAnsi="宋体" w:hint="eastAsia"/>
          <w:kern w:val="0"/>
          <w:sz w:val="24"/>
          <w:szCs w:val="24"/>
        </w:rPr>
        <w:t>（六）在“基金费用与税收”章节增加</w:t>
      </w:r>
      <w:r w:rsidR="00F0470E" w:rsidRPr="00CE26C1">
        <w:rPr>
          <w:rFonts w:ascii="宋体" w:hAnsi="宋体" w:hint="eastAsia"/>
          <w:bCs/>
          <w:sz w:val="24"/>
          <w:szCs w:val="24"/>
        </w:rPr>
        <w:t>实施侧袋机制期间基</w:t>
      </w:r>
      <w:r w:rsidRPr="00CE26C1">
        <w:rPr>
          <w:rFonts w:ascii="宋体" w:hAnsi="宋体" w:hint="eastAsia"/>
          <w:bCs/>
          <w:sz w:val="24"/>
          <w:szCs w:val="24"/>
        </w:rPr>
        <w:t>金费用相关内容如下：</w:t>
      </w:r>
    </w:p>
    <w:p w:rsidR="001C1D5B" w:rsidRPr="00CE26C1" w:rsidRDefault="001C1D5B" w:rsidP="003E67B9">
      <w:pPr>
        <w:autoSpaceDE w:val="0"/>
        <w:autoSpaceDN w:val="0"/>
        <w:adjustRightInd w:val="0"/>
        <w:spacing w:line="360" w:lineRule="auto"/>
        <w:ind w:firstLineChars="200" w:firstLine="480"/>
        <w:rPr>
          <w:rFonts w:ascii="宋体" w:hAnsi="宋体"/>
          <w:bCs/>
          <w:sz w:val="24"/>
          <w:szCs w:val="24"/>
        </w:rPr>
      </w:pPr>
      <w:r w:rsidRPr="00CE26C1">
        <w:rPr>
          <w:rFonts w:ascii="宋体" w:hAnsi="宋体" w:hint="eastAsia"/>
          <w:bCs/>
          <w:sz w:val="24"/>
          <w:szCs w:val="24"/>
        </w:rPr>
        <w:t>“</w:t>
      </w:r>
      <w:r w:rsidRPr="00DA170B">
        <w:rPr>
          <w:rFonts w:ascii="宋体" w:hAnsi="宋体" w:hint="eastAsia"/>
          <w:b/>
          <w:bCs/>
          <w:sz w:val="24"/>
          <w:szCs w:val="24"/>
        </w:rPr>
        <w:t>本基金实施侧袋机制的，与侧袋账户有关的费用可以从侧袋账户中列支，但应待侧袋账户资产变现后方可列支，有关费用可酌情收取或减免，但不得收取管理费，详见招募说明书的规定。</w:t>
      </w:r>
      <w:r w:rsidRPr="00CE26C1">
        <w:rPr>
          <w:rFonts w:ascii="宋体" w:hAnsi="宋体" w:hint="eastAsia"/>
          <w:bCs/>
          <w:sz w:val="24"/>
          <w:szCs w:val="24"/>
        </w:rPr>
        <w:t>”</w:t>
      </w:r>
    </w:p>
    <w:p w:rsidR="00F0470E" w:rsidRPr="00CE26C1" w:rsidRDefault="00F0470E" w:rsidP="003E67B9">
      <w:pPr>
        <w:autoSpaceDE w:val="0"/>
        <w:autoSpaceDN w:val="0"/>
        <w:adjustRightInd w:val="0"/>
        <w:spacing w:line="360" w:lineRule="auto"/>
        <w:ind w:firstLineChars="200" w:firstLine="480"/>
        <w:rPr>
          <w:rFonts w:ascii="宋体" w:hAnsi="宋体"/>
          <w:bCs/>
          <w:sz w:val="24"/>
          <w:szCs w:val="24"/>
        </w:rPr>
      </w:pPr>
      <w:r w:rsidRPr="00CE26C1">
        <w:rPr>
          <w:rFonts w:ascii="宋体" w:hAnsi="宋体" w:hint="eastAsia"/>
          <w:kern w:val="0"/>
          <w:sz w:val="24"/>
          <w:szCs w:val="24"/>
        </w:rPr>
        <w:t>（七）在“基金的收益与分配”章节增加</w:t>
      </w:r>
      <w:r w:rsidR="00AB0B38" w:rsidRPr="00CE26C1">
        <w:rPr>
          <w:rFonts w:ascii="宋体" w:hAnsi="宋体" w:hint="eastAsia"/>
          <w:bCs/>
          <w:sz w:val="24"/>
          <w:szCs w:val="24"/>
        </w:rPr>
        <w:t>实施侧袋机制期间收益分配</w:t>
      </w:r>
      <w:r w:rsidRPr="00CE26C1">
        <w:rPr>
          <w:rFonts w:ascii="宋体" w:hAnsi="宋体" w:hint="eastAsia"/>
          <w:bCs/>
          <w:sz w:val="24"/>
          <w:szCs w:val="24"/>
        </w:rPr>
        <w:t>相关内容如下：</w:t>
      </w:r>
    </w:p>
    <w:p w:rsidR="00AB0B38" w:rsidRPr="00CE26C1" w:rsidRDefault="00AB0B38" w:rsidP="003E67B9">
      <w:pPr>
        <w:autoSpaceDE w:val="0"/>
        <w:autoSpaceDN w:val="0"/>
        <w:adjustRightInd w:val="0"/>
        <w:spacing w:line="360" w:lineRule="auto"/>
        <w:ind w:firstLineChars="200" w:firstLine="480"/>
        <w:rPr>
          <w:rFonts w:ascii="宋体" w:hAnsi="宋体"/>
          <w:bCs/>
          <w:sz w:val="24"/>
          <w:szCs w:val="24"/>
        </w:rPr>
      </w:pPr>
      <w:r w:rsidRPr="00CE26C1">
        <w:rPr>
          <w:rFonts w:ascii="宋体" w:hAnsi="宋体" w:hint="eastAsia"/>
          <w:bCs/>
          <w:sz w:val="24"/>
          <w:szCs w:val="24"/>
        </w:rPr>
        <w:t>“</w:t>
      </w:r>
      <w:r w:rsidRPr="00DA170B">
        <w:rPr>
          <w:rFonts w:ascii="宋体" w:hAnsi="宋体" w:hint="eastAsia"/>
          <w:b/>
          <w:bCs/>
          <w:sz w:val="24"/>
          <w:szCs w:val="24"/>
        </w:rPr>
        <w:t>本基金实施侧袋机制的，侧袋账户不进行收益分配，详见招募说明书的规定。</w:t>
      </w:r>
      <w:r w:rsidRPr="00CE26C1">
        <w:rPr>
          <w:rFonts w:ascii="宋体" w:hAnsi="宋体" w:hint="eastAsia"/>
          <w:bCs/>
          <w:sz w:val="24"/>
          <w:szCs w:val="24"/>
        </w:rPr>
        <w:t>”</w:t>
      </w:r>
    </w:p>
    <w:p w:rsidR="00AB0B38" w:rsidRPr="00CE26C1" w:rsidRDefault="00AB0B38" w:rsidP="003E67B9">
      <w:pPr>
        <w:autoSpaceDE w:val="0"/>
        <w:autoSpaceDN w:val="0"/>
        <w:adjustRightInd w:val="0"/>
        <w:spacing w:line="360" w:lineRule="auto"/>
        <w:ind w:firstLineChars="200" w:firstLine="480"/>
        <w:rPr>
          <w:rFonts w:ascii="宋体" w:hAnsi="宋体"/>
          <w:bCs/>
          <w:sz w:val="24"/>
          <w:szCs w:val="24"/>
        </w:rPr>
      </w:pPr>
      <w:r w:rsidRPr="00CE26C1">
        <w:rPr>
          <w:rFonts w:ascii="宋体" w:hAnsi="宋体" w:hint="eastAsia"/>
          <w:kern w:val="0"/>
          <w:sz w:val="24"/>
          <w:szCs w:val="24"/>
        </w:rPr>
        <w:t>（八）在“基金的信息披露”章节增加</w:t>
      </w:r>
      <w:r w:rsidRPr="00CE26C1">
        <w:rPr>
          <w:rFonts w:ascii="宋体" w:hAnsi="宋体" w:hint="eastAsia"/>
          <w:bCs/>
          <w:sz w:val="24"/>
          <w:szCs w:val="24"/>
        </w:rPr>
        <w:t>实施侧袋机制期间</w:t>
      </w:r>
      <w:r w:rsidR="007E0BCC">
        <w:rPr>
          <w:rFonts w:ascii="宋体" w:hAnsi="宋体" w:hint="eastAsia"/>
          <w:bCs/>
          <w:sz w:val="24"/>
          <w:szCs w:val="24"/>
        </w:rPr>
        <w:t>信</w:t>
      </w:r>
      <w:r w:rsidRPr="00CE26C1">
        <w:rPr>
          <w:rFonts w:ascii="宋体" w:hAnsi="宋体" w:hint="eastAsia"/>
          <w:bCs/>
          <w:sz w:val="24"/>
          <w:szCs w:val="24"/>
        </w:rPr>
        <w:t>息披露相关内容如下：</w:t>
      </w:r>
    </w:p>
    <w:p w:rsidR="00AB0B38" w:rsidRPr="00CE26C1" w:rsidRDefault="00AB0B38" w:rsidP="003E67B9">
      <w:pPr>
        <w:autoSpaceDE w:val="0"/>
        <w:autoSpaceDN w:val="0"/>
        <w:adjustRightInd w:val="0"/>
        <w:spacing w:line="360" w:lineRule="auto"/>
        <w:ind w:firstLineChars="200" w:firstLine="480"/>
        <w:rPr>
          <w:rFonts w:ascii="宋体" w:hAnsi="宋体"/>
          <w:bCs/>
          <w:sz w:val="24"/>
          <w:szCs w:val="24"/>
        </w:rPr>
      </w:pPr>
      <w:r w:rsidRPr="00CE26C1">
        <w:rPr>
          <w:rFonts w:ascii="宋体" w:hAnsi="宋体" w:hint="eastAsia"/>
          <w:bCs/>
          <w:sz w:val="24"/>
          <w:szCs w:val="24"/>
        </w:rPr>
        <w:t>“</w:t>
      </w:r>
      <w:r w:rsidRPr="00DA170B">
        <w:rPr>
          <w:rFonts w:ascii="宋体" w:hAnsi="宋体" w:hint="eastAsia"/>
          <w:b/>
          <w:bCs/>
          <w:sz w:val="24"/>
          <w:szCs w:val="24"/>
        </w:rPr>
        <w:t>本基金实施侧袋机制的，相关信息披露义务人应当根据法律法规、基金合同和招募说明书的规定进行信息披露，详见招募说明书的规定。</w:t>
      </w:r>
      <w:r w:rsidRPr="00CE26C1">
        <w:rPr>
          <w:rFonts w:ascii="宋体" w:hAnsi="宋体" w:hint="eastAsia"/>
          <w:bCs/>
          <w:sz w:val="24"/>
          <w:szCs w:val="24"/>
        </w:rPr>
        <w:t>”</w:t>
      </w:r>
    </w:p>
    <w:p w:rsidR="00C4740A" w:rsidRDefault="00C4740A" w:rsidP="003E67B9">
      <w:pPr>
        <w:autoSpaceDE w:val="0"/>
        <w:autoSpaceDN w:val="0"/>
        <w:adjustRightInd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二、基金招募说明书的修订</w:t>
      </w:r>
    </w:p>
    <w:p w:rsidR="00610680" w:rsidRPr="00610680" w:rsidRDefault="00610680" w:rsidP="003E67B9">
      <w:pPr>
        <w:autoSpaceDE w:val="0"/>
        <w:autoSpaceDN w:val="0"/>
        <w:adjustRightInd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除与基金合同一致</w:t>
      </w:r>
      <w:r w:rsidR="00F71576">
        <w:rPr>
          <w:rFonts w:ascii="Times New Roman" w:hAnsi="Times New Roman" w:hint="eastAsia"/>
          <w:kern w:val="0"/>
          <w:sz w:val="24"/>
          <w:szCs w:val="24"/>
        </w:rPr>
        <w:t>的</w:t>
      </w:r>
      <w:r>
        <w:rPr>
          <w:rFonts w:ascii="Times New Roman" w:hAnsi="Times New Roman" w:hint="eastAsia"/>
          <w:kern w:val="0"/>
          <w:sz w:val="24"/>
          <w:szCs w:val="24"/>
        </w:rPr>
        <w:t>修订内容外，本基金管理人还补充修订了</w:t>
      </w:r>
      <w:r w:rsidR="004E0D51">
        <w:rPr>
          <w:rFonts w:ascii="Times New Roman" w:hAnsi="Times New Roman" w:hint="eastAsia"/>
          <w:kern w:val="0"/>
          <w:sz w:val="24"/>
          <w:szCs w:val="24"/>
        </w:rPr>
        <w:t>如下内容：</w:t>
      </w:r>
    </w:p>
    <w:p w:rsidR="00C4740A" w:rsidRPr="0078760F" w:rsidRDefault="00B310D5" w:rsidP="003E67B9">
      <w:pPr>
        <w:autoSpaceDE w:val="0"/>
        <w:autoSpaceDN w:val="0"/>
        <w:adjustRightInd w:val="0"/>
        <w:spacing w:line="360" w:lineRule="auto"/>
        <w:ind w:firstLineChars="200" w:firstLine="480"/>
        <w:rPr>
          <w:rFonts w:ascii="Times New Roman" w:hAnsi="Times New Roman"/>
          <w:kern w:val="0"/>
          <w:sz w:val="24"/>
          <w:szCs w:val="24"/>
        </w:rPr>
      </w:pPr>
      <w:r w:rsidRPr="007E6D09">
        <w:rPr>
          <w:rFonts w:ascii="Times New Roman" w:hAnsi="Times New Roman" w:hint="eastAsia"/>
          <w:kern w:val="0"/>
          <w:sz w:val="24"/>
          <w:szCs w:val="24"/>
        </w:rPr>
        <w:t>（一）在</w:t>
      </w:r>
      <w:r w:rsidRPr="0078760F">
        <w:rPr>
          <w:rFonts w:ascii="Times New Roman" w:hAnsi="Times New Roman" w:hint="eastAsia"/>
          <w:kern w:val="0"/>
          <w:sz w:val="24"/>
          <w:szCs w:val="24"/>
        </w:rPr>
        <w:t>“重要提示”中新增实施侧袋机制有关风险提示如下：</w:t>
      </w:r>
    </w:p>
    <w:p w:rsidR="00B310D5" w:rsidRPr="007E6D09" w:rsidRDefault="00B310D5" w:rsidP="003E67B9">
      <w:pPr>
        <w:autoSpaceDE w:val="0"/>
        <w:autoSpaceDN w:val="0"/>
        <w:adjustRightInd w:val="0"/>
        <w:spacing w:line="360" w:lineRule="auto"/>
        <w:ind w:firstLineChars="200" w:firstLine="480"/>
        <w:rPr>
          <w:rFonts w:ascii="Times New Roman" w:hAnsi="Times New Roman"/>
          <w:kern w:val="0"/>
          <w:sz w:val="24"/>
          <w:szCs w:val="24"/>
        </w:rPr>
      </w:pPr>
      <w:r w:rsidRPr="0078760F">
        <w:rPr>
          <w:rFonts w:ascii="Times New Roman" w:hAnsi="Times New Roman" w:hint="eastAsia"/>
          <w:kern w:val="0"/>
          <w:sz w:val="24"/>
          <w:szCs w:val="24"/>
        </w:rPr>
        <w:t>“</w:t>
      </w:r>
      <w:r w:rsidRPr="00DA170B">
        <w:rPr>
          <w:rFonts w:hAnsi="宋体" w:hint="eastAsia"/>
          <w:b/>
          <w:color w:val="000000" w:themeColor="text1"/>
          <w:sz w:val="24"/>
          <w:szCs w:val="24"/>
        </w:rPr>
        <w:t>当基金持有特定资产且存在或潜在大额赎回申请时，基金管理人可能依照法律法规及基金合同的约定启用侧袋机制。侧袋机制实施期间，基金管理人将对基金简称进行特殊标识，暂停披露侧袋账户份额净值，不办理侧袋账户的申购赎回。侧袋账户对应特定资产的变现时间和最终变现价格都具有不确定性，并且有可能变现价格大幅低于启用侧袋机制时的特定资产的估值，基金份额持有人可能因此面临损失。投资者在投资本基金之前，请仔细阅读相关内容并关注本基金启用侧袋机制时的特定风险。</w:t>
      </w:r>
      <w:r w:rsidRPr="007E6D09">
        <w:rPr>
          <w:rFonts w:ascii="Times New Roman" w:hAnsi="Times New Roman" w:hint="eastAsia"/>
          <w:kern w:val="0"/>
          <w:sz w:val="24"/>
          <w:szCs w:val="24"/>
        </w:rPr>
        <w:t>”</w:t>
      </w:r>
    </w:p>
    <w:p w:rsidR="00B310D5" w:rsidRPr="0078760F" w:rsidRDefault="00B310D5" w:rsidP="003E67B9">
      <w:pPr>
        <w:autoSpaceDE w:val="0"/>
        <w:autoSpaceDN w:val="0"/>
        <w:adjustRightInd w:val="0"/>
        <w:spacing w:line="360" w:lineRule="auto"/>
        <w:ind w:firstLineChars="200" w:firstLine="480"/>
        <w:rPr>
          <w:rFonts w:ascii="Times New Roman" w:hAnsi="Times New Roman"/>
          <w:kern w:val="0"/>
          <w:sz w:val="24"/>
          <w:szCs w:val="24"/>
        </w:rPr>
      </w:pPr>
      <w:r w:rsidRPr="007E6D09">
        <w:rPr>
          <w:rFonts w:ascii="Times New Roman" w:hAnsi="Times New Roman" w:hint="eastAsia"/>
          <w:kern w:val="0"/>
          <w:sz w:val="24"/>
          <w:szCs w:val="24"/>
        </w:rPr>
        <w:t>（</w:t>
      </w:r>
      <w:r w:rsidRPr="0078760F">
        <w:rPr>
          <w:rFonts w:ascii="Times New Roman" w:hAnsi="Times New Roman" w:hint="eastAsia"/>
          <w:kern w:val="0"/>
          <w:sz w:val="24"/>
          <w:szCs w:val="24"/>
        </w:rPr>
        <w:t>二）新增“</w:t>
      </w:r>
      <w:r w:rsidRPr="0078760F">
        <w:rPr>
          <w:rFonts w:hAnsi="宋体"/>
          <w:bCs/>
          <w:color w:val="000000" w:themeColor="text1"/>
          <w:sz w:val="24"/>
          <w:szCs w:val="24"/>
        </w:rPr>
        <w:t>侧袋机制</w:t>
      </w:r>
      <w:r w:rsidRPr="007E6D09">
        <w:rPr>
          <w:rFonts w:ascii="Times New Roman" w:hAnsi="Times New Roman" w:hint="eastAsia"/>
          <w:kern w:val="0"/>
          <w:sz w:val="24"/>
          <w:szCs w:val="24"/>
        </w:rPr>
        <w:t>”章节，</w:t>
      </w:r>
      <w:r w:rsidR="009F53F0" w:rsidRPr="0078760F">
        <w:rPr>
          <w:rFonts w:ascii="Times New Roman" w:hAnsi="Times New Roman" w:hint="eastAsia"/>
          <w:kern w:val="0"/>
          <w:sz w:val="24"/>
          <w:szCs w:val="24"/>
        </w:rPr>
        <w:t>普通</w:t>
      </w:r>
      <w:r w:rsidR="009351AB" w:rsidRPr="0078760F">
        <w:rPr>
          <w:rFonts w:ascii="Times New Roman" w:hAnsi="Times New Roman" w:hint="eastAsia"/>
          <w:kern w:val="0"/>
          <w:sz w:val="24"/>
          <w:szCs w:val="24"/>
        </w:rPr>
        <w:t>开放式</w:t>
      </w:r>
      <w:r w:rsidR="009F53F0" w:rsidRPr="0078760F">
        <w:rPr>
          <w:rFonts w:ascii="Times New Roman" w:hAnsi="Times New Roman" w:hint="eastAsia"/>
          <w:kern w:val="0"/>
          <w:sz w:val="24"/>
          <w:szCs w:val="24"/>
        </w:rPr>
        <w:t>基金与</w:t>
      </w:r>
      <w:r w:rsidR="009F53F0" w:rsidRPr="0078760F">
        <w:rPr>
          <w:rFonts w:hAnsi="宋体" w:hint="eastAsia"/>
          <w:sz w:val="24"/>
          <w:szCs w:val="24"/>
        </w:rPr>
        <w:t>定期</w:t>
      </w:r>
      <w:r w:rsidR="009351AB" w:rsidRPr="0078760F">
        <w:rPr>
          <w:rFonts w:ascii="Times New Roman" w:hAnsi="Times New Roman" w:hint="eastAsia"/>
          <w:kern w:val="0"/>
          <w:sz w:val="24"/>
          <w:szCs w:val="24"/>
        </w:rPr>
        <w:t>开放式</w:t>
      </w:r>
      <w:r w:rsidRPr="0078760F">
        <w:rPr>
          <w:rFonts w:hAnsi="宋体"/>
          <w:sz w:val="24"/>
          <w:szCs w:val="24"/>
        </w:rPr>
        <w:t>基金</w:t>
      </w:r>
      <w:r w:rsidR="009351AB" w:rsidRPr="0078760F">
        <w:rPr>
          <w:rFonts w:hAnsi="宋体" w:hint="eastAsia"/>
          <w:sz w:val="24"/>
          <w:szCs w:val="24"/>
        </w:rPr>
        <w:t>的具体描述</w:t>
      </w:r>
      <w:r w:rsidR="00E5119C">
        <w:rPr>
          <w:rFonts w:hAnsi="宋体" w:hint="eastAsia"/>
          <w:sz w:val="24"/>
          <w:szCs w:val="24"/>
        </w:rPr>
        <w:t>，以及单一份额类别与多份额类别的具体描述</w:t>
      </w:r>
      <w:r w:rsidR="009351AB" w:rsidRPr="0078760F">
        <w:rPr>
          <w:rFonts w:hAnsi="宋体" w:hint="eastAsia"/>
          <w:sz w:val="24"/>
          <w:szCs w:val="24"/>
        </w:rPr>
        <w:t>存在一定差异，</w:t>
      </w:r>
      <w:r w:rsidR="007D3E27">
        <w:rPr>
          <w:rFonts w:hAnsi="宋体" w:hint="eastAsia"/>
          <w:sz w:val="24"/>
          <w:szCs w:val="24"/>
        </w:rPr>
        <w:t>此处以</w:t>
      </w:r>
      <w:r w:rsidR="004D22DE" w:rsidRPr="00214F95">
        <w:rPr>
          <w:rFonts w:ascii="宋体" w:hAnsi="宋体" w:hint="eastAsia"/>
          <w:bCs/>
          <w:sz w:val="24"/>
          <w:szCs w:val="24"/>
        </w:rPr>
        <w:t>华夏恒泰</w:t>
      </w:r>
      <w:r w:rsidR="004D22DE" w:rsidRPr="00D91FF4">
        <w:rPr>
          <w:rFonts w:ascii="Times New Roman" w:hAnsi="Times New Roman"/>
          <w:bCs/>
          <w:sz w:val="24"/>
          <w:szCs w:val="24"/>
        </w:rPr>
        <w:t>64</w:t>
      </w:r>
      <w:r w:rsidR="004D22DE" w:rsidRPr="00214F95">
        <w:rPr>
          <w:rFonts w:ascii="宋体" w:hAnsi="宋体" w:hint="eastAsia"/>
          <w:bCs/>
          <w:sz w:val="24"/>
          <w:szCs w:val="24"/>
        </w:rPr>
        <w:t>个月定期开放债券型证券投资基金</w:t>
      </w:r>
      <w:r w:rsidR="004D22DE">
        <w:rPr>
          <w:rFonts w:ascii="宋体" w:hAnsi="宋体" w:hint="eastAsia"/>
          <w:bCs/>
          <w:sz w:val="24"/>
          <w:szCs w:val="24"/>
        </w:rPr>
        <w:t>的</w:t>
      </w:r>
      <w:r w:rsidR="007D3E27">
        <w:rPr>
          <w:rFonts w:hAnsi="宋体" w:hint="eastAsia"/>
          <w:sz w:val="24"/>
          <w:szCs w:val="24"/>
        </w:rPr>
        <w:t>修订为例</w:t>
      </w:r>
      <w:r w:rsidR="00270A01">
        <w:rPr>
          <w:rFonts w:hAnsi="宋体" w:hint="eastAsia"/>
          <w:sz w:val="24"/>
          <w:szCs w:val="24"/>
        </w:rPr>
        <w:t>（</w:t>
      </w:r>
      <w:r w:rsidR="00AB51EA">
        <w:rPr>
          <w:rFonts w:hAnsi="宋体" w:hint="eastAsia"/>
          <w:sz w:val="24"/>
          <w:szCs w:val="24"/>
        </w:rPr>
        <w:t>重要差别在括号中说明</w:t>
      </w:r>
      <w:r w:rsidR="004D22DE">
        <w:rPr>
          <w:rFonts w:hAnsi="宋体" w:hint="eastAsia"/>
          <w:sz w:val="24"/>
          <w:szCs w:val="24"/>
        </w:rPr>
        <w:t>，具体详见各基金招募说明书更新</w:t>
      </w:r>
      <w:r w:rsidR="00270A01">
        <w:rPr>
          <w:rFonts w:hAnsi="宋体" w:hint="eastAsia"/>
          <w:sz w:val="24"/>
          <w:szCs w:val="24"/>
        </w:rPr>
        <w:t>）</w:t>
      </w:r>
      <w:r w:rsidRPr="0078760F">
        <w:rPr>
          <w:rFonts w:ascii="Times New Roman" w:hAnsi="Times New Roman" w:hint="eastAsia"/>
          <w:kern w:val="0"/>
          <w:sz w:val="24"/>
          <w:szCs w:val="24"/>
        </w:rPr>
        <w:t>：</w:t>
      </w:r>
    </w:p>
    <w:p w:rsidR="00B310D5" w:rsidRPr="00DA170B" w:rsidRDefault="00B310D5" w:rsidP="003E67B9">
      <w:pPr>
        <w:spacing w:line="360" w:lineRule="auto"/>
        <w:ind w:firstLineChars="200" w:firstLine="480"/>
        <w:rPr>
          <w:b/>
          <w:bCs/>
          <w:sz w:val="24"/>
          <w:szCs w:val="24"/>
        </w:rPr>
      </w:pPr>
      <w:r w:rsidRPr="0078760F">
        <w:rPr>
          <w:rFonts w:ascii="Times New Roman" w:hAnsi="Times New Roman" w:hint="eastAsia"/>
          <w:kern w:val="0"/>
          <w:sz w:val="24"/>
          <w:szCs w:val="24"/>
        </w:rPr>
        <w:t>“</w:t>
      </w:r>
      <w:r w:rsidRPr="00DA170B">
        <w:rPr>
          <w:rFonts w:hint="eastAsia"/>
          <w:b/>
          <w:bCs/>
          <w:sz w:val="24"/>
          <w:szCs w:val="24"/>
        </w:rPr>
        <w:t>（一）侧袋机制的实施条件和实施程序</w:t>
      </w:r>
    </w:p>
    <w:p w:rsidR="00B310D5" w:rsidRPr="00DA170B" w:rsidRDefault="00B310D5" w:rsidP="003E67B9">
      <w:pPr>
        <w:spacing w:line="360" w:lineRule="auto"/>
        <w:ind w:firstLineChars="200" w:firstLine="482"/>
        <w:rPr>
          <w:b/>
          <w:bCs/>
          <w:sz w:val="24"/>
          <w:szCs w:val="24"/>
        </w:rPr>
      </w:pPr>
      <w:r w:rsidRPr="00DA170B">
        <w:rPr>
          <w:rFonts w:hint="eastAsia"/>
          <w:b/>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w:t>
      </w:r>
    </w:p>
    <w:p w:rsidR="00B310D5" w:rsidRPr="00DA170B" w:rsidRDefault="00B310D5" w:rsidP="003E67B9">
      <w:pPr>
        <w:spacing w:line="360" w:lineRule="auto"/>
        <w:ind w:firstLineChars="200" w:firstLine="482"/>
        <w:rPr>
          <w:b/>
          <w:bCs/>
          <w:sz w:val="24"/>
          <w:szCs w:val="24"/>
        </w:rPr>
      </w:pPr>
      <w:r w:rsidRPr="00DA170B">
        <w:rPr>
          <w:rFonts w:hint="eastAsia"/>
          <w:b/>
          <w:bCs/>
          <w:sz w:val="24"/>
          <w:szCs w:val="24"/>
        </w:rPr>
        <w:t>基金管理人应当在启用侧袋机制当日报中国证监会及公司所在地中国证监会派出机构备案。启用侧袋机制后及时聘请符合《证券法》规定的会计师事务所进行审计并披露专项审计意见。</w:t>
      </w:r>
    </w:p>
    <w:p w:rsidR="00B310D5" w:rsidRPr="00DA170B" w:rsidRDefault="00B310D5" w:rsidP="003E67B9">
      <w:pPr>
        <w:spacing w:line="360" w:lineRule="auto"/>
        <w:ind w:firstLineChars="200" w:firstLine="482"/>
        <w:rPr>
          <w:b/>
          <w:bCs/>
          <w:sz w:val="24"/>
          <w:szCs w:val="24"/>
        </w:rPr>
      </w:pPr>
      <w:r w:rsidRPr="00DA170B">
        <w:rPr>
          <w:rFonts w:hint="eastAsia"/>
          <w:b/>
          <w:bCs/>
          <w:sz w:val="24"/>
          <w:szCs w:val="24"/>
        </w:rPr>
        <w:t>（二）实施侧袋机制期间基金份额的申购与赎回</w:t>
      </w:r>
    </w:p>
    <w:p w:rsidR="00B310D5" w:rsidRPr="00DA170B" w:rsidRDefault="00B310D5"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1</w:t>
      </w:r>
      <w:r w:rsidRPr="00DA170B">
        <w:rPr>
          <w:rFonts w:ascii="Times New Roman" w:hAnsi="Times New Roman"/>
          <w:b/>
          <w:bCs/>
          <w:sz w:val="24"/>
          <w:szCs w:val="24"/>
        </w:rPr>
        <w:t>、启用侧袋机制当日，基金登记机构以基金份额持有人的原有账户份额为基础，确认相应侧袋账户的基金份额持有人名册和份额。</w:t>
      </w:r>
      <w:r w:rsidR="00D208ED" w:rsidRPr="00BE4F6F">
        <w:rPr>
          <w:rFonts w:ascii="Times New Roman" w:hAnsi="Times New Roman" w:hint="eastAsia"/>
          <w:bCs/>
          <w:sz w:val="24"/>
          <w:szCs w:val="24"/>
        </w:rPr>
        <w:t>（如</w:t>
      </w:r>
      <w:r w:rsidR="00DA170B" w:rsidRPr="00BE4F6F">
        <w:rPr>
          <w:rFonts w:ascii="Times New Roman" w:hAnsi="Times New Roman" w:hint="eastAsia"/>
          <w:bCs/>
          <w:sz w:val="24"/>
          <w:szCs w:val="24"/>
        </w:rPr>
        <w:t>基金包含多类</w:t>
      </w:r>
      <w:r w:rsidR="00D208ED" w:rsidRPr="00BE4F6F">
        <w:rPr>
          <w:rFonts w:ascii="Times New Roman" w:hAnsi="Times New Roman" w:hint="eastAsia"/>
          <w:bCs/>
          <w:sz w:val="24"/>
          <w:szCs w:val="24"/>
        </w:rPr>
        <w:t>份额类别，则</w:t>
      </w:r>
      <w:r w:rsidR="00D208ED" w:rsidRPr="00BE4F6F">
        <w:rPr>
          <w:rFonts w:hint="eastAsia"/>
          <w:bCs/>
          <w:sz w:val="24"/>
          <w:szCs w:val="24"/>
        </w:rPr>
        <w:t>启用侧袋机制当日，基金登记机构以基金份额持有人的原有账户各类别份额为基础，确认相应侧袋账户的基金份额持有人名册和份额</w:t>
      </w:r>
      <w:r w:rsidR="00D208ED" w:rsidRPr="00BE4F6F">
        <w:rPr>
          <w:rFonts w:ascii="Times New Roman" w:hAnsi="Times New Roman" w:hint="eastAsia"/>
          <w:bCs/>
          <w:sz w:val="24"/>
          <w:szCs w:val="24"/>
        </w:rPr>
        <w:t>）</w:t>
      </w:r>
    </w:p>
    <w:p w:rsidR="00B310D5" w:rsidRPr="00DA170B" w:rsidRDefault="00B310D5"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2</w:t>
      </w:r>
      <w:r w:rsidRPr="00DA170B">
        <w:rPr>
          <w:rFonts w:ascii="Times New Roman" w:hAnsi="Times New Roman"/>
          <w:b/>
          <w:bCs/>
          <w:sz w:val="24"/>
          <w:szCs w:val="24"/>
        </w:rPr>
        <w:t>、对于启用侧袋机制当日收到的赎回申请，基金管理人仅办理主袋账户的赎回申请并支付赎回款项。在启用侧袋机制当日收到的申购申请，视为投资者对侧袋机制启用后的主袋账户提交的申购申请。</w:t>
      </w:r>
    </w:p>
    <w:p w:rsidR="00B310D5" w:rsidRPr="00DA170B" w:rsidRDefault="00B310D5"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3</w:t>
      </w:r>
      <w:r w:rsidRPr="00DA170B">
        <w:rPr>
          <w:rFonts w:ascii="Times New Roman" w:hAnsi="Times New Roman"/>
          <w:b/>
          <w:bCs/>
          <w:sz w:val="24"/>
          <w:szCs w:val="24"/>
        </w:rPr>
        <w:t>、实施侧袋机制期间，不办理侧袋账户份额的申购、赎回、转换等相关业务；同时，基金管理人按照基金合同和招募说明书的约定的政策办理主袋账户份额的赎回，并根据主袋账户运作情况确定是否暂停申购。</w:t>
      </w:r>
    </w:p>
    <w:p w:rsidR="00B310D5" w:rsidRPr="00F53725" w:rsidRDefault="00B310D5" w:rsidP="003E67B9">
      <w:pPr>
        <w:spacing w:line="360" w:lineRule="auto"/>
        <w:ind w:firstLineChars="200" w:firstLine="482"/>
        <w:rPr>
          <w:rFonts w:ascii="Times New Roman" w:hAnsi="Times New Roman"/>
          <w:bCs/>
          <w:sz w:val="24"/>
          <w:szCs w:val="24"/>
        </w:rPr>
      </w:pPr>
      <w:r w:rsidRPr="00DA170B">
        <w:rPr>
          <w:rFonts w:ascii="Times New Roman" w:hAnsi="Times New Roman"/>
          <w:b/>
          <w:bCs/>
          <w:sz w:val="24"/>
          <w:szCs w:val="24"/>
        </w:rPr>
        <w:t>4</w:t>
      </w:r>
      <w:r w:rsidRPr="00DA170B">
        <w:rPr>
          <w:rFonts w:ascii="Times New Roman" w:hAnsi="Times New Roman"/>
          <w:b/>
          <w:bCs/>
          <w:sz w:val="24"/>
          <w:szCs w:val="24"/>
        </w:rPr>
        <w:t>、实施侧袋机制期间，招募说明书中约定的封闭期和开放期安排仅适用主袋份额。</w:t>
      </w:r>
      <w:r w:rsidR="009351AB" w:rsidRPr="00270A01">
        <w:rPr>
          <w:rFonts w:ascii="Times New Roman" w:hAnsi="Times New Roman"/>
          <w:bCs/>
          <w:sz w:val="24"/>
          <w:szCs w:val="24"/>
        </w:rPr>
        <w:t>（普通开放式基金无</w:t>
      </w:r>
      <w:r w:rsidR="00F2492E" w:rsidRPr="00270A01">
        <w:rPr>
          <w:rFonts w:ascii="Times New Roman" w:hAnsi="Times New Roman"/>
          <w:bCs/>
          <w:sz w:val="24"/>
          <w:szCs w:val="24"/>
        </w:rPr>
        <w:t>此</w:t>
      </w:r>
      <w:r w:rsidR="00617F27">
        <w:rPr>
          <w:rFonts w:ascii="Times New Roman" w:hAnsi="Times New Roman" w:hint="eastAsia"/>
          <w:bCs/>
          <w:sz w:val="24"/>
          <w:szCs w:val="24"/>
        </w:rPr>
        <w:t>描述</w:t>
      </w:r>
      <w:r w:rsidR="009351AB" w:rsidRPr="00270A01">
        <w:rPr>
          <w:rFonts w:ascii="Times New Roman" w:hAnsi="Times New Roman"/>
          <w:bCs/>
          <w:sz w:val="24"/>
          <w:szCs w:val="24"/>
        </w:rPr>
        <w:t>）</w:t>
      </w:r>
    </w:p>
    <w:p w:rsidR="00B310D5" w:rsidRPr="00DA170B" w:rsidRDefault="00B310D5"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5</w:t>
      </w:r>
      <w:r w:rsidRPr="00DA170B">
        <w:rPr>
          <w:rFonts w:ascii="Times New Roman" w:hAnsi="Times New Roman"/>
          <w:b/>
          <w:bCs/>
          <w:sz w:val="24"/>
          <w:szCs w:val="24"/>
        </w:rPr>
        <w:t>、申购赎回的具体事项安排见基金管理人届时的相关公告。</w:t>
      </w:r>
    </w:p>
    <w:p w:rsidR="00B310D5" w:rsidRPr="00DA170B" w:rsidRDefault="00B310D5"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（三）实施侧袋机制期间的基金投资</w:t>
      </w:r>
    </w:p>
    <w:p w:rsidR="00B310D5" w:rsidRPr="00DA170B" w:rsidRDefault="00B310D5"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侧袋机制实施期间，基金的各项投资运作指标和基金业绩指标应当以主袋账户资产为基准。</w:t>
      </w:r>
    </w:p>
    <w:p w:rsidR="00B310D5" w:rsidRPr="00DA170B" w:rsidRDefault="00B310D5"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基金管理人原则上应当在侧袋机制启用后</w:t>
      </w:r>
      <w:r w:rsidRPr="00DA170B">
        <w:rPr>
          <w:rFonts w:ascii="Times New Roman" w:hAnsi="Times New Roman"/>
          <w:b/>
          <w:bCs/>
          <w:sz w:val="24"/>
          <w:szCs w:val="24"/>
        </w:rPr>
        <w:t>20</w:t>
      </w:r>
      <w:r w:rsidRPr="00DA170B">
        <w:rPr>
          <w:rFonts w:ascii="Times New Roman" w:hAnsi="Times New Roman"/>
          <w:b/>
          <w:bCs/>
          <w:sz w:val="24"/>
          <w:szCs w:val="24"/>
        </w:rPr>
        <w:t>个交易日内完成对主袋账户投资组合的调整，因资产流动性受限等中国证监会规定的情形除外。</w:t>
      </w:r>
    </w:p>
    <w:p w:rsidR="00B310D5" w:rsidRPr="00DA170B" w:rsidRDefault="00B310D5"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（四）实施侧袋机制期间的基金估值</w:t>
      </w:r>
    </w:p>
    <w:p w:rsidR="00B310D5" w:rsidRPr="00DA170B" w:rsidRDefault="00B310D5"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本基金实施侧袋机制的，基金管理人和基金托管人应对主袋账户资产进行估值并披露主袋账户的基金净值信息，暂停披露侧袋账户份额净值。</w:t>
      </w:r>
    </w:p>
    <w:p w:rsidR="00B310D5" w:rsidRPr="00DA170B" w:rsidRDefault="00B310D5"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（五）实施侧袋机制期间基金的收益分配</w:t>
      </w:r>
    </w:p>
    <w:p w:rsidR="00B310D5" w:rsidRPr="00DA170B" w:rsidRDefault="00B310D5" w:rsidP="003E67B9">
      <w:pPr>
        <w:spacing w:line="360" w:lineRule="auto"/>
        <w:ind w:firstLineChars="225" w:firstLine="542"/>
        <w:rPr>
          <w:rFonts w:ascii="Times New Roman" w:hAnsi="Times New Roman"/>
          <w:b/>
          <w:sz w:val="24"/>
          <w:szCs w:val="24"/>
        </w:rPr>
      </w:pPr>
      <w:r w:rsidRPr="00DA170B">
        <w:rPr>
          <w:rFonts w:ascii="Times New Roman" w:hAnsi="Times New Roman"/>
          <w:b/>
          <w:sz w:val="24"/>
          <w:szCs w:val="24"/>
        </w:rPr>
        <w:t>本基金实施侧袋机制的，侧袋账户不进行收益分配。主袋账户份额满足基金合同分红条款的，可对主袋账户份额进行收益分配。</w:t>
      </w:r>
    </w:p>
    <w:p w:rsidR="00B310D5" w:rsidRPr="00DA170B" w:rsidRDefault="00B310D5"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（六）实施侧袋机制期间的基金费用</w:t>
      </w:r>
    </w:p>
    <w:p w:rsidR="00B310D5" w:rsidRPr="00DA170B" w:rsidRDefault="00B310D5"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实施侧袋机制期间，与处置侧袋账户资产相关的费用可从侧袋账户中列支，但应待侧袋账户资产变现后方可列支，且不得收取管理费。</w:t>
      </w:r>
    </w:p>
    <w:p w:rsidR="00B310D5" w:rsidRPr="00DA170B" w:rsidRDefault="00B310D5"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（七）侧袋账户中特定资产的处置清算</w:t>
      </w:r>
    </w:p>
    <w:p w:rsidR="00B310D5" w:rsidRPr="00F53725" w:rsidRDefault="00B310D5" w:rsidP="003E67B9">
      <w:pPr>
        <w:spacing w:line="360" w:lineRule="auto"/>
        <w:ind w:firstLineChars="200" w:firstLine="482"/>
        <w:rPr>
          <w:rFonts w:ascii="Times New Roman" w:hAnsi="Times New Roman"/>
          <w:bCs/>
          <w:sz w:val="24"/>
          <w:szCs w:val="24"/>
        </w:rPr>
      </w:pPr>
      <w:r w:rsidRPr="00DA170B">
        <w:rPr>
          <w:rFonts w:ascii="Times New Roman" w:hAnsi="Times New Roman"/>
          <w:b/>
          <w:bCs/>
          <w:sz w:val="24"/>
          <w:szCs w:val="24"/>
        </w:rPr>
        <w:t>特定资产恢复流动性后，基金管理人应当按照基金份额持有人利益最大化原则，采取将特定资产予以处置变现等方式，及时向侧袋账户份额持有人支付对应变现款项。侧袋账户变现款项的支付不受招募说明书约定的基金封闭期的限制。</w:t>
      </w:r>
      <w:r w:rsidR="00BD0549" w:rsidRPr="00270A01">
        <w:rPr>
          <w:rFonts w:ascii="Times New Roman" w:hAnsi="Times New Roman"/>
          <w:bCs/>
          <w:sz w:val="24"/>
          <w:szCs w:val="24"/>
        </w:rPr>
        <w:t>（普通开放式基金无封闭期描述）</w:t>
      </w:r>
    </w:p>
    <w:p w:rsidR="00B310D5" w:rsidRPr="00DA170B" w:rsidRDefault="00B310D5" w:rsidP="003E67B9">
      <w:pPr>
        <w:spacing w:line="360" w:lineRule="auto"/>
        <w:ind w:firstLineChars="200" w:firstLine="482"/>
        <w:rPr>
          <w:rFonts w:ascii="Times New Roman" w:hAnsi="Times New Roman"/>
          <w:b/>
          <w:bCs/>
          <w:sz w:val="24"/>
          <w:szCs w:val="24"/>
        </w:rPr>
      </w:pPr>
      <w:r w:rsidRPr="00DA170B">
        <w:rPr>
          <w:rFonts w:ascii="Times New Roman" w:hAnsi="Times New Roman"/>
          <w:b/>
          <w:bCs/>
          <w:sz w:val="24"/>
          <w:szCs w:val="24"/>
        </w:rPr>
        <w:t>侧袋账户资产全部完成变现并终止侧袋机制后，基金管理人及时聘请符合《证券法》规定的会计师事务所进行审计并披露专项审计意见。</w:t>
      </w:r>
    </w:p>
    <w:p w:rsidR="00B310D5" w:rsidRPr="00DA170B" w:rsidRDefault="00B310D5" w:rsidP="003E67B9">
      <w:pPr>
        <w:spacing w:line="360" w:lineRule="auto"/>
        <w:ind w:firstLineChars="200" w:firstLine="482"/>
        <w:rPr>
          <w:rFonts w:ascii="Times New Roman" w:hAnsi="Times New Roman"/>
          <w:b/>
          <w:sz w:val="24"/>
          <w:szCs w:val="24"/>
        </w:rPr>
      </w:pPr>
      <w:r w:rsidRPr="00DA170B">
        <w:rPr>
          <w:rFonts w:ascii="Times New Roman" w:hAnsi="Times New Roman"/>
          <w:b/>
          <w:bCs/>
          <w:sz w:val="24"/>
          <w:szCs w:val="24"/>
        </w:rPr>
        <w:t>（</w:t>
      </w:r>
      <w:r w:rsidRPr="00DA170B">
        <w:rPr>
          <w:rFonts w:ascii="Times New Roman" w:hAnsi="Times New Roman"/>
          <w:b/>
          <w:sz w:val="24"/>
          <w:szCs w:val="24"/>
        </w:rPr>
        <w:t>八</w:t>
      </w:r>
      <w:r w:rsidRPr="00DA170B">
        <w:rPr>
          <w:rFonts w:ascii="Times New Roman" w:hAnsi="Times New Roman"/>
          <w:b/>
          <w:bCs/>
          <w:sz w:val="24"/>
          <w:szCs w:val="24"/>
        </w:rPr>
        <w:t>）</w:t>
      </w:r>
      <w:r w:rsidRPr="00DA170B">
        <w:rPr>
          <w:rFonts w:ascii="Times New Roman" w:hAnsi="Times New Roman"/>
          <w:b/>
          <w:sz w:val="24"/>
          <w:szCs w:val="24"/>
        </w:rPr>
        <w:t>侧袋机制的信息披露</w:t>
      </w:r>
    </w:p>
    <w:p w:rsidR="00B310D5" w:rsidRPr="00DA170B" w:rsidRDefault="00B310D5" w:rsidP="003E67B9">
      <w:pPr>
        <w:spacing w:line="360" w:lineRule="auto"/>
        <w:ind w:firstLineChars="200" w:firstLine="482"/>
        <w:rPr>
          <w:rFonts w:ascii="Times New Roman" w:hAnsi="Times New Roman"/>
          <w:b/>
          <w:sz w:val="24"/>
          <w:szCs w:val="24"/>
        </w:rPr>
      </w:pPr>
      <w:r w:rsidRPr="00DA170B">
        <w:rPr>
          <w:rFonts w:ascii="Times New Roman" w:hAnsi="Times New Roman"/>
          <w:b/>
          <w:sz w:val="24"/>
          <w:szCs w:val="24"/>
        </w:rPr>
        <w:t>1</w:t>
      </w:r>
      <w:r w:rsidRPr="00DA170B">
        <w:rPr>
          <w:rFonts w:ascii="Times New Roman" w:hAnsi="Times New Roman"/>
          <w:b/>
          <w:sz w:val="24"/>
          <w:szCs w:val="24"/>
        </w:rPr>
        <w:t>、临时公告</w:t>
      </w:r>
    </w:p>
    <w:p w:rsidR="00B310D5" w:rsidRPr="00DA170B" w:rsidRDefault="00B310D5" w:rsidP="003E67B9">
      <w:pPr>
        <w:spacing w:line="360" w:lineRule="auto"/>
        <w:ind w:firstLineChars="200" w:firstLine="482"/>
        <w:rPr>
          <w:rFonts w:ascii="Times New Roman" w:hAnsi="Times New Roman"/>
          <w:b/>
          <w:sz w:val="24"/>
          <w:szCs w:val="24"/>
        </w:rPr>
      </w:pPr>
      <w:r w:rsidRPr="00DA170B">
        <w:rPr>
          <w:rFonts w:ascii="Times New Roman" w:hAnsi="Times New Roman"/>
          <w:b/>
          <w:sz w:val="24"/>
          <w:szCs w:val="24"/>
        </w:rPr>
        <w:t>在启用侧袋机制、处置特定资产、终止侧袋机制以及发生其他可能对投资者利益产生重大影响的事项后基金管理人应及时发布临时公告。</w:t>
      </w:r>
    </w:p>
    <w:p w:rsidR="00B310D5" w:rsidRPr="00DA170B" w:rsidRDefault="00B310D5" w:rsidP="003E67B9">
      <w:pPr>
        <w:spacing w:line="360" w:lineRule="auto"/>
        <w:ind w:firstLineChars="200" w:firstLine="482"/>
        <w:rPr>
          <w:rFonts w:ascii="Times New Roman" w:hAnsi="Times New Roman"/>
          <w:b/>
          <w:sz w:val="24"/>
          <w:szCs w:val="24"/>
        </w:rPr>
      </w:pPr>
      <w:r w:rsidRPr="00DA170B">
        <w:rPr>
          <w:rFonts w:ascii="Times New Roman" w:hAnsi="Times New Roman"/>
          <w:b/>
          <w:sz w:val="24"/>
          <w:szCs w:val="24"/>
        </w:rPr>
        <w:t>2</w:t>
      </w:r>
      <w:r w:rsidRPr="00DA170B">
        <w:rPr>
          <w:rFonts w:ascii="Times New Roman" w:hAnsi="Times New Roman"/>
          <w:b/>
          <w:sz w:val="24"/>
          <w:szCs w:val="24"/>
        </w:rPr>
        <w:t>、基金净值信息</w:t>
      </w:r>
    </w:p>
    <w:p w:rsidR="00B310D5" w:rsidRPr="00DA170B" w:rsidRDefault="00B310D5" w:rsidP="003E67B9">
      <w:pPr>
        <w:spacing w:line="360" w:lineRule="auto"/>
        <w:ind w:firstLineChars="200" w:firstLine="482"/>
        <w:rPr>
          <w:rFonts w:ascii="Times New Roman" w:hAnsi="Times New Roman"/>
          <w:b/>
          <w:sz w:val="24"/>
          <w:szCs w:val="24"/>
        </w:rPr>
      </w:pPr>
      <w:r w:rsidRPr="00DA170B">
        <w:rPr>
          <w:rFonts w:ascii="Times New Roman" w:hAnsi="Times New Roman"/>
          <w:b/>
          <w:sz w:val="24"/>
          <w:szCs w:val="24"/>
        </w:rPr>
        <w:t>基金管理人应按照招募说明书</w:t>
      </w:r>
      <w:r w:rsidRPr="00DA170B">
        <w:rPr>
          <w:rFonts w:ascii="Times New Roman" w:hAnsi="Times New Roman"/>
          <w:b/>
          <w:sz w:val="24"/>
          <w:szCs w:val="24"/>
        </w:rPr>
        <w:t>“</w:t>
      </w:r>
      <w:r w:rsidRPr="00DA170B">
        <w:rPr>
          <w:rFonts w:ascii="Times New Roman" w:hAnsi="Times New Roman"/>
          <w:b/>
          <w:sz w:val="24"/>
          <w:szCs w:val="24"/>
        </w:rPr>
        <w:t>基金的信息披露</w:t>
      </w:r>
      <w:r w:rsidRPr="00DA170B">
        <w:rPr>
          <w:rFonts w:ascii="Times New Roman" w:hAnsi="Times New Roman"/>
          <w:b/>
          <w:sz w:val="24"/>
          <w:szCs w:val="24"/>
        </w:rPr>
        <w:t>”</w:t>
      </w:r>
      <w:r w:rsidRPr="00DA170B">
        <w:rPr>
          <w:rFonts w:ascii="Times New Roman" w:hAnsi="Times New Roman"/>
          <w:b/>
          <w:sz w:val="24"/>
          <w:szCs w:val="24"/>
        </w:rPr>
        <w:t>部分规定的基金净值信息披露方式和频率披露主袋账户份额的基金份额净值和基金份额累计净值。实施侧袋机制期间本基金暂停披露侧袋账户的基金份额净值和基金份额累计净值。</w:t>
      </w:r>
    </w:p>
    <w:p w:rsidR="00B310D5" w:rsidRPr="00DA170B" w:rsidRDefault="00B310D5" w:rsidP="003E67B9">
      <w:pPr>
        <w:spacing w:line="360" w:lineRule="auto"/>
        <w:ind w:firstLineChars="200" w:firstLine="482"/>
        <w:rPr>
          <w:rFonts w:ascii="Times New Roman" w:hAnsi="Times New Roman"/>
          <w:b/>
          <w:sz w:val="24"/>
          <w:szCs w:val="24"/>
        </w:rPr>
      </w:pPr>
      <w:r w:rsidRPr="00DA170B">
        <w:rPr>
          <w:rFonts w:ascii="Times New Roman" w:hAnsi="Times New Roman"/>
          <w:b/>
          <w:sz w:val="24"/>
          <w:szCs w:val="24"/>
        </w:rPr>
        <w:t>3</w:t>
      </w:r>
      <w:r w:rsidRPr="00DA170B">
        <w:rPr>
          <w:rFonts w:ascii="Times New Roman" w:hAnsi="Times New Roman"/>
          <w:b/>
          <w:sz w:val="24"/>
          <w:szCs w:val="24"/>
        </w:rPr>
        <w:t>、定期报告</w:t>
      </w:r>
    </w:p>
    <w:p w:rsidR="00B310D5" w:rsidRPr="00DA170B" w:rsidRDefault="00B310D5" w:rsidP="003E67B9">
      <w:pPr>
        <w:spacing w:line="360" w:lineRule="auto"/>
        <w:ind w:firstLineChars="200" w:firstLine="482"/>
        <w:rPr>
          <w:rFonts w:ascii="Times New Roman" w:hAnsi="Times New Roman"/>
          <w:b/>
          <w:sz w:val="24"/>
          <w:szCs w:val="24"/>
        </w:rPr>
      </w:pPr>
      <w:r w:rsidRPr="00DA170B">
        <w:rPr>
          <w:rFonts w:ascii="Times New Roman" w:hAnsi="Times New Roman"/>
          <w:b/>
          <w:sz w:val="24"/>
          <w:szCs w:val="24"/>
        </w:rPr>
        <w:t>侧袋机制实施期间，基金定期报告中的基金会计报表仅需针对主袋账户进行编制。侧袋账户相关信息在定期报告中单独进行披露。</w:t>
      </w:r>
    </w:p>
    <w:p w:rsidR="00B310D5" w:rsidRDefault="00B310D5" w:rsidP="003E67B9">
      <w:pPr>
        <w:autoSpaceDE w:val="0"/>
        <w:autoSpaceDN w:val="0"/>
        <w:adjustRightInd w:val="0"/>
        <w:spacing w:line="360" w:lineRule="auto"/>
        <w:ind w:firstLineChars="200" w:firstLine="482"/>
        <w:rPr>
          <w:rFonts w:ascii="Times New Roman" w:hAnsi="Times New Roman"/>
          <w:kern w:val="0"/>
          <w:sz w:val="24"/>
          <w:szCs w:val="24"/>
        </w:rPr>
      </w:pPr>
      <w:r w:rsidRPr="00DA170B">
        <w:rPr>
          <w:rFonts w:ascii="Times New Roman" w:hAnsi="Times New Roman"/>
          <w:b/>
          <w:sz w:val="24"/>
          <w:szCs w:val="24"/>
        </w:rPr>
        <w:t>（九）</w:t>
      </w:r>
      <w:r w:rsidRPr="00DA170B">
        <w:rPr>
          <w:rFonts w:ascii="Times New Roman" w:hAnsi="Times New Roman"/>
          <w:b/>
          <w:bCs/>
          <w:sz w:val="24"/>
          <w:szCs w:val="24"/>
        </w:rPr>
        <w:t>法律法规或监管机构、行业协会对侧袋机制另有规定的，从其规定。本招募说明书中关于侧袋机制的内容与届时有效的法律法规、相关规定不一致的，以届时的法律法规、相关规定为准，</w:t>
      </w:r>
      <w:r w:rsidRPr="00DA170B">
        <w:rPr>
          <w:rFonts w:ascii="Times New Roman" w:hAnsi="Times New Roman"/>
          <w:b/>
          <w:sz w:val="24"/>
          <w:szCs w:val="24"/>
        </w:rPr>
        <w:t>基金管理人经与基金托管人协商一致并履行适当程序后，在对基金份额持有人利益无实质性不利影响的前提下，可直接对本部分内容进行修改、调整或补充，无需召开基金份额持有人大会审议</w:t>
      </w:r>
      <w:r w:rsidRPr="00DA170B">
        <w:rPr>
          <w:rFonts w:ascii="Times New Roman" w:hAnsi="Times New Roman"/>
          <w:b/>
          <w:bCs/>
          <w:sz w:val="24"/>
          <w:szCs w:val="24"/>
        </w:rPr>
        <w:t>。</w:t>
      </w:r>
      <w:r w:rsidRPr="007E6D09">
        <w:rPr>
          <w:rFonts w:ascii="Times New Roman" w:hAnsi="Times New Roman" w:hint="eastAsia"/>
          <w:kern w:val="0"/>
          <w:sz w:val="24"/>
          <w:szCs w:val="24"/>
        </w:rPr>
        <w:t>”</w:t>
      </w:r>
    </w:p>
    <w:p w:rsidR="00F53725" w:rsidRPr="00513F9E" w:rsidRDefault="00F53725" w:rsidP="003E67B9">
      <w:pPr>
        <w:autoSpaceDE w:val="0"/>
        <w:autoSpaceDN w:val="0"/>
        <w:adjustRightInd w:val="0"/>
        <w:spacing w:line="360" w:lineRule="auto"/>
        <w:ind w:firstLineChars="200" w:firstLine="480"/>
        <w:rPr>
          <w:bCs/>
          <w:sz w:val="24"/>
          <w:szCs w:val="24"/>
        </w:rPr>
      </w:pPr>
      <w:r w:rsidRPr="00F53725">
        <w:rPr>
          <w:rFonts w:ascii="Times New Roman" w:hAnsi="Times New Roman" w:hint="eastAsia"/>
          <w:kern w:val="0"/>
          <w:sz w:val="24"/>
          <w:szCs w:val="24"/>
        </w:rPr>
        <w:t>（三）</w:t>
      </w:r>
      <w:r w:rsidRPr="00513F9E">
        <w:rPr>
          <w:rFonts w:hint="eastAsia"/>
          <w:bCs/>
          <w:sz w:val="24"/>
          <w:szCs w:val="24"/>
        </w:rPr>
        <w:t>在“风险揭示”章节新增</w:t>
      </w:r>
      <w:bookmarkStart w:id="0" w:name="_GoBack"/>
      <w:bookmarkEnd w:id="0"/>
      <w:r w:rsidRPr="00513F9E">
        <w:rPr>
          <w:rFonts w:hint="eastAsia"/>
          <w:bCs/>
          <w:sz w:val="24"/>
          <w:szCs w:val="24"/>
        </w:rPr>
        <w:t>实施侧袋机制对投资者的影响，具体内容如下：</w:t>
      </w:r>
    </w:p>
    <w:p w:rsidR="00F53725" w:rsidRPr="00DA170B" w:rsidRDefault="00F53725" w:rsidP="003E67B9">
      <w:pPr>
        <w:spacing w:line="360" w:lineRule="auto"/>
        <w:ind w:firstLineChars="200" w:firstLine="480"/>
        <w:rPr>
          <w:b/>
          <w:color w:val="000000" w:themeColor="text1"/>
          <w:sz w:val="24"/>
          <w:szCs w:val="24"/>
        </w:rPr>
      </w:pPr>
      <w:r w:rsidRPr="00513F9E">
        <w:rPr>
          <w:rFonts w:hint="eastAsia"/>
          <w:bCs/>
          <w:sz w:val="24"/>
          <w:szCs w:val="24"/>
        </w:rPr>
        <w:t>“</w:t>
      </w:r>
      <w:r w:rsidRPr="00DA170B">
        <w:rPr>
          <w:rFonts w:hint="eastAsia"/>
          <w:b/>
          <w:color w:val="000000" w:themeColor="text1"/>
          <w:sz w:val="24"/>
          <w:szCs w:val="24"/>
        </w:rPr>
        <w:t>侧袋机制属于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转换等业务，仅主袋账户份额正常开放赎回，因此启用侧袋机制时持有基金份额的持有人将在启用侧袋机制后同时持有主袋账户份额和侧袋账户份额，侧袋账户份额不能赎回，侧袋账户对应特定资产的变现时间和最终变现价格都具有不确定性，并且有可能变现价格大幅低于启用侧袋机制时的特定资产的估值，基金份额持有人可能因此面临损失。</w:t>
      </w:r>
    </w:p>
    <w:p w:rsidR="00F53725" w:rsidRPr="00DA170B" w:rsidRDefault="00F53725" w:rsidP="003E67B9">
      <w:pPr>
        <w:spacing w:line="360" w:lineRule="auto"/>
        <w:ind w:firstLineChars="200" w:firstLine="482"/>
        <w:rPr>
          <w:b/>
          <w:color w:val="000000" w:themeColor="text1"/>
          <w:sz w:val="24"/>
          <w:szCs w:val="24"/>
        </w:rPr>
      </w:pPr>
      <w:r w:rsidRPr="00DA170B">
        <w:rPr>
          <w:rFonts w:hint="eastAsia"/>
          <w:b/>
          <w:color w:val="000000" w:themeColor="text1"/>
          <w:sz w:val="24"/>
          <w:szCs w:val="24"/>
        </w:rPr>
        <w:t>对于启用侧袋机制当日收到的赎回申请，基金管理人仅办理主袋账户的赎回申请并支付赎回款项，当日收到的申购申请，视为投资者对侧袋机制启用后的主袋账户提交的申购申请办理，可能与投资者的预期存在差异，从而影响投资者的投资和资金安排。</w:t>
      </w:r>
    </w:p>
    <w:p w:rsidR="00F53725" w:rsidRPr="00DA170B" w:rsidRDefault="00F53725" w:rsidP="003E67B9">
      <w:pPr>
        <w:spacing w:line="360" w:lineRule="auto"/>
        <w:ind w:firstLineChars="200" w:firstLine="482"/>
        <w:rPr>
          <w:b/>
          <w:color w:val="000000" w:themeColor="text1"/>
          <w:sz w:val="24"/>
          <w:szCs w:val="24"/>
        </w:rPr>
      </w:pPr>
      <w:r w:rsidRPr="00DA170B">
        <w:rPr>
          <w:rFonts w:hint="eastAsia"/>
          <w:b/>
          <w:color w:val="000000" w:themeColor="text1"/>
          <w:sz w:val="24"/>
          <w:szCs w:val="24"/>
        </w:rPr>
        <w:t>实施侧袋机制期间，因本基金不披露侧袋账户份额的净值，即便基金管理人在基金定期报告中披露报告期末特定资产可变现净值或净值区间的，也不作为特定资产最终变现价格的承诺，基金管理人不承担任何保证和承诺的责任。基金管理人将根据主袋账户运作情况合理确定申购政策，因此实施侧袋机制后主袋账户份额存在暂停申购的可能。</w:t>
      </w:r>
    </w:p>
    <w:p w:rsidR="00F53725" w:rsidRPr="00F53725" w:rsidRDefault="00F53725" w:rsidP="003E67B9">
      <w:pPr>
        <w:autoSpaceDE w:val="0"/>
        <w:autoSpaceDN w:val="0"/>
        <w:adjustRightInd w:val="0"/>
        <w:spacing w:line="360" w:lineRule="auto"/>
        <w:ind w:firstLineChars="200" w:firstLine="482"/>
        <w:rPr>
          <w:rFonts w:ascii="Times New Roman" w:hAnsi="Times New Roman"/>
          <w:kern w:val="0"/>
          <w:sz w:val="24"/>
          <w:szCs w:val="24"/>
        </w:rPr>
      </w:pPr>
      <w:r w:rsidRPr="00DA170B">
        <w:rPr>
          <w:rFonts w:hint="eastAsia"/>
          <w:b/>
          <w:color w:val="000000" w:themeColor="text1"/>
          <w:sz w:val="24"/>
          <w:szCs w:val="24"/>
        </w:rPr>
        <w:t>启用侧袋机制后，基金管理人计算各项投资运作指标和基金业绩指标时仅需考虑主袋账户资产，因此本基金披露的业绩指标不能反映特定资产的真实价值及变化情况。</w:t>
      </w:r>
      <w:r w:rsidRPr="00513F9E">
        <w:rPr>
          <w:rFonts w:hint="eastAsia"/>
          <w:bCs/>
          <w:sz w:val="24"/>
          <w:szCs w:val="24"/>
        </w:rPr>
        <w:t>”</w:t>
      </w:r>
    </w:p>
    <w:p w:rsidR="00A20302" w:rsidRPr="00712841" w:rsidRDefault="009E595E" w:rsidP="003E67B9">
      <w:pPr>
        <w:autoSpaceDE w:val="0"/>
        <w:autoSpaceDN w:val="0"/>
        <w:adjustRightInd w:val="0"/>
        <w:spacing w:line="360" w:lineRule="auto"/>
        <w:ind w:firstLineChars="200" w:firstLine="480"/>
        <w:rPr>
          <w:rFonts w:ascii="Times New Roman" w:hAnsi="宋体"/>
          <w:color w:val="000000"/>
          <w:kern w:val="0"/>
          <w:sz w:val="24"/>
          <w:szCs w:val="24"/>
        </w:rPr>
      </w:pPr>
      <w:r>
        <w:rPr>
          <w:rFonts w:ascii="Times New Roman" w:hAnsi="Times New Roman" w:hint="eastAsia"/>
          <w:kern w:val="0"/>
          <w:sz w:val="24"/>
          <w:szCs w:val="24"/>
        </w:rPr>
        <w:t>因上述修订导致的序号变化顺序调整</w:t>
      </w:r>
      <w:r w:rsidR="009D1B86">
        <w:rPr>
          <w:rFonts w:ascii="Times New Roman" w:hAnsi="宋体" w:hint="eastAsia"/>
          <w:color w:val="000000"/>
          <w:kern w:val="0"/>
          <w:sz w:val="24"/>
          <w:szCs w:val="24"/>
        </w:rPr>
        <w:t>。</w:t>
      </w:r>
      <w:r w:rsidR="007C0EEF" w:rsidRPr="000F4659">
        <w:rPr>
          <w:rFonts w:hAnsi="宋体" w:hint="eastAsia"/>
          <w:sz w:val="24"/>
          <w:szCs w:val="24"/>
        </w:rPr>
        <w:t>本次</w:t>
      </w:r>
      <w:r w:rsidR="007C0EEF">
        <w:rPr>
          <w:rFonts w:hAnsi="宋体" w:hint="eastAsia"/>
          <w:sz w:val="24"/>
          <w:szCs w:val="24"/>
        </w:rPr>
        <w:t>修订</w:t>
      </w:r>
      <w:r w:rsidR="007C0EEF" w:rsidRPr="000F4659">
        <w:rPr>
          <w:rFonts w:hAnsi="宋体"/>
          <w:sz w:val="24"/>
          <w:szCs w:val="24"/>
        </w:rPr>
        <w:t>已履行了规定的程序，符合相关法律法规的规定</w:t>
      </w:r>
      <w:r w:rsidR="007C0EEF">
        <w:rPr>
          <w:rFonts w:ascii="宋体" w:hAnsi="宋体" w:hint="eastAsia"/>
          <w:sz w:val="24"/>
          <w:szCs w:val="24"/>
        </w:rPr>
        <w:t>，</w:t>
      </w:r>
      <w:r w:rsidR="00780FE2" w:rsidRPr="00712841">
        <w:rPr>
          <w:rFonts w:ascii="Times New Roman" w:hAnsi="宋体" w:hint="eastAsia"/>
          <w:color w:val="000000"/>
          <w:kern w:val="0"/>
          <w:sz w:val="24"/>
          <w:szCs w:val="24"/>
        </w:rPr>
        <w:t>修订自</w:t>
      </w:r>
      <w:r w:rsidR="00780FE2" w:rsidRPr="00712841">
        <w:rPr>
          <w:rFonts w:ascii="Times New Roman" w:hAnsi="宋体" w:hint="eastAsia"/>
          <w:color w:val="000000"/>
          <w:kern w:val="0"/>
          <w:sz w:val="24"/>
          <w:szCs w:val="24"/>
        </w:rPr>
        <w:t>202</w:t>
      </w:r>
      <w:r w:rsidR="009F2060">
        <w:rPr>
          <w:rFonts w:ascii="Times New Roman" w:hAnsi="宋体" w:hint="eastAsia"/>
          <w:color w:val="000000"/>
          <w:kern w:val="0"/>
          <w:sz w:val="24"/>
          <w:szCs w:val="24"/>
        </w:rPr>
        <w:t>1</w:t>
      </w:r>
      <w:r w:rsidR="00780FE2" w:rsidRPr="00712841">
        <w:rPr>
          <w:rFonts w:ascii="Times New Roman" w:hAnsi="宋体" w:hint="eastAsia"/>
          <w:color w:val="000000"/>
          <w:kern w:val="0"/>
          <w:sz w:val="24"/>
          <w:szCs w:val="24"/>
        </w:rPr>
        <w:t>年</w:t>
      </w:r>
      <w:r w:rsidR="0064378E">
        <w:rPr>
          <w:rFonts w:ascii="Times New Roman" w:hAnsi="宋体" w:hint="eastAsia"/>
          <w:color w:val="000000"/>
          <w:kern w:val="0"/>
          <w:sz w:val="24"/>
          <w:szCs w:val="24"/>
        </w:rPr>
        <w:t>4</w:t>
      </w:r>
      <w:r w:rsidR="00780FE2" w:rsidRPr="00712841">
        <w:rPr>
          <w:rFonts w:ascii="Times New Roman" w:hAnsi="宋体" w:hint="eastAsia"/>
          <w:color w:val="000000"/>
          <w:kern w:val="0"/>
          <w:sz w:val="24"/>
          <w:szCs w:val="24"/>
        </w:rPr>
        <w:t>月</w:t>
      </w:r>
      <w:r w:rsidR="00F97A0B">
        <w:rPr>
          <w:rFonts w:ascii="Times New Roman" w:hAnsi="宋体" w:hint="eastAsia"/>
          <w:color w:val="000000"/>
          <w:kern w:val="0"/>
          <w:sz w:val="24"/>
          <w:szCs w:val="24"/>
        </w:rPr>
        <w:t>30</w:t>
      </w:r>
      <w:r w:rsidR="00780FE2" w:rsidRPr="00712841">
        <w:rPr>
          <w:rFonts w:ascii="Times New Roman" w:hAnsi="宋体" w:hint="eastAsia"/>
          <w:color w:val="000000"/>
          <w:kern w:val="0"/>
          <w:sz w:val="24"/>
          <w:szCs w:val="24"/>
        </w:rPr>
        <w:t>日起生效</w:t>
      </w:r>
      <w:r w:rsidR="008F56D7">
        <w:rPr>
          <w:rFonts w:ascii="Times New Roman" w:hAnsi="宋体" w:hint="eastAsia"/>
          <w:color w:val="000000"/>
          <w:kern w:val="0"/>
          <w:sz w:val="24"/>
          <w:szCs w:val="24"/>
        </w:rPr>
        <w:t>。</w:t>
      </w:r>
      <w:r w:rsidR="00780FE2">
        <w:rPr>
          <w:rFonts w:ascii="Times New Roman" w:hAnsi="宋体" w:hint="eastAsia"/>
          <w:color w:val="000000"/>
          <w:kern w:val="0"/>
          <w:sz w:val="24"/>
          <w:szCs w:val="24"/>
        </w:rPr>
        <w:t>投资者可登录</w:t>
      </w:r>
      <w:r w:rsidR="00780FE2" w:rsidRPr="00712841">
        <w:rPr>
          <w:rFonts w:ascii="Times New Roman" w:hAnsi="宋体" w:hint="eastAsia"/>
          <w:color w:val="000000"/>
          <w:kern w:val="0"/>
          <w:sz w:val="24"/>
          <w:szCs w:val="24"/>
        </w:rPr>
        <w:t>本基金管理人网站（</w:t>
      </w:r>
      <w:r w:rsidR="00780FE2" w:rsidRPr="00712841">
        <w:rPr>
          <w:rFonts w:ascii="Times New Roman" w:hAnsi="宋体"/>
          <w:color w:val="000000"/>
          <w:kern w:val="0"/>
          <w:sz w:val="24"/>
          <w:szCs w:val="24"/>
        </w:rPr>
        <w:t>www.ChinaAMC.com</w:t>
      </w:r>
      <w:r w:rsidR="00780FE2" w:rsidRPr="00712841">
        <w:rPr>
          <w:rFonts w:ascii="Times New Roman" w:hAnsi="宋体" w:hint="eastAsia"/>
          <w:color w:val="000000"/>
          <w:kern w:val="0"/>
          <w:sz w:val="24"/>
          <w:szCs w:val="24"/>
        </w:rPr>
        <w:t>）</w:t>
      </w:r>
      <w:r w:rsidR="00780FE2">
        <w:rPr>
          <w:rFonts w:ascii="Times New Roman" w:hAnsi="宋体" w:hint="eastAsia"/>
          <w:color w:val="000000"/>
          <w:kern w:val="0"/>
          <w:sz w:val="24"/>
          <w:szCs w:val="24"/>
        </w:rPr>
        <w:t>查阅</w:t>
      </w:r>
      <w:r w:rsidR="00DC0F4F">
        <w:rPr>
          <w:rFonts w:ascii="Times New Roman" w:hAnsi="宋体" w:hint="eastAsia"/>
          <w:color w:val="000000"/>
          <w:kern w:val="0"/>
          <w:sz w:val="24"/>
          <w:szCs w:val="24"/>
        </w:rPr>
        <w:t>各基金</w:t>
      </w:r>
      <w:r w:rsidR="007423C9" w:rsidRPr="00712841">
        <w:rPr>
          <w:rFonts w:ascii="Times New Roman" w:hAnsi="宋体" w:hint="eastAsia"/>
          <w:color w:val="000000"/>
          <w:kern w:val="0"/>
          <w:sz w:val="24"/>
          <w:szCs w:val="24"/>
        </w:rPr>
        <w:t>修订后</w:t>
      </w:r>
      <w:r w:rsidR="00812AAD">
        <w:rPr>
          <w:rFonts w:ascii="Times New Roman" w:hAnsi="宋体" w:hint="eastAsia"/>
          <w:color w:val="000000"/>
          <w:kern w:val="0"/>
          <w:sz w:val="24"/>
          <w:szCs w:val="24"/>
        </w:rPr>
        <w:t>的</w:t>
      </w:r>
      <w:r w:rsidR="00780FE2">
        <w:rPr>
          <w:rFonts w:ascii="Times New Roman" w:hAnsi="宋体" w:hint="eastAsia"/>
          <w:color w:val="000000"/>
          <w:kern w:val="0"/>
          <w:sz w:val="24"/>
          <w:szCs w:val="24"/>
        </w:rPr>
        <w:t>基金合同、招募说明书</w:t>
      </w:r>
      <w:r w:rsidR="00812AAD">
        <w:rPr>
          <w:rFonts w:ascii="Times New Roman" w:hAnsi="宋体" w:hint="eastAsia"/>
          <w:color w:val="000000"/>
          <w:kern w:val="0"/>
          <w:sz w:val="24"/>
          <w:szCs w:val="24"/>
        </w:rPr>
        <w:t>（更新）</w:t>
      </w:r>
      <w:r w:rsidR="00780FE2">
        <w:rPr>
          <w:rFonts w:ascii="Times New Roman" w:hAnsi="宋体" w:hint="eastAsia"/>
          <w:color w:val="000000"/>
          <w:kern w:val="0"/>
          <w:sz w:val="24"/>
          <w:szCs w:val="24"/>
        </w:rPr>
        <w:t>、产品资料概要</w:t>
      </w:r>
      <w:r w:rsidR="00B5611B">
        <w:rPr>
          <w:rFonts w:ascii="Times New Roman" w:hAnsi="宋体" w:hint="eastAsia"/>
          <w:color w:val="000000"/>
          <w:kern w:val="0"/>
          <w:sz w:val="24"/>
          <w:szCs w:val="24"/>
        </w:rPr>
        <w:t>等</w:t>
      </w:r>
      <w:r w:rsidR="00812AAD">
        <w:rPr>
          <w:rFonts w:ascii="Times New Roman" w:hAnsi="宋体" w:hint="eastAsia"/>
          <w:color w:val="000000"/>
          <w:kern w:val="0"/>
          <w:sz w:val="24"/>
          <w:szCs w:val="24"/>
        </w:rPr>
        <w:t>法律</w:t>
      </w:r>
      <w:r w:rsidR="00B5611B">
        <w:rPr>
          <w:rFonts w:ascii="Times New Roman" w:hAnsi="宋体" w:hint="eastAsia"/>
          <w:color w:val="000000"/>
          <w:kern w:val="0"/>
          <w:sz w:val="24"/>
          <w:szCs w:val="24"/>
        </w:rPr>
        <w:t>文件</w:t>
      </w:r>
      <w:r w:rsidR="007C5410">
        <w:rPr>
          <w:rFonts w:ascii="Times New Roman" w:hAnsi="宋体" w:hint="eastAsia"/>
          <w:color w:val="000000"/>
          <w:kern w:val="0"/>
          <w:sz w:val="24"/>
          <w:szCs w:val="24"/>
        </w:rPr>
        <w:t>，</w:t>
      </w:r>
      <w:r w:rsidR="00416AFB">
        <w:rPr>
          <w:rFonts w:ascii="Times New Roman" w:hAnsi="宋体" w:hint="eastAsia"/>
          <w:color w:val="000000"/>
          <w:kern w:val="0"/>
          <w:sz w:val="24"/>
          <w:szCs w:val="24"/>
        </w:rPr>
        <w:t>也</w:t>
      </w:r>
      <w:r w:rsidR="00A20302" w:rsidRPr="00712841">
        <w:rPr>
          <w:rFonts w:ascii="Times New Roman" w:hAnsi="宋体" w:hint="eastAsia"/>
          <w:color w:val="000000"/>
          <w:kern w:val="0"/>
          <w:sz w:val="24"/>
          <w:szCs w:val="24"/>
        </w:rPr>
        <w:t>可拨打</w:t>
      </w:r>
      <w:r w:rsidR="00283A9A" w:rsidRPr="00712841">
        <w:rPr>
          <w:rFonts w:ascii="Times New Roman" w:hAnsi="宋体" w:hint="eastAsia"/>
          <w:color w:val="000000"/>
          <w:kern w:val="0"/>
          <w:sz w:val="24"/>
          <w:szCs w:val="24"/>
        </w:rPr>
        <w:t>本基金管理人</w:t>
      </w:r>
      <w:r w:rsidR="00A20302" w:rsidRPr="00712841">
        <w:rPr>
          <w:rFonts w:ascii="Times New Roman" w:hAnsi="宋体" w:hint="eastAsia"/>
          <w:color w:val="000000"/>
          <w:kern w:val="0"/>
          <w:sz w:val="24"/>
          <w:szCs w:val="24"/>
        </w:rPr>
        <w:t>客户服务电话（</w:t>
      </w:r>
      <w:r w:rsidR="00A20302" w:rsidRPr="00712841">
        <w:rPr>
          <w:rFonts w:ascii="Times New Roman" w:hAnsi="宋体" w:hint="eastAsia"/>
          <w:color w:val="000000"/>
          <w:kern w:val="0"/>
          <w:sz w:val="24"/>
          <w:szCs w:val="24"/>
        </w:rPr>
        <w:t>4</w:t>
      </w:r>
      <w:r w:rsidR="00A20302" w:rsidRPr="00712841">
        <w:rPr>
          <w:rFonts w:ascii="Times New Roman" w:hAnsi="宋体"/>
          <w:color w:val="000000"/>
          <w:kern w:val="0"/>
          <w:sz w:val="24"/>
          <w:szCs w:val="24"/>
        </w:rPr>
        <w:t>00-818-6666</w:t>
      </w:r>
      <w:r w:rsidR="00A20302" w:rsidRPr="00712841">
        <w:rPr>
          <w:rFonts w:ascii="Times New Roman" w:hAnsi="宋体" w:hint="eastAsia"/>
          <w:color w:val="000000"/>
          <w:kern w:val="0"/>
          <w:sz w:val="24"/>
          <w:szCs w:val="24"/>
        </w:rPr>
        <w:t>）</w:t>
      </w:r>
      <w:r w:rsidR="00283A9A" w:rsidRPr="00712841">
        <w:rPr>
          <w:rFonts w:ascii="Times New Roman" w:hAnsi="宋体" w:hint="eastAsia"/>
          <w:color w:val="000000"/>
          <w:kern w:val="0"/>
          <w:sz w:val="24"/>
          <w:szCs w:val="24"/>
        </w:rPr>
        <w:t>了解相关信息</w:t>
      </w:r>
      <w:r w:rsidR="00A20302" w:rsidRPr="00712841">
        <w:rPr>
          <w:rFonts w:ascii="Times New Roman" w:hAnsi="宋体" w:hint="eastAsia"/>
          <w:color w:val="000000"/>
          <w:kern w:val="0"/>
          <w:sz w:val="24"/>
          <w:szCs w:val="24"/>
        </w:rPr>
        <w:t>。</w:t>
      </w:r>
    </w:p>
    <w:p w:rsidR="0052565B" w:rsidRPr="00712841" w:rsidRDefault="0052565B" w:rsidP="003E67B9">
      <w:pPr>
        <w:autoSpaceDE w:val="0"/>
        <w:autoSpaceDN w:val="0"/>
        <w:adjustRightInd w:val="0"/>
        <w:spacing w:line="360" w:lineRule="auto"/>
        <w:ind w:firstLineChars="200" w:firstLine="482"/>
        <w:rPr>
          <w:rFonts w:ascii="Times New Roman" w:hAnsi="宋体"/>
          <w:b/>
          <w:color w:val="000000"/>
          <w:kern w:val="0"/>
          <w:sz w:val="24"/>
          <w:szCs w:val="24"/>
        </w:rPr>
      </w:pPr>
      <w:r w:rsidRPr="00712841">
        <w:rPr>
          <w:rFonts w:ascii="Times New Roman" w:hAnsi="宋体" w:hint="eastAsia"/>
          <w:b/>
          <w:color w:val="000000"/>
          <w:kern w:val="0"/>
          <w:sz w:val="24"/>
          <w:szCs w:val="24"/>
        </w:rPr>
        <w:t>风险</w:t>
      </w:r>
      <w:r w:rsidRPr="00712841">
        <w:rPr>
          <w:rFonts w:ascii="Times New Roman" w:hAnsi="宋体"/>
          <w:b/>
          <w:color w:val="000000"/>
          <w:kern w:val="0"/>
          <w:sz w:val="24"/>
          <w:szCs w:val="24"/>
        </w:rPr>
        <w:t>提示</w:t>
      </w:r>
      <w:r w:rsidR="00DA170B">
        <w:rPr>
          <w:rFonts w:ascii="Times New Roman" w:hAnsi="宋体" w:hint="eastAsia"/>
          <w:b/>
          <w:color w:val="000000"/>
          <w:kern w:val="0"/>
          <w:sz w:val="24"/>
          <w:szCs w:val="24"/>
        </w:rPr>
        <w:t>：</w:t>
      </w:r>
    </w:p>
    <w:p w:rsidR="006F0228" w:rsidRDefault="00782282" w:rsidP="003E67B9">
      <w:pPr>
        <w:autoSpaceDE w:val="0"/>
        <w:autoSpaceDN w:val="0"/>
        <w:adjustRightInd w:val="0"/>
        <w:spacing w:line="360" w:lineRule="auto"/>
        <w:ind w:firstLineChars="200" w:firstLine="480"/>
        <w:rPr>
          <w:rFonts w:ascii="Times New Roman" w:hAnsi="宋体"/>
          <w:color w:val="000000"/>
          <w:kern w:val="0"/>
          <w:sz w:val="24"/>
          <w:szCs w:val="24"/>
        </w:rPr>
      </w:pPr>
      <w:r w:rsidRPr="00712841">
        <w:rPr>
          <w:rFonts w:ascii="Times New Roman" w:hAnsi="宋体"/>
          <w:color w:val="000000"/>
          <w:kern w:val="0"/>
          <w:sz w:val="24"/>
          <w:szCs w:val="24"/>
        </w:rPr>
        <w:t>基金管理人承诺以诚实信用、勤勉尽责的原则管理和运用基金资产，但不保证基金一定盈利，也不保证最低收益。基金的过往业绩及其净值高低并不预示其未来业绩表现。基金管理人提醒投资者基金投资的</w:t>
      </w:r>
      <w:r w:rsidRPr="00712841">
        <w:rPr>
          <w:rFonts w:ascii="Times New Roman" w:hAnsi="宋体" w:hint="eastAsia"/>
          <w:color w:val="000000"/>
          <w:kern w:val="0"/>
          <w:sz w:val="24"/>
          <w:szCs w:val="24"/>
        </w:rPr>
        <w:t>“</w:t>
      </w:r>
      <w:r w:rsidRPr="00712841">
        <w:rPr>
          <w:rFonts w:ascii="Times New Roman" w:hAnsi="宋体"/>
          <w:color w:val="000000"/>
          <w:kern w:val="0"/>
          <w:sz w:val="24"/>
          <w:szCs w:val="24"/>
        </w:rPr>
        <w:t>买者自负</w:t>
      </w:r>
      <w:r w:rsidRPr="00712841">
        <w:rPr>
          <w:rFonts w:ascii="Times New Roman" w:hAnsi="宋体" w:hint="eastAsia"/>
          <w:color w:val="000000"/>
          <w:kern w:val="0"/>
          <w:sz w:val="24"/>
          <w:szCs w:val="24"/>
        </w:rPr>
        <w:t>”</w:t>
      </w:r>
      <w:r w:rsidRPr="00712841">
        <w:rPr>
          <w:rFonts w:ascii="Times New Roman" w:hAnsi="宋体"/>
          <w:color w:val="000000"/>
          <w:kern w:val="0"/>
          <w:sz w:val="24"/>
          <w:szCs w:val="24"/>
        </w:rPr>
        <w:t>原则，在做出投资决策后，基金运营状况与基金净值变化引致的投资风险，由投资者自行负担。</w:t>
      </w:r>
      <w:r w:rsidRPr="00712841">
        <w:rPr>
          <w:rFonts w:ascii="Times New Roman" w:hAnsi="宋体" w:hint="eastAsia"/>
          <w:color w:val="000000"/>
          <w:kern w:val="0"/>
          <w:sz w:val="24"/>
          <w:szCs w:val="24"/>
        </w:rPr>
        <w:t>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w:t>
      </w:r>
    </w:p>
    <w:p w:rsidR="00331C90" w:rsidRPr="00712841" w:rsidRDefault="00C91E15" w:rsidP="003E67B9">
      <w:pPr>
        <w:autoSpaceDE w:val="0"/>
        <w:autoSpaceDN w:val="0"/>
        <w:adjustRightInd w:val="0"/>
        <w:spacing w:line="360" w:lineRule="auto"/>
        <w:ind w:firstLineChars="200" w:firstLine="480"/>
        <w:rPr>
          <w:rFonts w:ascii="Times New Roman" w:hAnsi="宋体"/>
          <w:color w:val="000000"/>
          <w:kern w:val="0"/>
          <w:sz w:val="24"/>
          <w:szCs w:val="24"/>
        </w:rPr>
      </w:pPr>
      <w:r w:rsidRPr="00712841">
        <w:rPr>
          <w:rFonts w:ascii="Times New Roman" w:hAnsi="宋体" w:hint="eastAsia"/>
          <w:color w:val="000000"/>
          <w:kern w:val="0"/>
          <w:sz w:val="24"/>
          <w:szCs w:val="24"/>
        </w:rPr>
        <w:t>特此公告</w:t>
      </w:r>
    </w:p>
    <w:p w:rsidR="00331C90" w:rsidRPr="00712841" w:rsidRDefault="00331C90" w:rsidP="003E67B9"/>
    <w:p w:rsidR="00331C90" w:rsidRPr="00712841" w:rsidRDefault="00331C90" w:rsidP="003E67B9">
      <w:pPr>
        <w:autoSpaceDE w:val="0"/>
        <w:autoSpaceDN w:val="0"/>
        <w:adjustRightInd w:val="0"/>
        <w:spacing w:line="360" w:lineRule="auto"/>
        <w:ind w:firstLineChars="200" w:firstLine="480"/>
        <w:jc w:val="right"/>
        <w:rPr>
          <w:rFonts w:ascii="Times New Roman" w:hAnsi="宋体"/>
          <w:color w:val="000000"/>
          <w:kern w:val="0"/>
          <w:sz w:val="24"/>
          <w:szCs w:val="24"/>
        </w:rPr>
      </w:pPr>
      <w:r w:rsidRPr="00712841">
        <w:rPr>
          <w:rFonts w:ascii="Times New Roman" w:hAnsi="宋体" w:hint="eastAsia"/>
          <w:color w:val="000000"/>
          <w:kern w:val="0"/>
          <w:sz w:val="24"/>
          <w:szCs w:val="24"/>
        </w:rPr>
        <w:t>华夏基金管理有限公司</w:t>
      </w:r>
    </w:p>
    <w:p w:rsidR="00E86A8E" w:rsidRPr="00E86A8E" w:rsidRDefault="003E428B" w:rsidP="003E67B9">
      <w:pPr>
        <w:autoSpaceDE w:val="0"/>
        <w:autoSpaceDN w:val="0"/>
        <w:adjustRightInd w:val="0"/>
        <w:spacing w:line="360" w:lineRule="auto"/>
        <w:ind w:firstLineChars="200" w:firstLine="480"/>
        <w:jc w:val="right"/>
        <w:rPr>
          <w:rFonts w:ascii="Times New Roman" w:hAnsi="宋体"/>
          <w:color w:val="000000"/>
          <w:kern w:val="0"/>
          <w:sz w:val="24"/>
          <w:szCs w:val="24"/>
        </w:rPr>
      </w:pPr>
      <w:r w:rsidRPr="00712841">
        <w:rPr>
          <w:rFonts w:ascii="Times New Roman" w:hAnsi="宋体" w:hint="eastAsia"/>
          <w:color w:val="000000"/>
          <w:kern w:val="0"/>
          <w:sz w:val="24"/>
          <w:szCs w:val="24"/>
        </w:rPr>
        <w:t>二〇二</w:t>
      </w:r>
      <w:r w:rsidR="009C3553">
        <w:rPr>
          <w:rFonts w:ascii="Times New Roman" w:hAnsi="宋体" w:hint="eastAsia"/>
          <w:color w:val="000000"/>
          <w:kern w:val="0"/>
          <w:sz w:val="24"/>
          <w:szCs w:val="24"/>
        </w:rPr>
        <w:t>一</w:t>
      </w:r>
      <w:r w:rsidRPr="00712841">
        <w:rPr>
          <w:rFonts w:ascii="Times New Roman" w:hAnsi="宋体" w:hint="eastAsia"/>
          <w:color w:val="000000"/>
          <w:kern w:val="0"/>
          <w:sz w:val="24"/>
          <w:szCs w:val="24"/>
        </w:rPr>
        <w:t>年</w:t>
      </w:r>
      <w:r w:rsidR="0064378E">
        <w:rPr>
          <w:rFonts w:ascii="Times New Roman" w:hAnsi="宋体" w:hint="eastAsia"/>
          <w:color w:val="000000"/>
          <w:kern w:val="0"/>
          <w:sz w:val="24"/>
          <w:szCs w:val="24"/>
        </w:rPr>
        <w:t>四</w:t>
      </w:r>
      <w:r w:rsidRPr="00712841">
        <w:rPr>
          <w:rFonts w:ascii="Times New Roman" w:hAnsi="宋体" w:hint="eastAsia"/>
          <w:color w:val="000000"/>
          <w:kern w:val="0"/>
          <w:sz w:val="24"/>
          <w:szCs w:val="24"/>
        </w:rPr>
        <w:t>月</w:t>
      </w:r>
      <w:r w:rsidR="00F97A0B">
        <w:rPr>
          <w:rFonts w:ascii="Times New Roman" w:hAnsi="宋体" w:hint="eastAsia"/>
          <w:color w:val="000000"/>
          <w:kern w:val="0"/>
          <w:sz w:val="24"/>
          <w:szCs w:val="24"/>
        </w:rPr>
        <w:t>二十八</w:t>
      </w:r>
      <w:r w:rsidRPr="00712841">
        <w:rPr>
          <w:rFonts w:ascii="Times New Roman" w:hAnsi="宋体" w:hint="eastAsia"/>
          <w:color w:val="000000"/>
          <w:kern w:val="0"/>
          <w:sz w:val="24"/>
          <w:szCs w:val="24"/>
        </w:rPr>
        <w:t>日</w:t>
      </w:r>
    </w:p>
    <w:sectPr w:rsidR="00E86A8E" w:rsidRPr="00E86A8E" w:rsidSect="003E67B9">
      <w:headerReference w:type="even" r:id="rId8"/>
      <w:headerReference w:type="default" r:id="rId9"/>
      <w:footerReference w:type="default" r:id="rId10"/>
      <w:pgSz w:w="11906" w:h="16838"/>
      <w:pgMar w:top="1440" w:right="1701" w:bottom="1440" w:left="1701"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908" w:rsidRDefault="007A2908" w:rsidP="00331C90">
      <w:r>
        <w:separator/>
      </w:r>
    </w:p>
  </w:endnote>
  <w:endnote w:type="continuationSeparator" w:id="0">
    <w:p w:rsidR="007A2908" w:rsidRDefault="007A2908" w:rsidP="00331C9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862007"/>
      <w:docPartObj>
        <w:docPartGallery w:val="Page Numbers (Bottom of Page)"/>
        <w:docPartUnique/>
      </w:docPartObj>
    </w:sdtPr>
    <w:sdtContent>
      <w:p w:rsidR="00B33D8C" w:rsidRDefault="00057938">
        <w:pPr>
          <w:pStyle w:val="a4"/>
          <w:jc w:val="center"/>
        </w:pPr>
        <w:r>
          <w:fldChar w:fldCharType="begin"/>
        </w:r>
        <w:r w:rsidR="00B33D8C">
          <w:instrText>PAGE   \* MERGEFORMAT</w:instrText>
        </w:r>
        <w:r>
          <w:fldChar w:fldCharType="separate"/>
        </w:r>
        <w:r w:rsidR="001C738C" w:rsidRPr="001C738C">
          <w:rPr>
            <w:noProof/>
            <w:lang w:val="zh-CN"/>
          </w:rPr>
          <w:t>1</w:t>
        </w:r>
        <w:r>
          <w:fldChar w:fldCharType="end"/>
        </w:r>
      </w:p>
    </w:sdtContent>
  </w:sdt>
  <w:p w:rsidR="00B33D8C" w:rsidRDefault="00B33D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908" w:rsidRDefault="007A2908" w:rsidP="00331C90">
      <w:r>
        <w:separator/>
      </w:r>
    </w:p>
  </w:footnote>
  <w:footnote w:type="continuationSeparator" w:id="0">
    <w:p w:rsidR="007A2908" w:rsidRDefault="007A2908" w:rsidP="00331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8C" w:rsidRDefault="00B33D8C" w:rsidP="003E67B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8C" w:rsidRDefault="00B33D8C" w:rsidP="003E67B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0FD9"/>
    <w:rsid w:val="00001D34"/>
    <w:rsid w:val="000079E0"/>
    <w:rsid w:val="000107D6"/>
    <w:rsid w:val="00012FBD"/>
    <w:rsid w:val="00021CB6"/>
    <w:rsid w:val="0002554E"/>
    <w:rsid w:val="00035080"/>
    <w:rsid w:val="0003640B"/>
    <w:rsid w:val="00057938"/>
    <w:rsid w:val="00080112"/>
    <w:rsid w:val="0008384B"/>
    <w:rsid w:val="00093945"/>
    <w:rsid w:val="00093BAD"/>
    <w:rsid w:val="000947A8"/>
    <w:rsid w:val="000B3D23"/>
    <w:rsid w:val="000C08C4"/>
    <w:rsid w:val="000C3000"/>
    <w:rsid w:val="000D1E1B"/>
    <w:rsid w:val="000D5AE0"/>
    <w:rsid w:val="000E34BC"/>
    <w:rsid w:val="000F7012"/>
    <w:rsid w:val="001045DF"/>
    <w:rsid w:val="001107B9"/>
    <w:rsid w:val="0012482E"/>
    <w:rsid w:val="00132C35"/>
    <w:rsid w:val="00132E4C"/>
    <w:rsid w:val="00133B21"/>
    <w:rsid w:val="001357AF"/>
    <w:rsid w:val="00170B34"/>
    <w:rsid w:val="00171411"/>
    <w:rsid w:val="00176191"/>
    <w:rsid w:val="00180573"/>
    <w:rsid w:val="00192BC0"/>
    <w:rsid w:val="00196A84"/>
    <w:rsid w:val="001A6A26"/>
    <w:rsid w:val="001C1D5B"/>
    <w:rsid w:val="001C738C"/>
    <w:rsid w:val="001D4F37"/>
    <w:rsid w:val="001F5EDE"/>
    <w:rsid w:val="00200244"/>
    <w:rsid w:val="00205439"/>
    <w:rsid w:val="00205B53"/>
    <w:rsid w:val="00210D04"/>
    <w:rsid w:val="00210DBF"/>
    <w:rsid w:val="00214F95"/>
    <w:rsid w:val="0022290F"/>
    <w:rsid w:val="00225862"/>
    <w:rsid w:val="00233A82"/>
    <w:rsid w:val="00235B42"/>
    <w:rsid w:val="00242D7B"/>
    <w:rsid w:val="0025399C"/>
    <w:rsid w:val="00253BAB"/>
    <w:rsid w:val="002542CA"/>
    <w:rsid w:val="00254CA7"/>
    <w:rsid w:val="00270A01"/>
    <w:rsid w:val="00270A2E"/>
    <w:rsid w:val="0027195B"/>
    <w:rsid w:val="00275B5C"/>
    <w:rsid w:val="00283A9A"/>
    <w:rsid w:val="00286AC7"/>
    <w:rsid w:val="00287FB3"/>
    <w:rsid w:val="00290E08"/>
    <w:rsid w:val="002A7416"/>
    <w:rsid w:val="002B2672"/>
    <w:rsid w:val="002E54EA"/>
    <w:rsid w:val="002F3732"/>
    <w:rsid w:val="002F71FB"/>
    <w:rsid w:val="00303C28"/>
    <w:rsid w:val="0031577D"/>
    <w:rsid w:val="0032252F"/>
    <w:rsid w:val="00322866"/>
    <w:rsid w:val="00323C1F"/>
    <w:rsid w:val="00331C90"/>
    <w:rsid w:val="003334FE"/>
    <w:rsid w:val="00337938"/>
    <w:rsid w:val="00350C44"/>
    <w:rsid w:val="003514FC"/>
    <w:rsid w:val="00352845"/>
    <w:rsid w:val="00353E97"/>
    <w:rsid w:val="00362D7B"/>
    <w:rsid w:val="003758F9"/>
    <w:rsid w:val="00380642"/>
    <w:rsid w:val="0038177D"/>
    <w:rsid w:val="00381BE5"/>
    <w:rsid w:val="00383B38"/>
    <w:rsid w:val="003A7B89"/>
    <w:rsid w:val="003D1668"/>
    <w:rsid w:val="003D40F2"/>
    <w:rsid w:val="003E428B"/>
    <w:rsid w:val="003E6681"/>
    <w:rsid w:val="003E67B9"/>
    <w:rsid w:val="003E79C9"/>
    <w:rsid w:val="003E7D2E"/>
    <w:rsid w:val="003F15CE"/>
    <w:rsid w:val="003F2FE2"/>
    <w:rsid w:val="004003A4"/>
    <w:rsid w:val="00400465"/>
    <w:rsid w:val="00402F53"/>
    <w:rsid w:val="0041217F"/>
    <w:rsid w:val="004167C4"/>
    <w:rsid w:val="00416AFB"/>
    <w:rsid w:val="00435CEC"/>
    <w:rsid w:val="00457436"/>
    <w:rsid w:val="0046576C"/>
    <w:rsid w:val="00465B57"/>
    <w:rsid w:val="0047417F"/>
    <w:rsid w:val="00484BE1"/>
    <w:rsid w:val="00487F0E"/>
    <w:rsid w:val="0049424D"/>
    <w:rsid w:val="00495803"/>
    <w:rsid w:val="004A66C9"/>
    <w:rsid w:val="004B2A35"/>
    <w:rsid w:val="004B68EB"/>
    <w:rsid w:val="004C4997"/>
    <w:rsid w:val="004D053F"/>
    <w:rsid w:val="004D22DE"/>
    <w:rsid w:val="004D48BB"/>
    <w:rsid w:val="004D6F21"/>
    <w:rsid w:val="004E0C67"/>
    <w:rsid w:val="004E0D51"/>
    <w:rsid w:val="004E23CE"/>
    <w:rsid w:val="004F4C73"/>
    <w:rsid w:val="00513F9E"/>
    <w:rsid w:val="0051681B"/>
    <w:rsid w:val="0051764D"/>
    <w:rsid w:val="0052292D"/>
    <w:rsid w:val="0052565B"/>
    <w:rsid w:val="00525FB4"/>
    <w:rsid w:val="00536CCB"/>
    <w:rsid w:val="005812D6"/>
    <w:rsid w:val="005909C5"/>
    <w:rsid w:val="0059303E"/>
    <w:rsid w:val="005A1D23"/>
    <w:rsid w:val="005B4DD8"/>
    <w:rsid w:val="005C52CE"/>
    <w:rsid w:val="005C6934"/>
    <w:rsid w:val="005D4A34"/>
    <w:rsid w:val="005D60D4"/>
    <w:rsid w:val="005D7318"/>
    <w:rsid w:val="005E6091"/>
    <w:rsid w:val="005F1A07"/>
    <w:rsid w:val="005F2C8B"/>
    <w:rsid w:val="005F4812"/>
    <w:rsid w:val="00607714"/>
    <w:rsid w:val="00610680"/>
    <w:rsid w:val="00617F27"/>
    <w:rsid w:val="006213E4"/>
    <w:rsid w:val="006236A2"/>
    <w:rsid w:val="00625EFB"/>
    <w:rsid w:val="00627EA1"/>
    <w:rsid w:val="0063419A"/>
    <w:rsid w:val="0064378E"/>
    <w:rsid w:val="00644A7B"/>
    <w:rsid w:val="00647B2F"/>
    <w:rsid w:val="00656197"/>
    <w:rsid w:val="0066304D"/>
    <w:rsid w:val="006724CB"/>
    <w:rsid w:val="006919F9"/>
    <w:rsid w:val="006924DD"/>
    <w:rsid w:val="006929A2"/>
    <w:rsid w:val="006A4947"/>
    <w:rsid w:val="006A5040"/>
    <w:rsid w:val="006B73FC"/>
    <w:rsid w:val="006C72D3"/>
    <w:rsid w:val="006E0DB9"/>
    <w:rsid w:val="006E3C0A"/>
    <w:rsid w:val="006F0228"/>
    <w:rsid w:val="006F0FD9"/>
    <w:rsid w:val="006F5E98"/>
    <w:rsid w:val="006F65CF"/>
    <w:rsid w:val="00706048"/>
    <w:rsid w:val="007125A5"/>
    <w:rsid w:val="00712841"/>
    <w:rsid w:val="00721D0C"/>
    <w:rsid w:val="00726A03"/>
    <w:rsid w:val="007344E4"/>
    <w:rsid w:val="007423C9"/>
    <w:rsid w:val="00744289"/>
    <w:rsid w:val="00745A97"/>
    <w:rsid w:val="00747D5C"/>
    <w:rsid w:val="0075193C"/>
    <w:rsid w:val="00754DB2"/>
    <w:rsid w:val="00762851"/>
    <w:rsid w:val="00764123"/>
    <w:rsid w:val="00766B78"/>
    <w:rsid w:val="00776B1C"/>
    <w:rsid w:val="00780FE2"/>
    <w:rsid w:val="00782282"/>
    <w:rsid w:val="00786775"/>
    <w:rsid w:val="0078760F"/>
    <w:rsid w:val="00792D86"/>
    <w:rsid w:val="00793403"/>
    <w:rsid w:val="00797CCE"/>
    <w:rsid w:val="007A2908"/>
    <w:rsid w:val="007B5F32"/>
    <w:rsid w:val="007B695C"/>
    <w:rsid w:val="007C0EEF"/>
    <w:rsid w:val="007C5410"/>
    <w:rsid w:val="007D2D90"/>
    <w:rsid w:val="007D3E27"/>
    <w:rsid w:val="007D7295"/>
    <w:rsid w:val="007E0840"/>
    <w:rsid w:val="007E0BCC"/>
    <w:rsid w:val="007E1362"/>
    <w:rsid w:val="007E1715"/>
    <w:rsid w:val="007E5CF2"/>
    <w:rsid w:val="007E6D09"/>
    <w:rsid w:val="007E6FCE"/>
    <w:rsid w:val="007F125E"/>
    <w:rsid w:val="008035B9"/>
    <w:rsid w:val="00807953"/>
    <w:rsid w:val="00812AAD"/>
    <w:rsid w:val="008225CB"/>
    <w:rsid w:val="0082367B"/>
    <w:rsid w:val="00823712"/>
    <w:rsid w:val="00827483"/>
    <w:rsid w:val="008364FC"/>
    <w:rsid w:val="00850EF8"/>
    <w:rsid w:val="00851BED"/>
    <w:rsid w:val="00885C2B"/>
    <w:rsid w:val="008B662C"/>
    <w:rsid w:val="008C0DCE"/>
    <w:rsid w:val="008C1104"/>
    <w:rsid w:val="008C1DCD"/>
    <w:rsid w:val="008C33B9"/>
    <w:rsid w:val="008D1847"/>
    <w:rsid w:val="008E29E0"/>
    <w:rsid w:val="008F381F"/>
    <w:rsid w:val="008F56D7"/>
    <w:rsid w:val="008F5FAE"/>
    <w:rsid w:val="0091743E"/>
    <w:rsid w:val="00921226"/>
    <w:rsid w:val="00921D4C"/>
    <w:rsid w:val="00925A1D"/>
    <w:rsid w:val="00926999"/>
    <w:rsid w:val="00930610"/>
    <w:rsid w:val="00931DDD"/>
    <w:rsid w:val="009351AB"/>
    <w:rsid w:val="009400BC"/>
    <w:rsid w:val="00944020"/>
    <w:rsid w:val="009452E8"/>
    <w:rsid w:val="00951423"/>
    <w:rsid w:val="009524C5"/>
    <w:rsid w:val="009857A1"/>
    <w:rsid w:val="00986353"/>
    <w:rsid w:val="00992CAF"/>
    <w:rsid w:val="00997742"/>
    <w:rsid w:val="009B305D"/>
    <w:rsid w:val="009B74B8"/>
    <w:rsid w:val="009C3553"/>
    <w:rsid w:val="009C7876"/>
    <w:rsid w:val="009D1B86"/>
    <w:rsid w:val="009D5795"/>
    <w:rsid w:val="009E0E2E"/>
    <w:rsid w:val="009E595E"/>
    <w:rsid w:val="009F202C"/>
    <w:rsid w:val="009F2060"/>
    <w:rsid w:val="009F53F0"/>
    <w:rsid w:val="009F7B08"/>
    <w:rsid w:val="00A121ED"/>
    <w:rsid w:val="00A154BE"/>
    <w:rsid w:val="00A16360"/>
    <w:rsid w:val="00A20302"/>
    <w:rsid w:val="00A21D87"/>
    <w:rsid w:val="00A30C9B"/>
    <w:rsid w:val="00A34DDB"/>
    <w:rsid w:val="00A35DB4"/>
    <w:rsid w:val="00A36378"/>
    <w:rsid w:val="00A44573"/>
    <w:rsid w:val="00A44F89"/>
    <w:rsid w:val="00A464D2"/>
    <w:rsid w:val="00A52F25"/>
    <w:rsid w:val="00A5391B"/>
    <w:rsid w:val="00A74432"/>
    <w:rsid w:val="00A80414"/>
    <w:rsid w:val="00A80842"/>
    <w:rsid w:val="00A84821"/>
    <w:rsid w:val="00AA2F93"/>
    <w:rsid w:val="00AA7811"/>
    <w:rsid w:val="00AB0B38"/>
    <w:rsid w:val="00AB51EA"/>
    <w:rsid w:val="00AD3987"/>
    <w:rsid w:val="00AF0F8F"/>
    <w:rsid w:val="00AF59BB"/>
    <w:rsid w:val="00B12FA1"/>
    <w:rsid w:val="00B15591"/>
    <w:rsid w:val="00B25241"/>
    <w:rsid w:val="00B310D5"/>
    <w:rsid w:val="00B33D8C"/>
    <w:rsid w:val="00B47823"/>
    <w:rsid w:val="00B52CA5"/>
    <w:rsid w:val="00B52D54"/>
    <w:rsid w:val="00B53119"/>
    <w:rsid w:val="00B5611B"/>
    <w:rsid w:val="00B63DD7"/>
    <w:rsid w:val="00B63E9B"/>
    <w:rsid w:val="00B73CF9"/>
    <w:rsid w:val="00BB6A56"/>
    <w:rsid w:val="00BD0549"/>
    <w:rsid w:val="00BD14CF"/>
    <w:rsid w:val="00BD3755"/>
    <w:rsid w:val="00BD53A9"/>
    <w:rsid w:val="00BD703A"/>
    <w:rsid w:val="00BE4F6F"/>
    <w:rsid w:val="00BE652D"/>
    <w:rsid w:val="00BF602A"/>
    <w:rsid w:val="00C013B9"/>
    <w:rsid w:val="00C01656"/>
    <w:rsid w:val="00C01AD0"/>
    <w:rsid w:val="00C06D6B"/>
    <w:rsid w:val="00C11A73"/>
    <w:rsid w:val="00C123AB"/>
    <w:rsid w:val="00C1252D"/>
    <w:rsid w:val="00C37D2B"/>
    <w:rsid w:val="00C4115C"/>
    <w:rsid w:val="00C4740A"/>
    <w:rsid w:val="00C51A16"/>
    <w:rsid w:val="00C53568"/>
    <w:rsid w:val="00C64F35"/>
    <w:rsid w:val="00C67691"/>
    <w:rsid w:val="00C91E15"/>
    <w:rsid w:val="00C97C1C"/>
    <w:rsid w:val="00CB4E1C"/>
    <w:rsid w:val="00CC3CBF"/>
    <w:rsid w:val="00CC72A1"/>
    <w:rsid w:val="00CD45CD"/>
    <w:rsid w:val="00CE026F"/>
    <w:rsid w:val="00CE26C1"/>
    <w:rsid w:val="00CE7296"/>
    <w:rsid w:val="00CF5605"/>
    <w:rsid w:val="00D0653E"/>
    <w:rsid w:val="00D11E82"/>
    <w:rsid w:val="00D16DC5"/>
    <w:rsid w:val="00D208ED"/>
    <w:rsid w:val="00D429EC"/>
    <w:rsid w:val="00D50C9F"/>
    <w:rsid w:val="00D5300C"/>
    <w:rsid w:val="00D53360"/>
    <w:rsid w:val="00D602F5"/>
    <w:rsid w:val="00D629B5"/>
    <w:rsid w:val="00D65634"/>
    <w:rsid w:val="00D7381E"/>
    <w:rsid w:val="00D773E5"/>
    <w:rsid w:val="00D80B95"/>
    <w:rsid w:val="00D92366"/>
    <w:rsid w:val="00DA170B"/>
    <w:rsid w:val="00DA2990"/>
    <w:rsid w:val="00DB5435"/>
    <w:rsid w:val="00DC0F4F"/>
    <w:rsid w:val="00DD35F9"/>
    <w:rsid w:val="00DF137F"/>
    <w:rsid w:val="00E07AC9"/>
    <w:rsid w:val="00E17509"/>
    <w:rsid w:val="00E3755C"/>
    <w:rsid w:val="00E4679D"/>
    <w:rsid w:val="00E5119C"/>
    <w:rsid w:val="00E51671"/>
    <w:rsid w:val="00E55EA3"/>
    <w:rsid w:val="00E56482"/>
    <w:rsid w:val="00E65568"/>
    <w:rsid w:val="00E66256"/>
    <w:rsid w:val="00E70D50"/>
    <w:rsid w:val="00E81148"/>
    <w:rsid w:val="00E828DB"/>
    <w:rsid w:val="00E86A8E"/>
    <w:rsid w:val="00E959A1"/>
    <w:rsid w:val="00E978BD"/>
    <w:rsid w:val="00EA1E77"/>
    <w:rsid w:val="00EB300A"/>
    <w:rsid w:val="00EC4F2D"/>
    <w:rsid w:val="00EE0CA7"/>
    <w:rsid w:val="00EF6461"/>
    <w:rsid w:val="00F0470E"/>
    <w:rsid w:val="00F2492E"/>
    <w:rsid w:val="00F300B8"/>
    <w:rsid w:val="00F35AD6"/>
    <w:rsid w:val="00F53725"/>
    <w:rsid w:val="00F5530E"/>
    <w:rsid w:val="00F62FA2"/>
    <w:rsid w:val="00F655D0"/>
    <w:rsid w:val="00F67F07"/>
    <w:rsid w:val="00F71576"/>
    <w:rsid w:val="00F74512"/>
    <w:rsid w:val="00F84C6C"/>
    <w:rsid w:val="00F925A1"/>
    <w:rsid w:val="00F9649C"/>
    <w:rsid w:val="00F97A0B"/>
    <w:rsid w:val="00FA7D9C"/>
    <w:rsid w:val="00FB48C1"/>
    <w:rsid w:val="00FC7843"/>
    <w:rsid w:val="00FD08BD"/>
    <w:rsid w:val="00FD42AC"/>
    <w:rsid w:val="00FE0E8C"/>
    <w:rsid w:val="00FE46E4"/>
    <w:rsid w:val="00FF0F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90"/>
    <w:pPr>
      <w:widowControl w:val="0"/>
      <w:jc w:val="both"/>
    </w:pPr>
    <w:rPr>
      <w:rFonts w:ascii="Calibri" w:eastAsia="宋体" w:hAnsi="Calibri" w:cs="Times New Roman"/>
    </w:rPr>
  </w:style>
  <w:style w:type="paragraph" w:styleId="2">
    <w:name w:val="heading 2"/>
    <w:basedOn w:val="a"/>
    <w:link w:val="2Char"/>
    <w:uiPriority w:val="9"/>
    <w:qFormat/>
    <w:rsid w:val="00DD35F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1C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1C90"/>
    <w:rPr>
      <w:sz w:val="18"/>
      <w:szCs w:val="18"/>
    </w:rPr>
  </w:style>
  <w:style w:type="paragraph" w:styleId="a4">
    <w:name w:val="footer"/>
    <w:basedOn w:val="a"/>
    <w:link w:val="Char0"/>
    <w:uiPriority w:val="99"/>
    <w:unhideWhenUsed/>
    <w:rsid w:val="00331C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1C90"/>
    <w:rPr>
      <w:sz w:val="18"/>
      <w:szCs w:val="18"/>
    </w:rPr>
  </w:style>
  <w:style w:type="paragraph" w:styleId="a5">
    <w:name w:val="Title"/>
    <w:aliases w:val="标题3"/>
    <w:basedOn w:val="a"/>
    <w:next w:val="a"/>
    <w:link w:val="Char1"/>
    <w:uiPriority w:val="10"/>
    <w:qFormat/>
    <w:rsid w:val="00331C90"/>
    <w:pPr>
      <w:spacing w:before="240" w:after="60"/>
      <w:jc w:val="center"/>
      <w:outlineLvl w:val="0"/>
    </w:pPr>
    <w:rPr>
      <w:rFonts w:ascii="Cambria" w:hAnsi="Cambria"/>
      <w:b/>
      <w:bCs/>
      <w:sz w:val="32"/>
      <w:szCs w:val="32"/>
    </w:rPr>
  </w:style>
  <w:style w:type="character" w:customStyle="1" w:styleId="Char1">
    <w:name w:val="标题 Char"/>
    <w:aliases w:val="标题3 Char"/>
    <w:basedOn w:val="a0"/>
    <w:link w:val="a5"/>
    <w:uiPriority w:val="10"/>
    <w:qFormat/>
    <w:rsid w:val="00331C90"/>
    <w:rPr>
      <w:rFonts w:ascii="Cambria" w:eastAsia="宋体" w:hAnsi="Cambria" w:cs="Times New Roman"/>
      <w:b/>
      <w:bCs/>
      <w:sz w:val="32"/>
      <w:szCs w:val="32"/>
    </w:rPr>
  </w:style>
  <w:style w:type="paragraph" w:styleId="a6">
    <w:name w:val="Balloon Text"/>
    <w:basedOn w:val="a"/>
    <w:link w:val="Char2"/>
    <w:uiPriority w:val="99"/>
    <w:semiHidden/>
    <w:unhideWhenUsed/>
    <w:rsid w:val="003D1668"/>
    <w:rPr>
      <w:sz w:val="18"/>
      <w:szCs w:val="18"/>
    </w:rPr>
  </w:style>
  <w:style w:type="character" w:customStyle="1" w:styleId="Char2">
    <w:name w:val="批注框文本 Char"/>
    <w:basedOn w:val="a0"/>
    <w:link w:val="a6"/>
    <w:uiPriority w:val="99"/>
    <w:semiHidden/>
    <w:rsid w:val="003D1668"/>
    <w:rPr>
      <w:rFonts w:ascii="Calibri" w:eastAsia="宋体" w:hAnsi="Calibri" w:cs="Times New Roman"/>
      <w:sz w:val="18"/>
      <w:szCs w:val="18"/>
    </w:rPr>
  </w:style>
  <w:style w:type="paragraph" w:styleId="a7">
    <w:name w:val="List Paragraph"/>
    <w:basedOn w:val="a"/>
    <w:uiPriority w:val="34"/>
    <w:qFormat/>
    <w:rsid w:val="00AF59BB"/>
    <w:pPr>
      <w:ind w:firstLineChars="200" w:firstLine="420"/>
    </w:pPr>
  </w:style>
  <w:style w:type="paragraph" w:styleId="a8">
    <w:name w:val="Date"/>
    <w:basedOn w:val="a"/>
    <w:next w:val="a"/>
    <w:link w:val="Char3"/>
    <w:uiPriority w:val="99"/>
    <w:semiHidden/>
    <w:unhideWhenUsed/>
    <w:rsid w:val="00930610"/>
    <w:pPr>
      <w:ind w:leftChars="2500" w:left="100"/>
    </w:pPr>
  </w:style>
  <w:style w:type="character" w:customStyle="1" w:styleId="Char3">
    <w:name w:val="日期 Char"/>
    <w:basedOn w:val="a0"/>
    <w:link w:val="a8"/>
    <w:uiPriority w:val="99"/>
    <w:semiHidden/>
    <w:rsid w:val="00930610"/>
    <w:rPr>
      <w:rFonts w:ascii="Calibri" w:eastAsia="宋体" w:hAnsi="Calibri" w:cs="Times New Roman"/>
    </w:rPr>
  </w:style>
  <w:style w:type="character" w:customStyle="1" w:styleId="2Char">
    <w:name w:val="标题 2 Char"/>
    <w:basedOn w:val="a0"/>
    <w:link w:val="2"/>
    <w:uiPriority w:val="9"/>
    <w:rsid w:val="00DD35F9"/>
    <w:rPr>
      <w:rFonts w:ascii="宋体" w:eastAsia="宋体" w:hAnsi="宋体" w:cs="宋体"/>
      <w:b/>
      <w:bCs/>
      <w:kern w:val="0"/>
      <w:sz w:val="36"/>
      <w:szCs w:val="36"/>
    </w:rPr>
  </w:style>
  <w:style w:type="character" w:customStyle="1" w:styleId="hitclass">
    <w:name w:val="hitclass"/>
    <w:basedOn w:val="a0"/>
    <w:rsid w:val="00DD35F9"/>
  </w:style>
  <w:style w:type="character" w:styleId="a9">
    <w:name w:val="annotation reference"/>
    <w:rsid w:val="00C64F35"/>
    <w:rPr>
      <w:sz w:val="21"/>
    </w:rPr>
  </w:style>
  <w:style w:type="character" w:customStyle="1" w:styleId="Char4">
    <w:name w:val="批注文字 Char"/>
    <w:link w:val="aa"/>
    <w:rsid w:val="00C64F35"/>
  </w:style>
  <w:style w:type="paragraph" w:styleId="aa">
    <w:name w:val="annotation text"/>
    <w:basedOn w:val="a"/>
    <w:link w:val="Char4"/>
    <w:rsid w:val="00C64F35"/>
    <w:pPr>
      <w:jc w:val="left"/>
    </w:pPr>
    <w:rPr>
      <w:rFonts w:asciiTheme="minorHAnsi" w:eastAsiaTheme="minorEastAsia" w:hAnsiTheme="minorHAnsi" w:cstheme="minorBidi"/>
    </w:rPr>
  </w:style>
  <w:style w:type="character" w:customStyle="1" w:styleId="1">
    <w:name w:val="批注文字 字符1"/>
    <w:basedOn w:val="a0"/>
    <w:uiPriority w:val="99"/>
    <w:semiHidden/>
    <w:rsid w:val="00C64F35"/>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80824870">
      <w:bodyDiv w:val="1"/>
      <w:marLeft w:val="0"/>
      <w:marRight w:val="0"/>
      <w:marTop w:val="0"/>
      <w:marBottom w:val="0"/>
      <w:divBdr>
        <w:top w:val="none" w:sz="0" w:space="0" w:color="auto"/>
        <w:left w:val="none" w:sz="0" w:space="0" w:color="auto"/>
        <w:bottom w:val="none" w:sz="0" w:space="0" w:color="auto"/>
        <w:right w:val="none" w:sz="0" w:space="0" w:color="auto"/>
      </w:divBdr>
    </w:div>
    <w:div w:id="206725555">
      <w:bodyDiv w:val="1"/>
      <w:marLeft w:val="0"/>
      <w:marRight w:val="0"/>
      <w:marTop w:val="0"/>
      <w:marBottom w:val="0"/>
      <w:divBdr>
        <w:top w:val="none" w:sz="0" w:space="0" w:color="auto"/>
        <w:left w:val="none" w:sz="0" w:space="0" w:color="auto"/>
        <w:bottom w:val="none" w:sz="0" w:space="0" w:color="auto"/>
        <w:right w:val="none" w:sz="0" w:space="0" w:color="auto"/>
      </w:divBdr>
    </w:div>
    <w:div w:id="255211431">
      <w:bodyDiv w:val="1"/>
      <w:marLeft w:val="0"/>
      <w:marRight w:val="0"/>
      <w:marTop w:val="0"/>
      <w:marBottom w:val="0"/>
      <w:divBdr>
        <w:top w:val="none" w:sz="0" w:space="0" w:color="auto"/>
        <w:left w:val="none" w:sz="0" w:space="0" w:color="auto"/>
        <w:bottom w:val="none" w:sz="0" w:space="0" w:color="auto"/>
        <w:right w:val="none" w:sz="0" w:space="0" w:color="auto"/>
      </w:divBdr>
    </w:div>
    <w:div w:id="696658972">
      <w:bodyDiv w:val="1"/>
      <w:marLeft w:val="0"/>
      <w:marRight w:val="0"/>
      <w:marTop w:val="0"/>
      <w:marBottom w:val="0"/>
      <w:divBdr>
        <w:top w:val="none" w:sz="0" w:space="0" w:color="auto"/>
        <w:left w:val="none" w:sz="0" w:space="0" w:color="auto"/>
        <w:bottom w:val="none" w:sz="0" w:space="0" w:color="auto"/>
        <w:right w:val="none" w:sz="0" w:space="0" w:color="auto"/>
      </w:divBdr>
    </w:div>
    <w:div w:id="955407628">
      <w:bodyDiv w:val="1"/>
      <w:marLeft w:val="0"/>
      <w:marRight w:val="0"/>
      <w:marTop w:val="0"/>
      <w:marBottom w:val="0"/>
      <w:divBdr>
        <w:top w:val="none" w:sz="0" w:space="0" w:color="auto"/>
        <w:left w:val="none" w:sz="0" w:space="0" w:color="auto"/>
        <w:bottom w:val="none" w:sz="0" w:space="0" w:color="auto"/>
        <w:right w:val="none" w:sz="0" w:space="0" w:color="auto"/>
      </w:divBdr>
    </w:div>
    <w:div w:id="1078941840">
      <w:bodyDiv w:val="1"/>
      <w:marLeft w:val="0"/>
      <w:marRight w:val="0"/>
      <w:marTop w:val="0"/>
      <w:marBottom w:val="0"/>
      <w:divBdr>
        <w:top w:val="none" w:sz="0" w:space="0" w:color="auto"/>
        <w:left w:val="none" w:sz="0" w:space="0" w:color="auto"/>
        <w:bottom w:val="none" w:sz="0" w:space="0" w:color="auto"/>
        <w:right w:val="none" w:sz="0" w:space="0" w:color="auto"/>
      </w:divBdr>
    </w:div>
    <w:div w:id="1080256761">
      <w:bodyDiv w:val="1"/>
      <w:marLeft w:val="0"/>
      <w:marRight w:val="0"/>
      <w:marTop w:val="0"/>
      <w:marBottom w:val="0"/>
      <w:divBdr>
        <w:top w:val="none" w:sz="0" w:space="0" w:color="auto"/>
        <w:left w:val="none" w:sz="0" w:space="0" w:color="auto"/>
        <w:bottom w:val="none" w:sz="0" w:space="0" w:color="auto"/>
        <w:right w:val="none" w:sz="0" w:space="0" w:color="auto"/>
      </w:divBdr>
    </w:div>
    <w:div w:id="1372656241">
      <w:bodyDiv w:val="1"/>
      <w:marLeft w:val="0"/>
      <w:marRight w:val="0"/>
      <w:marTop w:val="0"/>
      <w:marBottom w:val="0"/>
      <w:divBdr>
        <w:top w:val="none" w:sz="0" w:space="0" w:color="auto"/>
        <w:left w:val="none" w:sz="0" w:space="0" w:color="auto"/>
        <w:bottom w:val="none" w:sz="0" w:space="0" w:color="auto"/>
        <w:right w:val="none" w:sz="0" w:space="0" w:color="auto"/>
      </w:divBdr>
    </w:div>
    <w:div w:id="1400590723">
      <w:bodyDiv w:val="1"/>
      <w:marLeft w:val="0"/>
      <w:marRight w:val="0"/>
      <w:marTop w:val="0"/>
      <w:marBottom w:val="0"/>
      <w:divBdr>
        <w:top w:val="none" w:sz="0" w:space="0" w:color="auto"/>
        <w:left w:val="none" w:sz="0" w:space="0" w:color="auto"/>
        <w:bottom w:val="none" w:sz="0" w:space="0" w:color="auto"/>
        <w:right w:val="none" w:sz="0" w:space="0" w:color="auto"/>
      </w:divBdr>
    </w:div>
    <w:div w:id="1534533393">
      <w:bodyDiv w:val="1"/>
      <w:marLeft w:val="0"/>
      <w:marRight w:val="0"/>
      <w:marTop w:val="0"/>
      <w:marBottom w:val="0"/>
      <w:divBdr>
        <w:top w:val="none" w:sz="0" w:space="0" w:color="auto"/>
        <w:left w:val="none" w:sz="0" w:space="0" w:color="auto"/>
        <w:bottom w:val="none" w:sz="0" w:space="0" w:color="auto"/>
        <w:right w:val="none" w:sz="0" w:space="0" w:color="auto"/>
      </w:divBdr>
    </w:div>
    <w:div w:id="1617980422">
      <w:bodyDiv w:val="1"/>
      <w:marLeft w:val="0"/>
      <w:marRight w:val="0"/>
      <w:marTop w:val="0"/>
      <w:marBottom w:val="0"/>
      <w:divBdr>
        <w:top w:val="none" w:sz="0" w:space="0" w:color="auto"/>
        <w:left w:val="none" w:sz="0" w:space="0" w:color="auto"/>
        <w:bottom w:val="none" w:sz="0" w:space="0" w:color="auto"/>
        <w:right w:val="none" w:sz="0" w:space="0" w:color="auto"/>
      </w:divBdr>
    </w:div>
    <w:div w:id="1676416160">
      <w:bodyDiv w:val="1"/>
      <w:marLeft w:val="0"/>
      <w:marRight w:val="0"/>
      <w:marTop w:val="0"/>
      <w:marBottom w:val="0"/>
      <w:divBdr>
        <w:top w:val="none" w:sz="0" w:space="0" w:color="auto"/>
        <w:left w:val="none" w:sz="0" w:space="0" w:color="auto"/>
        <w:bottom w:val="none" w:sz="0" w:space="0" w:color="auto"/>
        <w:right w:val="none" w:sz="0" w:space="0" w:color="auto"/>
      </w:divBdr>
    </w:div>
    <w:div w:id="2000692358">
      <w:bodyDiv w:val="1"/>
      <w:marLeft w:val="0"/>
      <w:marRight w:val="0"/>
      <w:marTop w:val="0"/>
      <w:marBottom w:val="0"/>
      <w:divBdr>
        <w:top w:val="none" w:sz="0" w:space="0" w:color="auto"/>
        <w:left w:val="none" w:sz="0" w:space="0" w:color="auto"/>
        <w:bottom w:val="none" w:sz="0" w:space="0" w:color="auto"/>
        <w:right w:val="none" w:sz="0" w:space="0" w:color="auto"/>
      </w:divBdr>
    </w:div>
    <w:div w:id="20042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743D5-7374-44DD-944F-2D61EAFF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5827</Characters>
  <Application>Microsoft Office Word</Application>
  <DocSecurity>4</DocSecurity>
  <Lines>48</Lines>
  <Paragraphs>13</Paragraphs>
  <ScaleCrop>false</ScaleCrop>
  <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研究发展部-罗业超</dc:creator>
  <cp:keywords/>
  <dc:description/>
  <cp:lastModifiedBy>ZHONGM</cp:lastModifiedBy>
  <cp:revision>2</cp:revision>
  <cp:lastPrinted>2021-04-21T05:23:00Z</cp:lastPrinted>
  <dcterms:created xsi:type="dcterms:W3CDTF">2021-04-27T18:07:00Z</dcterms:created>
  <dcterms:modified xsi:type="dcterms:W3CDTF">2021-04-27T18:07:00Z</dcterms:modified>
</cp:coreProperties>
</file>