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40" w:rsidRPr="00482FE1" w:rsidRDefault="00462853" w:rsidP="00B46532">
      <w:pPr>
        <w:widowControl/>
        <w:adjustRightInd w:val="0"/>
        <w:snapToGrid w:val="0"/>
        <w:spacing w:line="360" w:lineRule="auto"/>
        <w:jc w:val="center"/>
        <w:rPr>
          <w:rFonts w:ascii="宋体" w:eastAsia="宋体" w:hAnsi="宋体" w:cs="宋体"/>
          <w:b/>
          <w:color w:val="000000"/>
          <w:kern w:val="0"/>
          <w:sz w:val="28"/>
          <w:szCs w:val="27"/>
        </w:rPr>
      </w:pPr>
      <w:r w:rsidRPr="00462853">
        <w:rPr>
          <w:rFonts w:ascii="宋体" w:eastAsia="宋体" w:hAnsi="宋体" w:cs="宋体" w:hint="eastAsia"/>
          <w:b/>
          <w:color w:val="000000"/>
          <w:kern w:val="0"/>
          <w:sz w:val="28"/>
          <w:szCs w:val="27"/>
        </w:rPr>
        <w:t>中欧</w:t>
      </w:r>
      <w:r w:rsidR="00EB746C">
        <w:rPr>
          <w:rFonts w:ascii="宋体" w:eastAsia="宋体" w:hAnsi="宋体" w:cs="宋体" w:hint="eastAsia"/>
          <w:b/>
          <w:color w:val="000000"/>
          <w:kern w:val="0"/>
          <w:sz w:val="28"/>
          <w:szCs w:val="27"/>
        </w:rPr>
        <w:t>强瑞多策略定期开放债券型</w:t>
      </w:r>
      <w:r w:rsidRPr="00462853">
        <w:rPr>
          <w:rFonts w:ascii="宋体" w:eastAsia="宋体" w:hAnsi="宋体" w:cs="宋体" w:hint="eastAsia"/>
          <w:b/>
          <w:color w:val="000000"/>
          <w:kern w:val="0"/>
          <w:sz w:val="28"/>
          <w:szCs w:val="27"/>
        </w:rPr>
        <w:t>证券投资基金</w:t>
      </w:r>
      <w:r w:rsidR="00AD5C40" w:rsidRPr="00482FE1">
        <w:rPr>
          <w:rFonts w:ascii="宋体" w:eastAsia="宋体" w:hAnsi="宋体" w:cs="宋体" w:hint="eastAsia"/>
          <w:b/>
          <w:color w:val="000000"/>
          <w:kern w:val="0"/>
          <w:sz w:val="28"/>
          <w:szCs w:val="27"/>
        </w:rPr>
        <w:t>清算报告</w:t>
      </w:r>
    </w:p>
    <w:p w:rsidR="00B46532" w:rsidRPr="00EB746C" w:rsidRDefault="00B46532" w:rsidP="00B46532">
      <w:pPr>
        <w:widowControl/>
        <w:adjustRightInd w:val="0"/>
        <w:snapToGrid w:val="0"/>
        <w:spacing w:line="360" w:lineRule="auto"/>
        <w:jc w:val="left"/>
        <w:rPr>
          <w:rFonts w:ascii="宋体" w:eastAsia="宋体" w:hAnsi="宋体" w:cs="宋体"/>
          <w:color w:val="000000"/>
          <w:kern w:val="0"/>
          <w:sz w:val="27"/>
          <w:szCs w:val="27"/>
        </w:rPr>
      </w:pPr>
    </w:p>
    <w:p w:rsidR="00AD5C40" w:rsidRPr="00482FE1"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基金管理人：</w:t>
      </w:r>
      <w:r w:rsidR="00BF3BD3" w:rsidRPr="00482FE1">
        <w:rPr>
          <w:rFonts w:ascii="宋体" w:eastAsia="宋体" w:hAnsi="宋体" w:cs="宋体" w:hint="eastAsia"/>
          <w:color w:val="000000"/>
          <w:kern w:val="0"/>
          <w:sz w:val="24"/>
          <w:szCs w:val="24"/>
        </w:rPr>
        <w:t>中欧基金管理有限公司</w:t>
      </w:r>
    </w:p>
    <w:p w:rsidR="00AD5C40" w:rsidRPr="00482FE1"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基金托管人：</w:t>
      </w:r>
      <w:r w:rsidR="00103157" w:rsidRPr="00103157">
        <w:rPr>
          <w:rFonts w:ascii="宋体" w:eastAsia="宋体" w:hAnsi="宋体" w:cs="宋体" w:hint="eastAsia"/>
          <w:color w:val="000000"/>
          <w:kern w:val="0"/>
          <w:sz w:val="24"/>
          <w:szCs w:val="24"/>
        </w:rPr>
        <w:t>中国工商银行股份有限公司</w:t>
      </w:r>
    </w:p>
    <w:p w:rsidR="00DC006E" w:rsidRPr="00482FE1" w:rsidRDefault="00DC006E"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报告出具日期</w:t>
      </w:r>
      <w:r w:rsidRPr="00482FE1">
        <w:rPr>
          <w:rFonts w:ascii="宋体" w:eastAsia="宋体" w:hAnsi="宋体" w:cs="宋体"/>
          <w:color w:val="000000"/>
          <w:kern w:val="0"/>
          <w:sz w:val="24"/>
          <w:szCs w:val="24"/>
        </w:rPr>
        <w:t>：</w:t>
      </w:r>
      <w:r w:rsidR="00531FE3" w:rsidRPr="00482FE1">
        <w:rPr>
          <w:rFonts w:ascii="宋体" w:eastAsia="宋体" w:hAnsi="宋体" w:cs="宋体" w:hint="eastAsia"/>
          <w:color w:val="000000"/>
          <w:kern w:val="0"/>
          <w:sz w:val="24"/>
          <w:szCs w:val="24"/>
        </w:rPr>
        <w:t>20</w:t>
      </w:r>
      <w:r w:rsidR="00103157">
        <w:rPr>
          <w:rFonts w:ascii="宋体" w:eastAsia="宋体" w:hAnsi="宋体" w:cs="宋体"/>
          <w:color w:val="000000"/>
          <w:kern w:val="0"/>
          <w:sz w:val="24"/>
          <w:szCs w:val="24"/>
        </w:rPr>
        <w:t>21</w:t>
      </w:r>
      <w:r w:rsidR="00531FE3" w:rsidRPr="00482FE1">
        <w:rPr>
          <w:rFonts w:ascii="宋体" w:eastAsia="宋体" w:hAnsi="宋体" w:cs="宋体" w:hint="eastAsia"/>
          <w:color w:val="000000"/>
          <w:kern w:val="0"/>
          <w:sz w:val="24"/>
          <w:szCs w:val="24"/>
        </w:rPr>
        <w:t>年</w:t>
      </w:r>
      <w:r w:rsidR="0042621E">
        <w:rPr>
          <w:rFonts w:ascii="宋体" w:eastAsia="宋体" w:hAnsi="宋体" w:cs="宋体"/>
          <w:color w:val="000000"/>
          <w:kern w:val="0"/>
          <w:sz w:val="24"/>
          <w:szCs w:val="24"/>
        </w:rPr>
        <w:t>4</w:t>
      </w:r>
      <w:r w:rsidRPr="00482FE1">
        <w:rPr>
          <w:rFonts w:ascii="宋体" w:eastAsia="宋体" w:hAnsi="宋体" w:cs="宋体" w:hint="eastAsia"/>
          <w:color w:val="000000"/>
          <w:kern w:val="0"/>
          <w:sz w:val="24"/>
          <w:szCs w:val="24"/>
        </w:rPr>
        <w:t>月</w:t>
      </w:r>
      <w:r w:rsidR="0042621E">
        <w:rPr>
          <w:rFonts w:ascii="宋体" w:eastAsia="宋体" w:hAnsi="宋体" w:cs="宋体"/>
          <w:color w:val="000000"/>
          <w:kern w:val="0"/>
          <w:sz w:val="24"/>
          <w:szCs w:val="24"/>
        </w:rPr>
        <w:t>7</w:t>
      </w:r>
      <w:r w:rsidRPr="00482FE1">
        <w:rPr>
          <w:rFonts w:ascii="宋体" w:eastAsia="宋体" w:hAnsi="宋体" w:cs="宋体" w:hint="eastAsia"/>
          <w:color w:val="000000"/>
          <w:kern w:val="0"/>
          <w:sz w:val="24"/>
          <w:szCs w:val="24"/>
        </w:rPr>
        <w:t>日</w:t>
      </w:r>
    </w:p>
    <w:p w:rsidR="00AD5C40" w:rsidRPr="00482FE1" w:rsidRDefault="008730F0"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报告</w:t>
      </w:r>
      <w:r w:rsidR="00AD5C40" w:rsidRPr="00482FE1">
        <w:rPr>
          <w:rFonts w:ascii="宋体" w:eastAsia="宋体" w:hAnsi="宋体" w:cs="宋体" w:hint="eastAsia"/>
          <w:color w:val="000000"/>
          <w:kern w:val="0"/>
          <w:sz w:val="24"/>
          <w:szCs w:val="24"/>
        </w:rPr>
        <w:t>公告日期：</w:t>
      </w:r>
      <w:r w:rsidR="00531FE3" w:rsidRPr="00482FE1">
        <w:rPr>
          <w:rFonts w:ascii="宋体" w:eastAsia="宋体" w:hAnsi="宋体" w:cs="宋体" w:hint="eastAsia"/>
          <w:color w:val="000000"/>
          <w:kern w:val="0"/>
          <w:sz w:val="24"/>
          <w:szCs w:val="24"/>
        </w:rPr>
        <w:t>20</w:t>
      </w:r>
      <w:r w:rsidR="00462853">
        <w:rPr>
          <w:rFonts w:ascii="宋体" w:eastAsia="宋体" w:hAnsi="宋体" w:cs="宋体"/>
          <w:color w:val="000000"/>
          <w:kern w:val="0"/>
          <w:sz w:val="24"/>
          <w:szCs w:val="24"/>
        </w:rPr>
        <w:t>21</w:t>
      </w:r>
      <w:r w:rsidR="00531FE3" w:rsidRPr="00482FE1">
        <w:rPr>
          <w:rFonts w:ascii="宋体" w:eastAsia="宋体" w:hAnsi="宋体" w:cs="宋体" w:hint="eastAsia"/>
          <w:color w:val="000000"/>
          <w:kern w:val="0"/>
          <w:sz w:val="24"/>
          <w:szCs w:val="24"/>
        </w:rPr>
        <w:t>年</w:t>
      </w:r>
      <w:r w:rsidR="000C4E50">
        <w:rPr>
          <w:rFonts w:ascii="宋体" w:eastAsia="宋体" w:hAnsi="宋体" w:cs="宋体"/>
          <w:color w:val="000000"/>
          <w:kern w:val="0"/>
          <w:sz w:val="24"/>
          <w:szCs w:val="24"/>
        </w:rPr>
        <w:t>4</w:t>
      </w:r>
      <w:r w:rsidR="00AD5C40" w:rsidRPr="00482FE1">
        <w:rPr>
          <w:rFonts w:ascii="宋体" w:eastAsia="宋体" w:hAnsi="宋体" w:cs="宋体" w:hint="eastAsia"/>
          <w:color w:val="000000"/>
          <w:kern w:val="0"/>
          <w:sz w:val="24"/>
          <w:szCs w:val="24"/>
        </w:rPr>
        <w:t>月</w:t>
      </w:r>
      <w:r w:rsidR="000C4E50">
        <w:rPr>
          <w:rFonts w:ascii="宋体" w:eastAsia="宋体" w:hAnsi="宋体" w:cs="宋体"/>
          <w:color w:val="000000"/>
          <w:kern w:val="0"/>
          <w:sz w:val="24"/>
          <w:szCs w:val="24"/>
        </w:rPr>
        <w:t>23</w:t>
      </w:r>
      <w:bookmarkStart w:id="0" w:name="_GoBack"/>
      <w:bookmarkEnd w:id="0"/>
      <w:r w:rsidR="00AD5C40" w:rsidRPr="00482FE1">
        <w:rPr>
          <w:rFonts w:ascii="宋体" w:eastAsia="宋体" w:hAnsi="宋体" w:cs="宋体" w:hint="eastAsia"/>
          <w:color w:val="000000"/>
          <w:kern w:val="0"/>
          <w:sz w:val="24"/>
          <w:szCs w:val="24"/>
        </w:rPr>
        <w:t>日</w:t>
      </w:r>
    </w:p>
    <w:p w:rsidR="00B46532" w:rsidRPr="00482FE1" w:rsidRDefault="00B46532" w:rsidP="00B46532">
      <w:pPr>
        <w:widowControl/>
        <w:adjustRightInd w:val="0"/>
        <w:snapToGrid w:val="0"/>
        <w:spacing w:line="360" w:lineRule="auto"/>
        <w:jc w:val="left"/>
        <w:rPr>
          <w:rFonts w:ascii="宋体" w:eastAsia="宋体" w:hAnsi="宋体" w:cs="宋体"/>
          <w:color w:val="000000"/>
          <w:kern w:val="0"/>
          <w:sz w:val="24"/>
          <w:szCs w:val="24"/>
        </w:rPr>
      </w:pPr>
    </w:p>
    <w:p w:rsidR="00AD5C40" w:rsidRPr="00482FE1"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一、</w:t>
      </w:r>
      <w:r w:rsidR="00AD5C40" w:rsidRPr="00482FE1">
        <w:rPr>
          <w:rFonts w:ascii="宋体" w:eastAsia="宋体" w:hAnsi="宋体" w:cs="宋体" w:hint="eastAsia"/>
          <w:color w:val="000000"/>
          <w:kern w:val="0"/>
          <w:sz w:val="24"/>
          <w:szCs w:val="24"/>
        </w:rPr>
        <w:t>重要提示</w:t>
      </w:r>
      <w:r w:rsidR="00621A19" w:rsidRPr="00482FE1">
        <w:rPr>
          <w:rFonts w:ascii="宋体" w:eastAsia="宋体" w:hAnsi="宋体" w:cs="宋体" w:hint="eastAsia"/>
          <w:color w:val="000000"/>
          <w:kern w:val="0"/>
          <w:sz w:val="24"/>
          <w:szCs w:val="24"/>
        </w:rPr>
        <w:t xml:space="preserve"> </w:t>
      </w:r>
    </w:p>
    <w:p w:rsidR="00576A20" w:rsidRPr="00482FE1" w:rsidRDefault="00462853" w:rsidP="00B46532">
      <w:pPr>
        <w:widowControl/>
        <w:adjustRightInd w:val="0"/>
        <w:snapToGrid w:val="0"/>
        <w:spacing w:line="360" w:lineRule="auto"/>
        <w:ind w:firstLineChars="200" w:firstLine="480"/>
        <w:jc w:val="left"/>
        <w:rPr>
          <w:rFonts w:ascii="宋体" w:eastAsia="宋体" w:hAnsi="宋体" w:cs="宋体"/>
          <w:color w:val="000000"/>
          <w:kern w:val="0"/>
          <w:sz w:val="24"/>
          <w:szCs w:val="24"/>
        </w:rPr>
      </w:pPr>
      <w:r w:rsidRPr="00462853">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Pr="00462853">
        <w:rPr>
          <w:rFonts w:ascii="宋体" w:eastAsia="宋体" w:hAnsi="宋体" w:cs="宋体" w:hint="eastAsia"/>
          <w:color w:val="000000"/>
          <w:kern w:val="0"/>
          <w:sz w:val="24"/>
          <w:szCs w:val="24"/>
        </w:rPr>
        <w:t>证券投资基金</w:t>
      </w:r>
      <w:r w:rsidR="0081092F" w:rsidRPr="00482FE1">
        <w:rPr>
          <w:rFonts w:ascii="宋体" w:eastAsia="宋体" w:hAnsi="宋体" w:cs="宋体" w:hint="eastAsia"/>
          <w:color w:val="000000"/>
          <w:kern w:val="0"/>
          <w:sz w:val="24"/>
          <w:szCs w:val="24"/>
        </w:rPr>
        <w:t xml:space="preserve"> </w:t>
      </w:r>
      <w:r w:rsidR="00576A20" w:rsidRPr="00482FE1">
        <w:rPr>
          <w:rFonts w:ascii="宋体" w:eastAsia="宋体" w:hAnsi="宋体" w:cs="宋体" w:hint="eastAsia"/>
          <w:color w:val="000000"/>
          <w:kern w:val="0"/>
          <w:sz w:val="24"/>
          <w:szCs w:val="24"/>
        </w:rPr>
        <w:t>(以下简称“本基金”)经中国证券监督管理委员会(以下简称“中国证监会”)</w:t>
      </w:r>
      <w:r w:rsidR="004D7FF2" w:rsidRPr="00482FE1">
        <w:rPr>
          <w:rFonts w:ascii="宋体" w:eastAsia="宋体" w:hAnsi="宋体" w:cs="宋体" w:hint="eastAsia"/>
          <w:color w:val="000000"/>
          <w:kern w:val="0"/>
          <w:sz w:val="24"/>
          <w:szCs w:val="24"/>
        </w:rPr>
        <w:t>证监许可</w:t>
      </w:r>
      <w:r w:rsidR="004303E9" w:rsidRPr="00482FE1">
        <w:rPr>
          <w:rFonts w:ascii="宋体" w:eastAsia="宋体" w:hAnsi="宋体" w:cs="宋体"/>
          <w:color w:val="000000"/>
          <w:kern w:val="0"/>
          <w:sz w:val="24"/>
          <w:szCs w:val="24"/>
        </w:rPr>
        <w:t>[201</w:t>
      </w:r>
      <w:r w:rsidR="001428EF">
        <w:rPr>
          <w:rFonts w:ascii="宋体" w:eastAsia="宋体" w:hAnsi="宋体" w:cs="宋体"/>
          <w:color w:val="000000"/>
          <w:kern w:val="0"/>
          <w:sz w:val="24"/>
          <w:szCs w:val="24"/>
        </w:rPr>
        <w:t>6</w:t>
      </w:r>
      <w:r w:rsidR="004303E9" w:rsidRPr="00482FE1">
        <w:rPr>
          <w:rFonts w:ascii="宋体" w:eastAsia="宋体" w:hAnsi="宋体" w:cs="宋体"/>
          <w:color w:val="000000"/>
          <w:kern w:val="0"/>
          <w:sz w:val="24"/>
          <w:szCs w:val="24"/>
        </w:rPr>
        <w:t>]</w:t>
      </w:r>
      <w:r w:rsidR="001428EF">
        <w:rPr>
          <w:rFonts w:ascii="宋体" w:eastAsia="宋体" w:hAnsi="宋体" w:cs="宋体"/>
          <w:color w:val="000000"/>
          <w:kern w:val="0"/>
          <w:sz w:val="24"/>
          <w:szCs w:val="24"/>
        </w:rPr>
        <w:t>845</w:t>
      </w:r>
      <w:r w:rsidR="004D7FF2" w:rsidRPr="00482FE1">
        <w:rPr>
          <w:rFonts w:ascii="宋体" w:eastAsia="宋体" w:hAnsi="宋体" w:cs="宋体" w:hint="eastAsia"/>
          <w:color w:val="000000"/>
          <w:kern w:val="0"/>
          <w:sz w:val="24"/>
          <w:szCs w:val="24"/>
        </w:rPr>
        <w:t>号文《</w:t>
      </w:r>
      <w:r w:rsidR="00103157" w:rsidRPr="00103157">
        <w:rPr>
          <w:rFonts w:ascii="宋体" w:eastAsia="宋体" w:hAnsi="宋体" w:cs="宋体" w:hint="eastAsia"/>
          <w:color w:val="000000"/>
          <w:kern w:val="0"/>
          <w:sz w:val="24"/>
          <w:szCs w:val="24"/>
        </w:rPr>
        <w:t>关于准予中欧</w:t>
      </w:r>
      <w:r w:rsidR="00EB746C">
        <w:rPr>
          <w:rFonts w:ascii="宋体" w:eastAsia="宋体" w:hAnsi="宋体" w:cs="宋体" w:hint="eastAsia"/>
          <w:color w:val="000000"/>
          <w:kern w:val="0"/>
          <w:sz w:val="24"/>
          <w:szCs w:val="24"/>
        </w:rPr>
        <w:t>强瑞多策略定期开放债券型</w:t>
      </w:r>
      <w:r w:rsidR="00103157" w:rsidRPr="00103157">
        <w:rPr>
          <w:rFonts w:ascii="宋体" w:eastAsia="宋体" w:hAnsi="宋体" w:cs="宋体" w:hint="eastAsia"/>
          <w:color w:val="000000"/>
          <w:kern w:val="0"/>
          <w:sz w:val="24"/>
          <w:szCs w:val="24"/>
        </w:rPr>
        <w:t>证券投资基金注册的批复</w:t>
      </w:r>
      <w:r w:rsidR="004D7FF2" w:rsidRPr="00482FE1">
        <w:rPr>
          <w:rFonts w:ascii="宋体" w:eastAsia="宋体" w:hAnsi="宋体" w:cs="宋体" w:hint="eastAsia"/>
          <w:color w:val="000000"/>
          <w:kern w:val="0"/>
          <w:sz w:val="24"/>
          <w:szCs w:val="24"/>
        </w:rPr>
        <w:t>》</w:t>
      </w:r>
      <w:r w:rsidR="00502249" w:rsidRPr="00482FE1">
        <w:rPr>
          <w:rFonts w:ascii="宋体" w:eastAsia="宋体" w:hAnsi="宋体" w:cs="宋体" w:hint="eastAsia"/>
          <w:color w:val="000000"/>
          <w:kern w:val="0"/>
          <w:sz w:val="24"/>
          <w:szCs w:val="24"/>
        </w:rPr>
        <w:t>注册</w:t>
      </w:r>
      <w:r w:rsidR="00576A20" w:rsidRPr="00482FE1">
        <w:rPr>
          <w:rFonts w:ascii="宋体" w:eastAsia="宋体" w:hAnsi="宋体" w:cs="宋体" w:hint="eastAsia"/>
          <w:color w:val="000000"/>
          <w:kern w:val="0"/>
          <w:sz w:val="24"/>
          <w:szCs w:val="24"/>
        </w:rPr>
        <w:t>，由中欧基金管理有限公司依照《中华人民共和国证券投资基金法》和《</w:t>
      </w:r>
      <w:r w:rsidR="0081092F"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0081092F" w:rsidRPr="0081092F">
        <w:rPr>
          <w:rFonts w:ascii="宋体" w:eastAsia="宋体" w:hAnsi="宋体" w:cs="宋体" w:hint="eastAsia"/>
          <w:color w:val="000000"/>
          <w:kern w:val="0"/>
          <w:sz w:val="24"/>
          <w:szCs w:val="24"/>
        </w:rPr>
        <w:t>证券投资基金</w:t>
      </w:r>
      <w:r w:rsidR="00576A20" w:rsidRPr="00482FE1">
        <w:rPr>
          <w:rFonts w:ascii="宋体" w:eastAsia="宋体" w:hAnsi="宋体" w:cs="宋体" w:hint="eastAsia"/>
          <w:color w:val="000000"/>
          <w:kern w:val="0"/>
          <w:sz w:val="24"/>
          <w:szCs w:val="24"/>
        </w:rPr>
        <w:t>基金合同》负责公开募集。本基金为契约型开放式，存续期限不定，首次设立募集不包括认购资金利息共募集</w:t>
      </w:r>
      <w:r w:rsidR="001428EF" w:rsidRPr="001428EF">
        <w:rPr>
          <w:rFonts w:ascii="宋体" w:eastAsia="宋体" w:hAnsi="宋体" w:cs="宋体"/>
          <w:color w:val="000000"/>
          <w:kern w:val="0"/>
          <w:sz w:val="24"/>
          <w:szCs w:val="24"/>
        </w:rPr>
        <w:t>825,899,786.53</w:t>
      </w:r>
      <w:r w:rsidR="000F521B" w:rsidRPr="00482FE1">
        <w:rPr>
          <w:rFonts w:ascii="宋体" w:eastAsia="宋体" w:hAnsi="宋体" w:cs="宋体" w:hint="eastAsia"/>
          <w:color w:val="000000"/>
          <w:kern w:val="0"/>
          <w:sz w:val="24"/>
          <w:szCs w:val="24"/>
        </w:rPr>
        <w:t>元</w:t>
      </w:r>
      <w:r w:rsidR="00576A20" w:rsidRPr="00482FE1">
        <w:rPr>
          <w:rFonts w:ascii="宋体" w:eastAsia="宋体" w:hAnsi="宋体" w:cs="宋体" w:hint="eastAsia"/>
          <w:color w:val="000000"/>
          <w:kern w:val="0"/>
          <w:sz w:val="24"/>
          <w:szCs w:val="24"/>
        </w:rPr>
        <w:t>。经向中国证监会备案，《</w:t>
      </w:r>
      <w:r w:rsidR="0081092F"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0081092F" w:rsidRPr="0081092F">
        <w:rPr>
          <w:rFonts w:ascii="宋体" w:eastAsia="宋体" w:hAnsi="宋体" w:cs="宋体" w:hint="eastAsia"/>
          <w:color w:val="000000"/>
          <w:kern w:val="0"/>
          <w:sz w:val="24"/>
          <w:szCs w:val="24"/>
        </w:rPr>
        <w:t>证券投资基金</w:t>
      </w:r>
      <w:r w:rsidR="00576A20" w:rsidRPr="00482FE1">
        <w:rPr>
          <w:rFonts w:ascii="宋体" w:eastAsia="宋体" w:hAnsi="宋体" w:cs="宋体" w:hint="eastAsia"/>
          <w:color w:val="000000"/>
          <w:kern w:val="0"/>
          <w:sz w:val="24"/>
          <w:szCs w:val="24"/>
        </w:rPr>
        <w:t>基金合同》于</w:t>
      </w:r>
      <w:r w:rsidR="004F5367" w:rsidRPr="00482FE1">
        <w:rPr>
          <w:rFonts w:ascii="宋体" w:eastAsia="宋体" w:hAnsi="宋体" w:cs="宋体" w:hint="eastAsia"/>
          <w:color w:val="000000"/>
          <w:kern w:val="0"/>
          <w:sz w:val="24"/>
          <w:szCs w:val="24"/>
        </w:rPr>
        <w:t>201</w:t>
      </w:r>
      <w:r w:rsidR="004F5367">
        <w:rPr>
          <w:rFonts w:ascii="宋体" w:eastAsia="宋体" w:hAnsi="宋体" w:cs="宋体"/>
          <w:color w:val="000000"/>
          <w:kern w:val="0"/>
          <w:sz w:val="24"/>
          <w:szCs w:val="24"/>
        </w:rPr>
        <w:t>6</w:t>
      </w:r>
      <w:r w:rsidR="004F5367" w:rsidRPr="00482FE1">
        <w:rPr>
          <w:rFonts w:ascii="宋体" w:eastAsia="宋体" w:hAnsi="宋体" w:cs="宋体" w:hint="eastAsia"/>
          <w:color w:val="000000"/>
          <w:kern w:val="0"/>
          <w:sz w:val="24"/>
          <w:szCs w:val="24"/>
        </w:rPr>
        <w:t>年</w:t>
      </w:r>
      <w:r w:rsidR="004F5367">
        <w:rPr>
          <w:rFonts w:ascii="宋体" w:eastAsia="宋体" w:hAnsi="宋体" w:cs="宋体"/>
          <w:color w:val="000000"/>
          <w:kern w:val="0"/>
          <w:sz w:val="24"/>
          <w:szCs w:val="24"/>
        </w:rPr>
        <w:t>5</w:t>
      </w:r>
      <w:r w:rsidR="0086027E" w:rsidRPr="00482FE1">
        <w:rPr>
          <w:rFonts w:ascii="宋体" w:eastAsia="宋体" w:hAnsi="宋体" w:cs="宋体" w:hint="eastAsia"/>
          <w:color w:val="000000"/>
          <w:kern w:val="0"/>
          <w:sz w:val="24"/>
          <w:szCs w:val="24"/>
        </w:rPr>
        <w:t>月</w:t>
      </w:r>
      <w:r w:rsidR="004F5367">
        <w:rPr>
          <w:rFonts w:ascii="宋体" w:eastAsia="宋体" w:hAnsi="宋体" w:cs="宋体"/>
          <w:color w:val="000000"/>
          <w:kern w:val="0"/>
          <w:sz w:val="24"/>
          <w:szCs w:val="24"/>
        </w:rPr>
        <w:t>27</w:t>
      </w:r>
      <w:r w:rsidR="0086027E" w:rsidRPr="00482FE1">
        <w:rPr>
          <w:rFonts w:ascii="宋体" w:eastAsia="宋体" w:hAnsi="宋体" w:cs="宋体" w:hint="eastAsia"/>
          <w:color w:val="000000"/>
          <w:kern w:val="0"/>
          <w:sz w:val="24"/>
          <w:szCs w:val="24"/>
        </w:rPr>
        <w:t>日</w:t>
      </w:r>
      <w:r w:rsidR="00576A20" w:rsidRPr="00482FE1">
        <w:rPr>
          <w:rFonts w:ascii="宋体" w:eastAsia="宋体" w:hAnsi="宋体" w:cs="宋体" w:hint="eastAsia"/>
          <w:color w:val="000000"/>
          <w:kern w:val="0"/>
          <w:sz w:val="24"/>
          <w:szCs w:val="24"/>
        </w:rPr>
        <w:t>正式生效，基金合同生效日的基金份额总额为</w:t>
      </w:r>
      <w:r w:rsidR="001428EF" w:rsidRPr="001428EF">
        <w:rPr>
          <w:rFonts w:ascii="宋体" w:eastAsia="宋体" w:hAnsi="宋体" w:cs="宋体"/>
          <w:color w:val="000000"/>
          <w:kern w:val="0"/>
          <w:sz w:val="24"/>
          <w:szCs w:val="24"/>
        </w:rPr>
        <w:t>825,949,613.45</w:t>
      </w:r>
      <w:r w:rsidR="00576A20" w:rsidRPr="00482FE1">
        <w:rPr>
          <w:rFonts w:ascii="宋体" w:eastAsia="宋体" w:hAnsi="宋体" w:cs="宋体" w:hint="eastAsia"/>
          <w:color w:val="000000"/>
          <w:kern w:val="0"/>
          <w:sz w:val="24"/>
          <w:szCs w:val="24"/>
        </w:rPr>
        <w:t>份，包含认购资金利息</w:t>
      </w:r>
      <w:r w:rsidR="00611F8B" w:rsidRPr="00482FE1">
        <w:rPr>
          <w:rFonts w:ascii="宋体" w:eastAsia="宋体" w:hAnsi="宋体" w:cs="宋体" w:hint="eastAsia"/>
          <w:color w:val="000000"/>
          <w:kern w:val="0"/>
          <w:sz w:val="24"/>
          <w:szCs w:val="24"/>
        </w:rPr>
        <w:t>结转的份额</w:t>
      </w:r>
      <w:r w:rsidR="001428EF" w:rsidRPr="001428EF">
        <w:rPr>
          <w:rFonts w:ascii="宋体" w:eastAsia="宋体" w:hAnsi="宋体" w:cs="宋体"/>
          <w:color w:val="000000"/>
          <w:kern w:val="0"/>
          <w:sz w:val="24"/>
          <w:szCs w:val="24"/>
        </w:rPr>
        <w:t>49,826.92</w:t>
      </w:r>
      <w:r w:rsidR="00576A20" w:rsidRPr="00482FE1">
        <w:rPr>
          <w:rFonts w:ascii="宋体" w:eastAsia="宋体" w:hAnsi="宋体" w:cs="宋体" w:hint="eastAsia"/>
          <w:color w:val="000000"/>
          <w:kern w:val="0"/>
          <w:sz w:val="24"/>
          <w:szCs w:val="24"/>
        </w:rPr>
        <w:t>份。本基金的基金管理人为中欧基金管理有限公司</w:t>
      </w:r>
      <w:r w:rsidR="009D6C86" w:rsidRPr="00482FE1">
        <w:rPr>
          <w:rFonts w:ascii="宋体" w:eastAsia="宋体" w:hAnsi="宋体" w:cs="宋体" w:hint="eastAsia"/>
          <w:color w:val="000000"/>
          <w:kern w:val="0"/>
          <w:sz w:val="24"/>
          <w:szCs w:val="24"/>
        </w:rPr>
        <w:t>（以下简称“基金管理人”）</w:t>
      </w:r>
      <w:r w:rsidR="00576A20" w:rsidRPr="00482FE1">
        <w:rPr>
          <w:rFonts w:ascii="宋体" w:eastAsia="宋体" w:hAnsi="宋体" w:cs="宋体" w:hint="eastAsia"/>
          <w:color w:val="000000"/>
          <w:kern w:val="0"/>
          <w:sz w:val="24"/>
          <w:szCs w:val="24"/>
        </w:rPr>
        <w:t>，基金托管人为</w:t>
      </w:r>
      <w:r w:rsidR="00103157" w:rsidRPr="00103157">
        <w:rPr>
          <w:rFonts w:ascii="宋体" w:eastAsia="宋体" w:hAnsi="宋体" w:cs="宋体" w:hint="eastAsia"/>
          <w:color w:val="000000"/>
          <w:kern w:val="0"/>
          <w:sz w:val="24"/>
          <w:szCs w:val="24"/>
        </w:rPr>
        <w:t>中国工商银行股份有限公司</w:t>
      </w:r>
      <w:r w:rsidR="00576A20" w:rsidRPr="00482FE1">
        <w:rPr>
          <w:rFonts w:ascii="宋体" w:eastAsia="宋体" w:hAnsi="宋体" w:cs="宋体" w:hint="eastAsia"/>
          <w:color w:val="000000"/>
          <w:kern w:val="0"/>
          <w:sz w:val="24"/>
          <w:szCs w:val="24"/>
        </w:rPr>
        <w:t>。</w:t>
      </w:r>
    </w:p>
    <w:p w:rsidR="004942B4" w:rsidRDefault="00BF3BD3" w:rsidP="00871851">
      <w:pPr>
        <w:widowControl/>
        <w:adjustRightInd w:val="0"/>
        <w:snapToGrid w:val="0"/>
        <w:spacing w:line="360" w:lineRule="auto"/>
        <w:ind w:firstLineChars="200" w:firstLine="480"/>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根据《</w:t>
      </w:r>
      <w:r w:rsidR="0081092F"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0081092F" w:rsidRPr="0081092F">
        <w:rPr>
          <w:rFonts w:ascii="宋体" w:eastAsia="宋体" w:hAnsi="宋体" w:cs="宋体" w:hint="eastAsia"/>
          <w:color w:val="000000"/>
          <w:kern w:val="0"/>
          <w:sz w:val="24"/>
          <w:szCs w:val="24"/>
        </w:rPr>
        <w:t>证券投资基金</w:t>
      </w:r>
      <w:r w:rsidRPr="00482FE1">
        <w:rPr>
          <w:rFonts w:ascii="宋体" w:eastAsia="宋体" w:hAnsi="宋体" w:cs="宋体" w:hint="eastAsia"/>
          <w:color w:val="000000"/>
          <w:kern w:val="0"/>
          <w:sz w:val="24"/>
          <w:szCs w:val="24"/>
        </w:rPr>
        <w:t>基金合同》</w:t>
      </w:r>
      <w:r w:rsidR="004942B4" w:rsidRPr="004942B4">
        <w:rPr>
          <w:rFonts w:ascii="宋体" w:eastAsia="宋体" w:hAnsi="宋体" w:cs="宋体" w:hint="eastAsia"/>
          <w:color w:val="000000"/>
          <w:kern w:val="0"/>
          <w:sz w:val="24"/>
          <w:szCs w:val="24"/>
        </w:rPr>
        <w:t>“第五部分 基金备案”中</w:t>
      </w:r>
      <w:r w:rsidR="001428EF" w:rsidRPr="001428EF">
        <w:rPr>
          <w:rFonts w:ascii="宋体" w:eastAsia="宋体" w:hAnsi="宋体" w:cs="宋体" w:hint="eastAsia"/>
          <w:color w:val="000000"/>
          <w:kern w:val="0"/>
          <w:sz w:val="24"/>
          <w:szCs w:val="24"/>
        </w:rPr>
        <w:t>“在任一开放期的最后一日日终，如发生以下情形之一的，则无须召开基金份额持有人大会，本基金将根据基金合同第十九部分的约定进行基金财产清算并终止：（1）基金资产净值加上当日有效申购申请金额及基金转换中转入申请金额扣除有效赎回申请金额及基金转换中转出申请金额后的余额低于5000万元。（2）基金份额持有人人数少于200人。法律法规或监管部门另有规定时，从其规定。”</w:t>
      </w:r>
    </w:p>
    <w:p w:rsidR="00871851" w:rsidRPr="00482FE1" w:rsidRDefault="00871851" w:rsidP="00871851">
      <w:pPr>
        <w:widowControl/>
        <w:adjustRightInd w:val="0"/>
        <w:snapToGrid w:val="0"/>
        <w:spacing w:line="360" w:lineRule="auto"/>
        <w:ind w:firstLineChars="200" w:firstLine="480"/>
        <w:jc w:val="left"/>
        <w:rPr>
          <w:rFonts w:ascii="宋体" w:eastAsia="宋体" w:hAnsi="宋体"/>
          <w:color w:val="000000"/>
          <w:sz w:val="24"/>
          <w:szCs w:val="24"/>
        </w:rPr>
      </w:pPr>
      <w:r w:rsidRPr="00871851">
        <w:rPr>
          <w:rFonts w:ascii="宋体" w:eastAsia="宋体" w:hAnsi="宋体" w:cs="宋体" w:hint="eastAsia"/>
          <w:color w:val="000000"/>
          <w:kern w:val="0"/>
          <w:sz w:val="24"/>
          <w:szCs w:val="24"/>
        </w:rPr>
        <w:t>截至本次开放期的最后一日日终（</w:t>
      </w:r>
      <w:r w:rsidR="004942B4">
        <w:rPr>
          <w:rFonts w:ascii="宋体" w:eastAsia="宋体" w:hAnsi="宋体" w:cs="宋体" w:hint="eastAsia"/>
          <w:color w:val="000000"/>
          <w:kern w:val="0"/>
          <w:sz w:val="24"/>
          <w:szCs w:val="24"/>
        </w:rPr>
        <w:t>202</w:t>
      </w:r>
      <w:r w:rsidR="004942B4">
        <w:rPr>
          <w:rFonts w:ascii="宋体" w:eastAsia="宋体" w:hAnsi="宋体" w:cs="宋体"/>
          <w:color w:val="000000"/>
          <w:kern w:val="0"/>
          <w:sz w:val="24"/>
          <w:szCs w:val="24"/>
        </w:rPr>
        <w:t>1</w:t>
      </w:r>
      <w:r w:rsidRPr="00871851">
        <w:rPr>
          <w:rFonts w:ascii="宋体" w:eastAsia="宋体" w:hAnsi="宋体" w:cs="宋体" w:hint="eastAsia"/>
          <w:color w:val="000000"/>
          <w:kern w:val="0"/>
          <w:sz w:val="24"/>
          <w:szCs w:val="24"/>
        </w:rPr>
        <w:t>年</w:t>
      </w:r>
      <w:r w:rsidR="004942B4">
        <w:rPr>
          <w:rFonts w:ascii="宋体" w:eastAsia="宋体" w:hAnsi="宋体" w:cs="宋体" w:hint="eastAsia"/>
          <w:color w:val="000000"/>
          <w:kern w:val="0"/>
          <w:sz w:val="24"/>
          <w:szCs w:val="24"/>
        </w:rPr>
        <w:t>3</w:t>
      </w:r>
      <w:r w:rsidRPr="00871851">
        <w:rPr>
          <w:rFonts w:ascii="宋体" w:eastAsia="宋体" w:hAnsi="宋体" w:cs="宋体" w:hint="eastAsia"/>
          <w:color w:val="000000"/>
          <w:kern w:val="0"/>
          <w:sz w:val="24"/>
          <w:szCs w:val="24"/>
        </w:rPr>
        <w:t>月</w:t>
      </w:r>
      <w:r w:rsidR="004942B4">
        <w:rPr>
          <w:rFonts w:ascii="宋体" w:eastAsia="宋体" w:hAnsi="宋体" w:cs="宋体" w:hint="eastAsia"/>
          <w:color w:val="000000"/>
          <w:kern w:val="0"/>
          <w:sz w:val="24"/>
          <w:szCs w:val="24"/>
        </w:rPr>
        <w:t>1</w:t>
      </w:r>
      <w:r w:rsidR="001428EF">
        <w:rPr>
          <w:rFonts w:ascii="宋体" w:eastAsia="宋体" w:hAnsi="宋体" w:cs="宋体"/>
          <w:color w:val="000000"/>
          <w:kern w:val="0"/>
          <w:sz w:val="24"/>
          <w:szCs w:val="24"/>
        </w:rPr>
        <w:t>9</w:t>
      </w:r>
      <w:r w:rsidRPr="00871851">
        <w:rPr>
          <w:rFonts w:ascii="宋体" w:eastAsia="宋体" w:hAnsi="宋体" w:cs="宋体" w:hint="eastAsia"/>
          <w:color w:val="000000"/>
          <w:kern w:val="0"/>
          <w:sz w:val="24"/>
          <w:szCs w:val="24"/>
        </w:rPr>
        <w:t>日），</w:t>
      </w:r>
      <w:r w:rsidR="001428EF" w:rsidRPr="001428EF">
        <w:rPr>
          <w:rFonts w:ascii="宋体" w:eastAsia="宋体" w:hAnsi="宋体" w:cs="宋体" w:hint="eastAsia"/>
          <w:color w:val="000000"/>
          <w:kern w:val="0"/>
          <w:sz w:val="24"/>
          <w:szCs w:val="24"/>
        </w:rPr>
        <w:t>基金资产净值加上当日有效申购申请金额及基金转换中转入申请金额扣除有效赎回申请金额及基金转换中转出申请金额后的余额低于5000万元</w:t>
      </w:r>
      <w:r w:rsidRPr="00871851">
        <w:rPr>
          <w:rFonts w:ascii="宋体" w:eastAsia="宋体" w:hAnsi="宋体" w:cs="宋体" w:hint="eastAsia"/>
          <w:color w:val="000000"/>
          <w:kern w:val="0"/>
          <w:sz w:val="24"/>
          <w:szCs w:val="24"/>
        </w:rPr>
        <w:t>。</w:t>
      </w:r>
      <w:r w:rsidRPr="00482FE1">
        <w:rPr>
          <w:rFonts w:ascii="宋体" w:eastAsia="宋体" w:hAnsi="宋体" w:hint="eastAsia"/>
          <w:color w:val="000000"/>
          <w:sz w:val="24"/>
          <w:szCs w:val="24"/>
        </w:rPr>
        <w:t>已触发《</w:t>
      </w:r>
      <w:r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w:t>
      </w:r>
      <w:r w:rsidR="00EB746C">
        <w:rPr>
          <w:rFonts w:ascii="宋体" w:eastAsia="宋体" w:hAnsi="宋体" w:cs="宋体" w:hint="eastAsia"/>
          <w:color w:val="000000"/>
          <w:kern w:val="0"/>
          <w:sz w:val="24"/>
          <w:szCs w:val="24"/>
        </w:rPr>
        <w:lastRenderedPageBreak/>
        <w:t>开放债券型</w:t>
      </w:r>
      <w:r w:rsidRPr="0081092F">
        <w:rPr>
          <w:rFonts w:ascii="宋体" w:eastAsia="宋体" w:hAnsi="宋体" w:cs="宋体" w:hint="eastAsia"/>
          <w:color w:val="000000"/>
          <w:kern w:val="0"/>
          <w:sz w:val="24"/>
          <w:szCs w:val="24"/>
        </w:rPr>
        <w:t>证券投资基金</w:t>
      </w:r>
      <w:r w:rsidRPr="00482FE1">
        <w:rPr>
          <w:rFonts w:ascii="宋体" w:eastAsia="宋体" w:hAnsi="宋体" w:hint="eastAsia"/>
          <w:color w:val="000000"/>
          <w:sz w:val="24"/>
          <w:szCs w:val="24"/>
        </w:rPr>
        <w:t>基金合同》中约定的基金合同终止条款。根据《</w:t>
      </w:r>
      <w:r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Pr="0081092F">
        <w:rPr>
          <w:rFonts w:ascii="宋体" w:eastAsia="宋体" w:hAnsi="宋体" w:cs="宋体" w:hint="eastAsia"/>
          <w:color w:val="000000"/>
          <w:kern w:val="0"/>
          <w:sz w:val="24"/>
          <w:szCs w:val="24"/>
        </w:rPr>
        <w:t>证券投资基金</w:t>
      </w:r>
      <w:r w:rsidRPr="00482FE1">
        <w:rPr>
          <w:rFonts w:ascii="宋体" w:eastAsia="宋体" w:hAnsi="宋体" w:hint="eastAsia"/>
          <w:color w:val="000000"/>
          <w:sz w:val="24"/>
          <w:szCs w:val="24"/>
        </w:rPr>
        <w:t>基金合同》有关约定，无须召开基金份额持有人大会,本基金管理人应当依法履行基金财产清算程序并终止基金合同。本基金的</w:t>
      </w:r>
      <w:r w:rsidRPr="00482FE1">
        <w:rPr>
          <w:rFonts w:ascii="宋体" w:eastAsia="宋体" w:hAnsi="宋体"/>
          <w:color w:val="000000"/>
          <w:sz w:val="24"/>
          <w:szCs w:val="24"/>
        </w:rPr>
        <w:t>最后运作日</w:t>
      </w:r>
      <w:r w:rsidR="002B1B4B">
        <w:rPr>
          <w:rFonts w:ascii="宋体" w:eastAsia="宋体" w:hAnsi="宋体"/>
          <w:color w:val="000000"/>
          <w:sz w:val="24"/>
          <w:szCs w:val="24"/>
        </w:rPr>
        <w:t>为</w:t>
      </w:r>
      <w:r w:rsidRPr="00482FE1">
        <w:rPr>
          <w:rFonts w:ascii="宋体" w:eastAsia="宋体" w:hAnsi="宋体" w:hint="eastAsia"/>
          <w:color w:val="000000"/>
          <w:sz w:val="24"/>
          <w:szCs w:val="24"/>
        </w:rPr>
        <w:t>20</w:t>
      </w:r>
      <w:r w:rsidR="004942B4">
        <w:rPr>
          <w:rFonts w:ascii="宋体" w:eastAsia="宋体" w:hAnsi="宋体"/>
          <w:color w:val="000000"/>
          <w:sz w:val="24"/>
          <w:szCs w:val="24"/>
        </w:rPr>
        <w:t>21</w:t>
      </w:r>
      <w:r w:rsidRPr="00482FE1">
        <w:rPr>
          <w:rFonts w:ascii="宋体" w:eastAsia="宋体" w:hAnsi="宋体" w:hint="eastAsia"/>
          <w:color w:val="000000"/>
          <w:sz w:val="24"/>
          <w:szCs w:val="24"/>
        </w:rPr>
        <w:t>年</w:t>
      </w:r>
      <w:r w:rsidR="004942B4">
        <w:rPr>
          <w:rFonts w:ascii="宋体" w:eastAsia="宋体" w:hAnsi="宋体" w:hint="eastAsia"/>
          <w:color w:val="000000"/>
          <w:sz w:val="24"/>
          <w:szCs w:val="24"/>
        </w:rPr>
        <w:t>3</w:t>
      </w:r>
      <w:r w:rsidRPr="00482FE1">
        <w:rPr>
          <w:rFonts w:ascii="宋体" w:eastAsia="宋体" w:hAnsi="宋体" w:hint="eastAsia"/>
          <w:color w:val="000000"/>
          <w:sz w:val="24"/>
          <w:szCs w:val="24"/>
        </w:rPr>
        <w:t>月</w:t>
      </w:r>
      <w:r w:rsidRPr="00482FE1">
        <w:rPr>
          <w:rFonts w:ascii="宋体" w:eastAsia="宋体" w:hAnsi="宋体"/>
          <w:color w:val="000000"/>
          <w:sz w:val="24"/>
          <w:szCs w:val="24"/>
        </w:rPr>
        <w:t>1</w:t>
      </w:r>
      <w:r w:rsidR="001428EF">
        <w:rPr>
          <w:rFonts w:ascii="宋体" w:eastAsia="宋体" w:hAnsi="宋体"/>
          <w:color w:val="000000"/>
          <w:sz w:val="24"/>
          <w:szCs w:val="24"/>
        </w:rPr>
        <w:t>9</w:t>
      </w:r>
      <w:r w:rsidRPr="00482FE1">
        <w:rPr>
          <w:rFonts w:ascii="宋体" w:eastAsia="宋体" w:hAnsi="宋体" w:hint="eastAsia"/>
          <w:color w:val="000000"/>
          <w:sz w:val="24"/>
          <w:szCs w:val="24"/>
        </w:rPr>
        <w:t>日，基金管理人</w:t>
      </w:r>
      <w:r w:rsidRPr="00482FE1">
        <w:rPr>
          <w:rFonts w:ascii="宋体" w:eastAsia="宋体" w:hAnsi="宋体"/>
          <w:color w:val="000000"/>
          <w:sz w:val="24"/>
          <w:szCs w:val="24"/>
        </w:rPr>
        <w:t>自</w:t>
      </w:r>
      <w:r w:rsidRPr="00482FE1">
        <w:rPr>
          <w:rFonts w:ascii="宋体" w:eastAsia="宋体" w:hAnsi="宋体" w:hint="eastAsia"/>
          <w:color w:val="000000"/>
          <w:sz w:val="24"/>
          <w:szCs w:val="24"/>
        </w:rPr>
        <w:t>20</w:t>
      </w:r>
      <w:r w:rsidR="004942B4">
        <w:rPr>
          <w:rFonts w:ascii="宋体" w:eastAsia="宋体" w:hAnsi="宋体"/>
          <w:color w:val="000000"/>
          <w:sz w:val="24"/>
          <w:szCs w:val="24"/>
        </w:rPr>
        <w:t>21</w:t>
      </w:r>
      <w:r w:rsidRPr="00482FE1">
        <w:rPr>
          <w:rFonts w:ascii="宋体" w:eastAsia="宋体" w:hAnsi="宋体" w:hint="eastAsia"/>
          <w:color w:val="000000"/>
          <w:sz w:val="24"/>
          <w:szCs w:val="24"/>
        </w:rPr>
        <w:t>年</w:t>
      </w:r>
      <w:r w:rsidR="004942B4">
        <w:rPr>
          <w:rFonts w:ascii="宋体" w:eastAsia="宋体" w:hAnsi="宋体"/>
          <w:color w:val="000000"/>
          <w:sz w:val="24"/>
          <w:szCs w:val="24"/>
        </w:rPr>
        <w:t>3</w:t>
      </w:r>
      <w:r w:rsidRPr="00482FE1">
        <w:rPr>
          <w:rFonts w:ascii="宋体" w:eastAsia="宋体" w:hAnsi="宋体" w:hint="eastAsia"/>
          <w:color w:val="000000"/>
          <w:sz w:val="24"/>
          <w:szCs w:val="24"/>
        </w:rPr>
        <w:t>月</w:t>
      </w:r>
      <w:r w:rsidR="001428EF">
        <w:rPr>
          <w:rFonts w:ascii="宋体" w:eastAsia="宋体" w:hAnsi="宋体"/>
          <w:color w:val="000000"/>
          <w:sz w:val="24"/>
          <w:szCs w:val="24"/>
        </w:rPr>
        <w:t>20</w:t>
      </w:r>
      <w:r w:rsidRPr="00482FE1">
        <w:rPr>
          <w:rFonts w:ascii="宋体" w:eastAsia="宋体" w:hAnsi="宋体" w:hint="eastAsia"/>
          <w:color w:val="000000"/>
          <w:sz w:val="24"/>
          <w:szCs w:val="24"/>
        </w:rPr>
        <w:t>日起</w:t>
      </w:r>
      <w:r w:rsidRPr="00482FE1">
        <w:rPr>
          <w:rFonts w:ascii="宋体" w:eastAsia="宋体" w:hAnsi="宋体"/>
          <w:color w:val="000000"/>
          <w:sz w:val="24"/>
          <w:szCs w:val="24"/>
        </w:rPr>
        <w:t>根据相关法律法规、基金合同</w:t>
      </w:r>
      <w:r w:rsidRPr="00482FE1">
        <w:rPr>
          <w:rFonts w:ascii="宋体" w:eastAsia="宋体" w:hAnsi="宋体" w:hint="eastAsia"/>
          <w:color w:val="000000"/>
          <w:sz w:val="24"/>
          <w:szCs w:val="24"/>
        </w:rPr>
        <w:t>的</w:t>
      </w:r>
      <w:r w:rsidRPr="00482FE1">
        <w:rPr>
          <w:rFonts w:ascii="宋体" w:eastAsia="宋体" w:hAnsi="宋体"/>
          <w:color w:val="000000"/>
          <w:sz w:val="24"/>
          <w:szCs w:val="24"/>
        </w:rPr>
        <w:t>规定履行基金财产清算程序。</w:t>
      </w:r>
    </w:p>
    <w:p w:rsidR="00F9769D" w:rsidRPr="00482FE1" w:rsidRDefault="00F9769D" w:rsidP="00747A2C">
      <w:pPr>
        <w:widowControl/>
        <w:adjustRightInd w:val="0"/>
        <w:snapToGrid w:val="0"/>
        <w:spacing w:line="360" w:lineRule="auto"/>
        <w:ind w:firstLineChars="200" w:firstLine="480"/>
        <w:jc w:val="left"/>
        <w:rPr>
          <w:rFonts w:ascii="宋体" w:eastAsia="宋体" w:hAnsi="宋体"/>
          <w:color w:val="000000"/>
          <w:sz w:val="24"/>
          <w:szCs w:val="24"/>
        </w:rPr>
      </w:pPr>
      <w:r w:rsidRPr="00482FE1">
        <w:rPr>
          <w:rFonts w:ascii="宋体" w:eastAsia="宋体" w:hAnsi="宋体" w:hint="eastAsia"/>
          <w:color w:val="000000"/>
          <w:sz w:val="24"/>
          <w:szCs w:val="24"/>
        </w:rPr>
        <w:t>本基金基金财产清算及基金合同终止安排详见</w:t>
      </w:r>
      <w:r w:rsidR="00747A2C">
        <w:rPr>
          <w:rFonts w:ascii="宋体" w:eastAsia="宋体" w:hAnsi="宋体" w:hint="eastAsia"/>
          <w:color w:val="000000"/>
          <w:sz w:val="24"/>
          <w:szCs w:val="24"/>
        </w:rPr>
        <w:t>基金管理人于</w:t>
      </w:r>
      <w:r w:rsidR="00531FE3" w:rsidRPr="00482FE1">
        <w:rPr>
          <w:rFonts w:ascii="宋体" w:eastAsia="宋体" w:hAnsi="宋体" w:hint="eastAsia"/>
          <w:color w:val="000000"/>
          <w:sz w:val="24"/>
          <w:szCs w:val="24"/>
        </w:rPr>
        <w:t>20</w:t>
      </w:r>
      <w:r w:rsidR="00BB6A3A">
        <w:rPr>
          <w:rFonts w:ascii="宋体" w:eastAsia="宋体" w:hAnsi="宋体"/>
          <w:color w:val="000000"/>
          <w:sz w:val="24"/>
          <w:szCs w:val="24"/>
        </w:rPr>
        <w:t>21</w:t>
      </w:r>
      <w:r w:rsidR="00531FE3" w:rsidRPr="00482FE1">
        <w:rPr>
          <w:rFonts w:ascii="宋体" w:eastAsia="宋体" w:hAnsi="宋体" w:hint="eastAsia"/>
          <w:color w:val="000000"/>
          <w:sz w:val="24"/>
          <w:szCs w:val="24"/>
        </w:rPr>
        <w:t>年</w:t>
      </w:r>
      <w:r w:rsidR="00BB6A3A">
        <w:rPr>
          <w:rFonts w:ascii="宋体" w:eastAsia="宋体" w:hAnsi="宋体" w:hint="eastAsia"/>
          <w:color w:val="000000"/>
          <w:sz w:val="24"/>
          <w:szCs w:val="24"/>
        </w:rPr>
        <w:t>3</w:t>
      </w:r>
      <w:r w:rsidRPr="00482FE1">
        <w:rPr>
          <w:rFonts w:ascii="宋体" w:eastAsia="宋体" w:hAnsi="宋体" w:hint="eastAsia"/>
          <w:color w:val="000000"/>
          <w:sz w:val="24"/>
          <w:szCs w:val="24"/>
        </w:rPr>
        <w:t>月</w:t>
      </w:r>
      <w:r w:rsidR="001428EF">
        <w:rPr>
          <w:rFonts w:ascii="宋体" w:eastAsia="宋体" w:hAnsi="宋体" w:hint="eastAsia"/>
          <w:color w:val="000000"/>
          <w:sz w:val="24"/>
          <w:szCs w:val="24"/>
        </w:rPr>
        <w:t>2</w:t>
      </w:r>
      <w:r w:rsidR="001428EF">
        <w:rPr>
          <w:rFonts w:ascii="宋体" w:eastAsia="宋体" w:hAnsi="宋体"/>
          <w:color w:val="000000"/>
          <w:sz w:val="24"/>
          <w:szCs w:val="24"/>
        </w:rPr>
        <w:t>3</w:t>
      </w:r>
      <w:r w:rsidRPr="00482FE1">
        <w:rPr>
          <w:rFonts w:ascii="宋体" w:eastAsia="宋体" w:hAnsi="宋体" w:hint="eastAsia"/>
          <w:color w:val="000000"/>
          <w:sz w:val="24"/>
          <w:szCs w:val="24"/>
        </w:rPr>
        <w:t>日</w:t>
      </w:r>
      <w:r w:rsidR="00747A2C">
        <w:rPr>
          <w:rFonts w:ascii="宋体" w:eastAsia="宋体" w:hAnsi="宋体" w:hint="eastAsia"/>
          <w:color w:val="000000"/>
          <w:sz w:val="24"/>
          <w:szCs w:val="24"/>
        </w:rPr>
        <w:t>发布的</w:t>
      </w:r>
      <w:r w:rsidRPr="00482FE1">
        <w:rPr>
          <w:rFonts w:ascii="宋体" w:eastAsia="宋体" w:hAnsi="宋体" w:hint="eastAsia"/>
          <w:color w:val="000000"/>
          <w:sz w:val="24"/>
          <w:szCs w:val="24"/>
        </w:rPr>
        <w:t>《</w:t>
      </w:r>
      <w:r w:rsidR="00F66390" w:rsidRPr="00482FE1">
        <w:rPr>
          <w:rFonts w:ascii="宋体" w:eastAsia="宋体" w:hAnsi="宋体" w:hint="eastAsia"/>
          <w:color w:val="000000"/>
          <w:sz w:val="24"/>
          <w:szCs w:val="24"/>
        </w:rPr>
        <w:t>中欧基金管理有限公司</w:t>
      </w:r>
      <w:r w:rsidR="00C237E1" w:rsidRPr="00482FE1">
        <w:rPr>
          <w:rFonts w:ascii="宋体" w:eastAsia="宋体" w:hAnsi="宋体" w:hint="eastAsia"/>
          <w:color w:val="000000"/>
          <w:sz w:val="24"/>
          <w:szCs w:val="24"/>
        </w:rPr>
        <w:t>关</w:t>
      </w:r>
      <w:r w:rsidR="004D7FF2" w:rsidRPr="00482FE1">
        <w:rPr>
          <w:rFonts w:ascii="宋体" w:eastAsia="宋体" w:hAnsi="宋体" w:hint="eastAsia"/>
          <w:color w:val="000000"/>
          <w:sz w:val="24"/>
          <w:szCs w:val="24"/>
        </w:rPr>
        <w:t>于</w:t>
      </w:r>
      <w:r w:rsidR="00871851" w:rsidRPr="0081092F">
        <w:rPr>
          <w:rFonts w:ascii="宋体" w:eastAsia="宋体" w:hAnsi="宋体" w:cs="宋体" w:hint="eastAsia"/>
          <w:color w:val="000000"/>
          <w:kern w:val="0"/>
          <w:sz w:val="24"/>
          <w:szCs w:val="24"/>
        </w:rPr>
        <w:t>中欧</w:t>
      </w:r>
      <w:r w:rsidR="00EB746C">
        <w:rPr>
          <w:rFonts w:ascii="宋体" w:eastAsia="宋体" w:hAnsi="宋体" w:cs="宋体" w:hint="eastAsia"/>
          <w:color w:val="000000"/>
          <w:kern w:val="0"/>
          <w:sz w:val="24"/>
          <w:szCs w:val="24"/>
        </w:rPr>
        <w:t>强瑞多策略定期开放债券型</w:t>
      </w:r>
      <w:r w:rsidR="00871851" w:rsidRPr="0081092F">
        <w:rPr>
          <w:rFonts w:ascii="宋体" w:eastAsia="宋体" w:hAnsi="宋体" w:cs="宋体" w:hint="eastAsia"/>
          <w:color w:val="000000"/>
          <w:kern w:val="0"/>
          <w:sz w:val="24"/>
          <w:szCs w:val="24"/>
        </w:rPr>
        <w:t>证券投资基金</w:t>
      </w:r>
      <w:r w:rsidR="004D7FF2" w:rsidRPr="00482FE1">
        <w:rPr>
          <w:rFonts w:ascii="宋体" w:eastAsia="宋体" w:hAnsi="宋体" w:hint="eastAsia"/>
          <w:color w:val="000000"/>
          <w:sz w:val="24"/>
          <w:szCs w:val="24"/>
        </w:rPr>
        <w:t>基金合同终止及基金财产清算的公告</w:t>
      </w:r>
      <w:r w:rsidRPr="00482FE1">
        <w:rPr>
          <w:rFonts w:ascii="宋体" w:eastAsia="宋体" w:hAnsi="宋体" w:hint="eastAsia"/>
          <w:color w:val="000000"/>
          <w:sz w:val="24"/>
          <w:szCs w:val="24"/>
        </w:rPr>
        <w:t>》。</w:t>
      </w:r>
    </w:p>
    <w:p w:rsidR="00F9769D" w:rsidRPr="00482FE1" w:rsidRDefault="00F9769D" w:rsidP="00B46532">
      <w:pPr>
        <w:widowControl/>
        <w:adjustRightInd w:val="0"/>
        <w:snapToGrid w:val="0"/>
        <w:spacing w:line="360" w:lineRule="auto"/>
        <w:ind w:firstLineChars="200" w:firstLine="480"/>
        <w:jc w:val="left"/>
        <w:rPr>
          <w:rFonts w:ascii="宋体" w:eastAsia="宋体" w:hAnsi="宋体"/>
          <w:color w:val="000000"/>
          <w:sz w:val="24"/>
          <w:szCs w:val="24"/>
        </w:rPr>
      </w:pPr>
      <w:r w:rsidRPr="00482FE1">
        <w:rPr>
          <w:rFonts w:ascii="宋体" w:eastAsia="宋体" w:hAnsi="宋体" w:hint="eastAsia"/>
          <w:color w:val="000000"/>
          <w:sz w:val="24"/>
          <w:szCs w:val="24"/>
        </w:rPr>
        <w:t>本基金从</w:t>
      </w:r>
      <w:r w:rsidR="0086027E" w:rsidRPr="00482FE1">
        <w:rPr>
          <w:rFonts w:ascii="宋体" w:eastAsia="宋体" w:hAnsi="宋体" w:hint="eastAsia"/>
          <w:color w:val="000000"/>
          <w:sz w:val="24"/>
          <w:szCs w:val="24"/>
        </w:rPr>
        <w:t>20</w:t>
      </w:r>
      <w:r w:rsidR="00747A2C">
        <w:rPr>
          <w:rFonts w:ascii="宋体" w:eastAsia="宋体" w:hAnsi="宋体"/>
          <w:color w:val="000000"/>
          <w:sz w:val="24"/>
          <w:szCs w:val="24"/>
        </w:rPr>
        <w:t>21</w:t>
      </w:r>
      <w:r w:rsidR="0086027E" w:rsidRPr="00482FE1">
        <w:rPr>
          <w:rFonts w:ascii="宋体" w:eastAsia="宋体" w:hAnsi="宋体" w:hint="eastAsia"/>
          <w:color w:val="000000"/>
          <w:sz w:val="24"/>
          <w:szCs w:val="24"/>
        </w:rPr>
        <w:t>年</w:t>
      </w:r>
      <w:r w:rsidR="00747A2C">
        <w:rPr>
          <w:rFonts w:ascii="宋体" w:eastAsia="宋体" w:hAnsi="宋体" w:hint="eastAsia"/>
          <w:color w:val="000000"/>
          <w:sz w:val="24"/>
          <w:szCs w:val="24"/>
        </w:rPr>
        <w:t>3</w:t>
      </w:r>
      <w:r w:rsidR="0086027E" w:rsidRPr="00482FE1">
        <w:rPr>
          <w:rFonts w:ascii="宋体" w:eastAsia="宋体" w:hAnsi="宋体" w:hint="eastAsia"/>
          <w:color w:val="000000"/>
          <w:sz w:val="24"/>
          <w:szCs w:val="24"/>
        </w:rPr>
        <w:t>月</w:t>
      </w:r>
      <w:r w:rsidR="001428EF">
        <w:rPr>
          <w:rFonts w:ascii="宋体" w:eastAsia="宋体" w:hAnsi="宋体" w:hint="eastAsia"/>
          <w:color w:val="000000"/>
          <w:sz w:val="24"/>
          <w:szCs w:val="24"/>
        </w:rPr>
        <w:t>2</w:t>
      </w:r>
      <w:r w:rsidR="001428EF">
        <w:rPr>
          <w:rFonts w:ascii="宋体" w:eastAsia="宋体" w:hAnsi="宋体"/>
          <w:color w:val="000000"/>
          <w:sz w:val="24"/>
          <w:szCs w:val="24"/>
        </w:rPr>
        <w:t>0</w:t>
      </w:r>
      <w:r w:rsidR="0086027E" w:rsidRPr="00482FE1">
        <w:rPr>
          <w:rFonts w:ascii="宋体" w:eastAsia="宋体" w:hAnsi="宋体" w:hint="eastAsia"/>
          <w:color w:val="000000"/>
          <w:sz w:val="24"/>
          <w:szCs w:val="24"/>
        </w:rPr>
        <w:t>日</w:t>
      </w:r>
      <w:r w:rsidRPr="00482FE1">
        <w:rPr>
          <w:rFonts w:ascii="宋体" w:eastAsia="宋体" w:hAnsi="宋体" w:hint="eastAsia"/>
          <w:color w:val="000000"/>
          <w:sz w:val="24"/>
          <w:szCs w:val="24"/>
        </w:rPr>
        <w:t>起进入清算期，由本基金管理人中欧基金管理有限公司、基金托管人</w:t>
      </w:r>
      <w:r w:rsidR="00747A2C" w:rsidRPr="00747A2C">
        <w:rPr>
          <w:rFonts w:ascii="宋体" w:eastAsia="宋体" w:hAnsi="宋体" w:hint="eastAsia"/>
          <w:color w:val="000000"/>
          <w:sz w:val="24"/>
          <w:szCs w:val="24"/>
        </w:rPr>
        <w:t>中国工商银行股份有限公司</w:t>
      </w:r>
      <w:r w:rsidRPr="00482FE1">
        <w:rPr>
          <w:rFonts w:ascii="宋体" w:eastAsia="宋体" w:hAnsi="宋体" w:hint="eastAsia"/>
          <w:color w:val="000000"/>
          <w:sz w:val="24"/>
          <w:szCs w:val="24"/>
        </w:rPr>
        <w:t>、</w:t>
      </w:r>
      <w:r w:rsidR="00C109E2" w:rsidRPr="00482FE1">
        <w:rPr>
          <w:rFonts w:ascii="宋体" w:eastAsia="宋体" w:hAnsi="宋体" w:cs="宋体" w:hint="eastAsia"/>
          <w:color w:val="000000"/>
          <w:kern w:val="0"/>
          <w:sz w:val="24"/>
          <w:szCs w:val="24"/>
        </w:rPr>
        <w:t>普华永道中天会计师事务所（特殊普通合伙）</w:t>
      </w:r>
      <w:r w:rsidR="00023BBB" w:rsidRPr="00482FE1">
        <w:rPr>
          <w:rFonts w:ascii="宋体" w:eastAsia="宋体" w:hAnsi="宋体" w:cs="宋体" w:hint="eastAsia"/>
          <w:color w:val="000000"/>
          <w:kern w:val="0"/>
          <w:sz w:val="24"/>
          <w:szCs w:val="24"/>
        </w:rPr>
        <w:t>注册会计师</w:t>
      </w:r>
      <w:r w:rsidRPr="00482FE1">
        <w:rPr>
          <w:rFonts w:ascii="宋体" w:eastAsia="宋体" w:hAnsi="宋体" w:hint="eastAsia"/>
          <w:color w:val="000000"/>
          <w:sz w:val="24"/>
          <w:szCs w:val="24"/>
        </w:rPr>
        <w:t>和上海市通力律师事务所律师组成基金财产清算小组履行基金财产清算程序，并由</w:t>
      </w:r>
      <w:r w:rsidR="006F211E" w:rsidRPr="00482FE1">
        <w:rPr>
          <w:rFonts w:ascii="宋体" w:eastAsia="宋体" w:hAnsi="宋体" w:cs="宋体" w:hint="eastAsia"/>
          <w:color w:val="000000"/>
          <w:kern w:val="0"/>
          <w:sz w:val="24"/>
          <w:szCs w:val="24"/>
        </w:rPr>
        <w:t>普华永道中天</w:t>
      </w:r>
      <w:r w:rsidR="005D163B" w:rsidRPr="00482FE1">
        <w:rPr>
          <w:rFonts w:ascii="宋体" w:eastAsia="宋体" w:hAnsi="宋体" w:cs="宋体" w:hint="eastAsia"/>
          <w:color w:val="000000"/>
          <w:kern w:val="0"/>
          <w:sz w:val="24"/>
          <w:szCs w:val="24"/>
        </w:rPr>
        <w:t>会计师事务所（特殊普通合伙）</w:t>
      </w:r>
      <w:r w:rsidRPr="00482FE1">
        <w:rPr>
          <w:rFonts w:ascii="宋体" w:eastAsia="宋体" w:hAnsi="宋体" w:hint="eastAsia"/>
          <w:color w:val="000000"/>
          <w:sz w:val="24"/>
          <w:szCs w:val="24"/>
        </w:rPr>
        <w:t>对清算报告进行审计，上海市通力律师事务所对清算报告出具法律意见。</w:t>
      </w:r>
    </w:p>
    <w:p w:rsidR="00B46532" w:rsidRPr="00482FE1" w:rsidRDefault="00B46532" w:rsidP="00B46532">
      <w:pPr>
        <w:widowControl/>
        <w:adjustRightInd w:val="0"/>
        <w:snapToGrid w:val="0"/>
        <w:spacing w:line="360" w:lineRule="auto"/>
        <w:ind w:firstLineChars="200" w:firstLine="480"/>
        <w:jc w:val="left"/>
        <w:rPr>
          <w:rFonts w:ascii="宋体" w:eastAsia="宋体" w:hAnsi="宋体"/>
          <w:color w:val="000000"/>
          <w:sz w:val="24"/>
          <w:szCs w:val="24"/>
        </w:rPr>
      </w:pPr>
    </w:p>
    <w:p w:rsidR="00AD5C40" w:rsidRPr="00482FE1"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482FE1">
        <w:rPr>
          <w:rFonts w:ascii="宋体" w:eastAsia="宋体" w:hAnsi="宋体" w:cs="宋体" w:hint="eastAsia"/>
          <w:color w:val="000000"/>
          <w:kern w:val="0"/>
          <w:sz w:val="24"/>
          <w:szCs w:val="24"/>
        </w:rPr>
        <w:t>二、</w:t>
      </w:r>
      <w:r w:rsidR="00AD5C40" w:rsidRPr="00482FE1">
        <w:rPr>
          <w:rFonts w:ascii="宋体" w:eastAsia="宋体" w:hAnsi="宋体" w:cs="宋体" w:hint="eastAsia"/>
          <w:color w:val="000000"/>
          <w:kern w:val="0"/>
          <w:sz w:val="24"/>
          <w:szCs w:val="24"/>
        </w:rPr>
        <w:t>基金概况</w:t>
      </w:r>
    </w:p>
    <w:p w:rsidR="009F08B2" w:rsidRPr="00482FE1" w:rsidRDefault="009F08B2"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1、基金名称：</w:t>
      </w:r>
      <w:r w:rsidR="00002F9F" w:rsidRPr="0081092F">
        <w:rPr>
          <w:rFonts w:hint="eastAsia"/>
          <w:color w:val="000000"/>
        </w:rPr>
        <w:t>中欧</w:t>
      </w:r>
      <w:r w:rsidR="00EB746C">
        <w:rPr>
          <w:rFonts w:hint="eastAsia"/>
          <w:color w:val="000000"/>
        </w:rPr>
        <w:t>强瑞多策略定期开放债券型</w:t>
      </w:r>
      <w:r w:rsidR="00002F9F" w:rsidRPr="0081092F">
        <w:rPr>
          <w:rFonts w:hint="eastAsia"/>
          <w:color w:val="000000"/>
        </w:rPr>
        <w:t>证券投资基金</w:t>
      </w:r>
      <w:r w:rsidRPr="00482FE1">
        <w:rPr>
          <w:rFonts w:hint="eastAsia"/>
          <w:color w:val="000000"/>
        </w:rPr>
        <w:t>。基金简称：</w:t>
      </w:r>
      <w:r w:rsidR="001428EF" w:rsidRPr="001428EF">
        <w:rPr>
          <w:rFonts w:hint="eastAsia"/>
          <w:color w:val="000000"/>
        </w:rPr>
        <w:t>中欧强瑞多策略债券</w:t>
      </w:r>
      <w:r w:rsidRPr="00482FE1">
        <w:rPr>
          <w:rFonts w:hint="eastAsia"/>
          <w:color w:val="000000"/>
        </w:rPr>
        <w:t>。基金代码：</w:t>
      </w:r>
      <w:r w:rsidR="001428EF" w:rsidRPr="001428EF">
        <w:t>002725</w:t>
      </w:r>
      <w:r w:rsidR="00890701" w:rsidRPr="00482FE1">
        <w:rPr>
          <w:rFonts w:hint="eastAsia"/>
        </w:rPr>
        <w:t>。</w:t>
      </w:r>
    </w:p>
    <w:p w:rsidR="00002F9F" w:rsidRDefault="009F08B2" w:rsidP="00747A2C">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2</w:t>
      </w:r>
      <w:r w:rsidR="00B25646" w:rsidRPr="00482FE1">
        <w:rPr>
          <w:rFonts w:hint="eastAsia"/>
          <w:color w:val="000000"/>
        </w:rPr>
        <w:t>、基金运作方式：</w:t>
      </w:r>
      <w:r w:rsidR="001428EF" w:rsidRPr="001428EF">
        <w:rPr>
          <w:rFonts w:hint="eastAsia"/>
          <w:color w:val="000000"/>
        </w:rPr>
        <w:t>契约型、开放式。本基金以定期开放方式运作，即采取在封闭期内封闭运作、封闭期与封闭期之间定期开放的运作方式</w:t>
      </w:r>
      <w:r w:rsidR="00002F9F">
        <w:rPr>
          <w:rFonts w:hint="eastAsia"/>
          <w:color w:val="000000"/>
        </w:rPr>
        <w:t>。</w:t>
      </w:r>
    </w:p>
    <w:p w:rsidR="009F08B2" w:rsidRPr="00482FE1" w:rsidRDefault="009F08B2" w:rsidP="006F211E">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3、基金合同生效日：</w:t>
      </w:r>
      <w:r w:rsidR="001428EF" w:rsidRPr="001428EF">
        <w:rPr>
          <w:rFonts w:hint="eastAsia"/>
          <w:color w:val="000000"/>
        </w:rPr>
        <w:t>2016年5月27日</w:t>
      </w:r>
    </w:p>
    <w:p w:rsidR="009F08B2" w:rsidRPr="00482FE1" w:rsidRDefault="009F08B2"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4、基金运作终止日：</w:t>
      </w:r>
      <w:r w:rsidR="0086027E" w:rsidRPr="00482FE1">
        <w:rPr>
          <w:rFonts w:hint="eastAsia"/>
          <w:color w:val="000000"/>
        </w:rPr>
        <w:t>20</w:t>
      </w:r>
      <w:r w:rsidR="00747A2C">
        <w:rPr>
          <w:color w:val="000000"/>
        </w:rPr>
        <w:t>21</w:t>
      </w:r>
      <w:r w:rsidR="0086027E" w:rsidRPr="00482FE1">
        <w:rPr>
          <w:rFonts w:hint="eastAsia"/>
          <w:color w:val="000000"/>
        </w:rPr>
        <w:t>年</w:t>
      </w:r>
      <w:r w:rsidR="00747A2C">
        <w:rPr>
          <w:color w:val="000000"/>
        </w:rPr>
        <w:t>3</w:t>
      </w:r>
      <w:r w:rsidRPr="00482FE1">
        <w:rPr>
          <w:rFonts w:hint="eastAsia"/>
          <w:color w:val="000000"/>
        </w:rPr>
        <w:t>月</w:t>
      </w:r>
      <w:r w:rsidR="001428EF">
        <w:rPr>
          <w:color w:val="000000"/>
        </w:rPr>
        <w:t>19</w:t>
      </w:r>
      <w:r w:rsidRPr="00482FE1">
        <w:rPr>
          <w:rFonts w:hint="eastAsia"/>
          <w:color w:val="000000"/>
        </w:rPr>
        <w:t>日。</w:t>
      </w:r>
      <w:r w:rsidR="00002F9F" w:rsidRPr="00002F9F">
        <w:rPr>
          <w:rFonts w:hint="eastAsia"/>
          <w:color w:val="000000"/>
        </w:rPr>
        <w:t>基金份额总额</w:t>
      </w:r>
      <w:r w:rsidR="0040555F" w:rsidRPr="0040555F">
        <w:rPr>
          <w:color w:val="000000"/>
        </w:rPr>
        <w:t>4,530,328.66</w:t>
      </w:r>
      <w:r w:rsidR="00002F9F" w:rsidRPr="00002F9F">
        <w:rPr>
          <w:rFonts w:hint="eastAsia"/>
          <w:color w:val="000000"/>
        </w:rPr>
        <w:t>份。</w:t>
      </w:r>
    </w:p>
    <w:p w:rsidR="009F08B2" w:rsidRPr="00482FE1" w:rsidRDefault="009F08B2" w:rsidP="00B25646">
      <w:pPr>
        <w:pStyle w:val="a3"/>
        <w:adjustRightInd w:val="0"/>
        <w:snapToGrid w:val="0"/>
        <w:spacing w:before="0" w:beforeAutospacing="0" w:after="0" w:afterAutospacing="0" w:line="360" w:lineRule="auto"/>
        <w:ind w:firstLineChars="200" w:firstLine="480"/>
      </w:pPr>
      <w:r w:rsidRPr="00482FE1">
        <w:rPr>
          <w:rFonts w:hint="eastAsia"/>
          <w:color w:val="000000"/>
        </w:rPr>
        <w:t>5、投资目标：</w:t>
      </w:r>
      <w:r w:rsidR="001428EF" w:rsidRPr="001428EF">
        <w:rPr>
          <w:rFonts w:hint="eastAsia"/>
        </w:rPr>
        <w:t>在努力控制投资组合风险的前提下，力争为基金份额持有人获取超越业绩比较基准的投资回报</w:t>
      </w:r>
      <w:r w:rsidR="00002F9F" w:rsidRPr="00002F9F">
        <w:rPr>
          <w:rFonts w:hint="eastAsia"/>
        </w:rPr>
        <w:t>。</w:t>
      </w:r>
    </w:p>
    <w:p w:rsidR="009F08B2" w:rsidRPr="00482FE1" w:rsidRDefault="009F08B2" w:rsidP="00810300">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6、业绩比较基准：</w:t>
      </w:r>
      <w:r w:rsidR="001428EF" w:rsidRPr="001428EF">
        <w:rPr>
          <w:rFonts w:hint="eastAsia"/>
          <w:color w:val="000000"/>
        </w:rPr>
        <w:t>中债综合指数收益率</w:t>
      </w:r>
    </w:p>
    <w:p w:rsidR="00B46532" w:rsidRPr="00482FE1" w:rsidRDefault="00810300" w:rsidP="00B46532">
      <w:pPr>
        <w:pStyle w:val="a3"/>
        <w:adjustRightInd w:val="0"/>
        <w:snapToGrid w:val="0"/>
        <w:spacing w:before="0" w:beforeAutospacing="0" w:after="0" w:afterAutospacing="0" w:line="360" w:lineRule="auto"/>
        <w:ind w:firstLineChars="200" w:firstLine="480"/>
        <w:rPr>
          <w:color w:val="000000"/>
        </w:rPr>
      </w:pPr>
      <w:r w:rsidRPr="00482FE1">
        <w:rPr>
          <w:color w:val="000000"/>
        </w:rPr>
        <w:t>7</w:t>
      </w:r>
      <w:r w:rsidR="009F08B2" w:rsidRPr="00482FE1">
        <w:rPr>
          <w:rFonts w:hint="eastAsia"/>
          <w:color w:val="000000"/>
        </w:rPr>
        <w:t>、风险收益特征：</w:t>
      </w:r>
      <w:r w:rsidR="001428EF" w:rsidRPr="001428EF">
        <w:rPr>
          <w:rFonts w:hint="eastAsia"/>
          <w:bCs/>
        </w:rPr>
        <w:t>本基金为债券型基金，预期收益和预期风险高于货币市场基金，但低于混合型基金、股票型基金</w:t>
      </w:r>
      <w:r w:rsidR="00002F9F" w:rsidRPr="00002F9F">
        <w:rPr>
          <w:rFonts w:hint="eastAsia"/>
          <w:bCs/>
        </w:rPr>
        <w:t>。</w:t>
      </w:r>
    </w:p>
    <w:p w:rsidR="00B46532" w:rsidRPr="00482FE1" w:rsidRDefault="00810300" w:rsidP="00B46532">
      <w:pPr>
        <w:pStyle w:val="a3"/>
        <w:adjustRightInd w:val="0"/>
        <w:snapToGrid w:val="0"/>
        <w:spacing w:before="0" w:beforeAutospacing="0" w:after="0" w:afterAutospacing="0" w:line="360" w:lineRule="auto"/>
        <w:ind w:firstLineChars="200" w:firstLine="480"/>
        <w:rPr>
          <w:color w:val="000000"/>
        </w:rPr>
      </w:pPr>
      <w:r w:rsidRPr="00482FE1">
        <w:rPr>
          <w:color w:val="000000"/>
        </w:rPr>
        <w:t>8</w:t>
      </w:r>
      <w:r w:rsidR="009F08B2" w:rsidRPr="00482FE1">
        <w:rPr>
          <w:rFonts w:hint="eastAsia"/>
          <w:color w:val="000000"/>
        </w:rPr>
        <w:t>、基金管理人：中欧基金管理有限公司</w:t>
      </w:r>
    </w:p>
    <w:p w:rsidR="00AD5C40" w:rsidRPr="00482FE1" w:rsidRDefault="00810300" w:rsidP="00B46532">
      <w:pPr>
        <w:pStyle w:val="a3"/>
        <w:adjustRightInd w:val="0"/>
        <w:snapToGrid w:val="0"/>
        <w:spacing w:before="0" w:beforeAutospacing="0" w:after="0" w:afterAutospacing="0" w:line="360" w:lineRule="auto"/>
        <w:ind w:firstLineChars="200" w:firstLine="480"/>
        <w:rPr>
          <w:color w:val="000000"/>
        </w:rPr>
      </w:pPr>
      <w:r w:rsidRPr="00482FE1">
        <w:rPr>
          <w:color w:val="000000"/>
        </w:rPr>
        <w:t>9</w:t>
      </w:r>
      <w:r w:rsidR="009F08B2" w:rsidRPr="00482FE1">
        <w:rPr>
          <w:rFonts w:hint="eastAsia"/>
          <w:color w:val="000000"/>
        </w:rPr>
        <w:t>、基金托管人：</w:t>
      </w:r>
      <w:r w:rsidR="0034282B" w:rsidRPr="0034282B">
        <w:rPr>
          <w:rFonts w:hint="eastAsia"/>
          <w:color w:val="000000"/>
        </w:rPr>
        <w:t>中国工商银行股份有限公司</w:t>
      </w:r>
    </w:p>
    <w:p w:rsidR="00F675B4" w:rsidRPr="00482FE1" w:rsidRDefault="00F675B4" w:rsidP="00B46532">
      <w:pPr>
        <w:pStyle w:val="a3"/>
        <w:adjustRightInd w:val="0"/>
        <w:snapToGrid w:val="0"/>
        <w:spacing w:before="0" w:beforeAutospacing="0" w:after="0" w:afterAutospacing="0" w:line="360" w:lineRule="auto"/>
        <w:ind w:firstLineChars="200" w:firstLine="480"/>
        <w:rPr>
          <w:color w:val="000000"/>
        </w:rPr>
      </w:pPr>
    </w:p>
    <w:p w:rsidR="00AD5C40" w:rsidRPr="00482FE1" w:rsidRDefault="009F08B2"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三、</w:t>
      </w:r>
      <w:r w:rsidR="00AD5C40" w:rsidRPr="00482FE1">
        <w:rPr>
          <w:rFonts w:hint="eastAsia"/>
          <w:color w:val="000000"/>
        </w:rPr>
        <w:t>基金最后运作日财务会计报告（经审计）</w:t>
      </w:r>
    </w:p>
    <w:p w:rsidR="00AD5C40" w:rsidRPr="00482FE1" w:rsidRDefault="00AF571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lastRenderedPageBreak/>
        <w:t>1、</w:t>
      </w:r>
      <w:r w:rsidR="00AD5C40" w:rsidRPr="00482FE1">
        <w:rPr>
          <w:rFonts w:hint="eastAsia"/>
          <w:color w:val="000000"/>
        </w:rPr>
        <w:t>资产负债表</w:t>
      </w:r>
    </w:p>
    <w:p w:rsidR="00AD5C40" w:rsidRPr="00482FE1" w:rsidRDefault="00AD5C4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会计主体：</w:t>
      </w:r>
      <w:r w:rsidR="006117FF" w:rsidRPr="0081092F">
        <w:rPr>
          <w:rFonts w:hint="eastAsia"/>
          <w:color w:val="000000"/>
        </w:rPr>
        <w:t>中欧</w:t>
      </w:r>
      <w:r w:rsidR="00EB746C">
        <w:rPr>
          <w:rFonts w:hint="eastAsia"/>
          <w:color w:val="000000"/>
        </w:rPr>
        <w:t>强瑞多策略定期开放债券型</w:t>
      </w:r>
      <w:r w:rsidR="006117FF" w:rsidRPr="0081092F">
        <w:rPr>
          <w:rFonts w:hint="eastAsia"/>
          <w:color w:val="000000"/>
        </w:rPr>
        <w:t>证券投资基金</w:t>
      </w:r>
    </w:p>
    <w:p w:rsidR="00AD5C40" w:rsidRPr="00482FE1" w:rsidRDefault="00AD5C4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报告截止日：</w:t>
      </w:r>
      <w:r w:rsidR="00CE57E8" w:rsidRPr="00482FE1">
        <w:rPr>
          <w:rFonts w:hint="eastAsia"/>
          <w:color w:val="000000"/>
        </w:rPr>
        <w:t>20</w:t>
      </w:r>
      <w:r w:rsidR="00CE57E8">
        <w:rPr>
          <w:color w:val="000000"/>
        </w:rPr>
        <w:t>21</w:t>
      </w:r>
      <w:r w:rsidR="002B596A" w:rsidRPr="00482FE1">
        <w:rPr>
          <w:rFonts w:hint="eastAsia"/>
          <w:color w:val="000000"/>
        </w:rPr>
        <w:t>年</w:t>
      </w:r>
      <w:r w:rsidR="00CE57E8">
        <w:rPr>
          <w:color w:val="000000"/>
        </w:rPr>
        <w:t>3</w:t>
      </w:r>
      <w:r w:rsidRPr="00482FE1">
        <w:rPr>
          <w:rFonts w:hint="eastAsia"/>
          <w:color w:val="000000"/>
        </w:rPr>
        <w:t>月</w:t>
      </w:r>
      <w:r w:rsidR="006117FF">
        <w:rPr>
          <w:color w:val="000000"/>
        </w:rPr>
        <w:t>1</w:t>
      </w:r>
      <w:r w:rsidR="00CE57E8">
        <w:rPr>
          <w:color w:val="000000"/>
        </w:rPr>
        <w:t>9</w:t>
      </w:r>
      <w:r w:rsidRPr="00482FE1">
        <w:rPr>
          <w:rFonts w:hint="eastAsia"/>
          <w:color w:val="000000"/>
        </w:rPr>
        <w:t>日（基金最后运作日）</w:t>
      </w:r>
    </w:p>
    <w:p w:rsidR="00AF5710" w:rsidRDefault="00AD5C4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单位：人民币元</w:t>
      </w:r>
    </w:p>
    <w:tbl>
      <w:tblPr>
        <w:tblW w:w="4696"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2981"/>
        <w:gridCol w:w="5023"/>
      </w:tblGrid>
      <w:tr w:rsidR="00007785" w:rsidRPr="00B237BB" w:rsidTr="006502B1">
        <w:trPr>
          <w:cantSplit/>
        </w:trPr>
        <w:tc>
          <w:tcPr>
            <w:tcW w:w="1862" w:type="pct"/>
            <w:vAlign w:val="center"/>
          </w:tcPr>
          <w:p w:rsidR="00007785" w:rsidRPr="00B237BB" w:rsidRDefault="00007785" w:rsidP="000E5434">
            <w:pPr>
              <w:pStyle w:val="a3"/>
              <w:spacing w:before="0" w:beforeAutospacing="0" w:after="0" w:afterAutospacing="0"/>
              <w:jc w:val="center"/>
              <w:rPr>
                <w:rFonts w:ascii="Arial" w:hAnsi="Arial" w:cs="Arial"/>
                <w:b/>
              </w:rPr>
            </w:pPr>
            <w:r w:rsidRPr="00B237BB">
              <w:rPr>
                <w:rFonts w:ascii="Arial" w:hAnsi="Arial" w:cs="Arial"/>
                <w:b/>
              </w:rPr>
              <w:t>资产</w:t>
            </w:r>
          </w:p>
        </w:tc>
        <w:tc>
          <w:tcPr>
            <w:tcW w:w="3138" w:type="pct"/>
            <w:vAlign w:val="center"/>
          </w:tcPr>
          <w:p w:rsidR="00007785" w:rsidRPr="00B237BB" w:rsidRDefault="00007785" w:rsidP="000E5434">
            <w:pPr>
              <w:pStyle w:val="a3"/>
              <w:spacing w:before="0" w:beforeAutospacing="0" w:after="0" w:afterAutospacing="0"/>
              <w:jc w:val="center"/>
              <w:rPr>
                <w:rFonts w:ascii="Arial" w:hAnsi="Arial" w:cs="Arial"/>
                <w:b/>
              </w:rPr>
            </w:pPr>
            <w:r w:rsidRPr="00B237BB">
              <w:rPr>
                <w:rFonts w:ascii="Arial" w:cs="Arial"/>
                <w:b/>
              </w:rPr>
              <w:t>本期末</w:t>
            </w:r>
          </w:p>
          <w:p w:rsidR="00007785" w:rsidRPr="00B237BB" w:rsidRDefault="00007785" w:rsidP="000E5434">
            <w:pPr>
              <w:pStyle w:val="a3"/>
              <w:spacing w:before="0" w:beforeAutospacing="0" w:after="0" w:afterAutospacing="0"/>
              <w:ind w:left="-110" w:right="-84"/>
              <w:jc w:val="center"/>
              <w:rPr>
                <w:rFonts w:ascii="Arial" w:hAnsi="Arial" w:cs="Arial"/>
                <w:b/>
              </w:rPr>
            </w:pPr>
            <w:r>
              <w:rPr>
                <w:rFonts w:ascii="Arial" w:hAnsi="Arial" w:cs="Arial"/>
                <w:b/>
              </w:rPr>
              <w:t>2021</w:t>
            </w:r>
            <w:r>
              <w:rPr>
                <w:rFonts w:ascii="Arial" w:hAnsi="Arial" w:cs="Arial"/>
                <w:b/>
              </w:rPr>
              <w:t>年</w:t>
            </w:r>
            <w:r>
              <w:rPr>
                <w:rFonts w:ascii="Arial" w:hAnsi="Arial" w:cs="Arial" w:hint="eastAsia"/>
                <w:b/>
              </w:rPr>
              <w:t>3</w:t>
            </w:r>
            <w:r>
              <w:rPr>
                <w:rFonts w:ascii="Arial" w:hAnsi="Arial" w:cs="Arial" w:hint="eastAsia"/>
                <w:b/>
              </w:rPr>
              <w:t>月</w:t>
            </w:r>
            <w:r>
              <w:rPr>
                <w:rFonts w:ascii="Arial" w:hAnsi="Arial" w:cs="Arial" w:hint="eastAsia"/>
                <w:b/>
              </w:rPr>
              <w:t>19</w:t>
            </w:r>
            <w:r>
              <w:rPr>
                <w:rFonts w:ascii="Arial" w:hAnsi="Arial" w:cs="Arial" w:hint="eastAsia"/>
                <w:b/>
              </w:rPr>
              <w:t>日</w:t>
            </w:r>
          </w:p>
          <w:p w:rsidR="00007785" w:rsidRPr="00B237BB" w:rsidRDefault="00007785" w:rsidP="000E5434">
            <w:pPr>
              <w:pStyle w:val="a3"/>
              <w:spacing w:before="0" w:beforeAutospacing="0" w:after="0" w:afterAutospacing="0"/>
              <w:ind w:left="-110" w:right="-84"/>
              <w:jc w:val="center"/>
              <w:rPr>
                <w:rFonts w:ascii="Arial" w:hAnsi="Arial" w:cs="Arial"/>
                <w:b/>
              </w:rPr>
            </w:pPr>
            <w:r w:rsidRPr="00B237BB">
              <w:rPr>
                <w:rFonts w:ascii="Arial" w:hAnsi="Arial" w:cs="Arial"/>
                <w:b/>
              </w:rPr>
              <w:t>(</w:t>
            </w:r>
            <w:r w:rsidRPr="00B237BB">
              <w:rPr>
                <w:rFonts w:ascii="Arial" w:hAnsi="Arial" w:cs="Arial"/>
                <w:b/>
              </w:rPr>
              <w:t>基金最后运作日</w:t>
            </w:r>
            <w:r w:rsidRPr="00B237BB">
              <w:rPr>
                <w:rFonts w:ascii="Arial" w:hAnsi="Arial" w:cs="Arial"/>
                <w:b/>
              </w:rPr>
              <w:t>)</w:t>
            </w:r>
          </w:p>
        </w:tc>
      </w:tr>
      <w:tr w:rsidR="00007785" w:rsidRPr="00B237BB" w:rsidTr="006502B1">
        <w:trPr>
          <w:cantSplit/>
        </w:trPr>
        <w:tc>
          <w:tcPr>
            <w:tcW w:w="1862" w:type="pct"/>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b/>
              </w:rPr>
              <w:t>资产：</w:t>
            </w:r>
          </w:p>
        </w:tc>
        <w:tc>
          <w:tcPr>
            <w:tcW w:w="3138" w:type="pct"/>
            <w:vAlign w:val="bottom"/>
          </w:tcPr>
          <w:p w:rsidR="00007785" w:rsidRPr="00B237BB" w:rsidRDefault="00007785" w:rsidP="000E5434">
            <w:pPr>
              <w:pStyle w:val="a3"/>
              <w:spacing w:before="0" w:beforeAutospacing="0" w:after="0" w:afterAutospacing="0"/>
              <w:rPr>
                <w:rFonts w:ascii="Arial" w:hAnsi="Arial" w:cs="Arial"/>
              </w:rPr>
            </w:pPr>
          </w:p>
        </w:tc>
      </w:tr>
      <w:tr w:rsidR="00007785" w:rsidRPr="005861C4"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银行存款</w:t>
            </w:r>
          </w:p>
        </w:tc>
        <w:tc>
          <w:tcPr>
            <w:tcW w:w="3138"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1,237,737.44</w:t>
            </w:r>
          </w:p>
        </w:tc>
      </w:tr>
      <w:tr w:rsidR="00007785" w:rsidRPr="005861C4"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结算备付金</w:t>
            </w:r>
          </w:p>
        </w:tc>
        <w:tc>
          <w:tcPr>
            <w:tcW w:w="3138" w:type="pct"/>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853,091.49</w:t>
            </w:r>
          </w:p>
        </w:tc>
      </w:tr>
      <w:tr w:rsidR="00007785" w:rsidRPr="005861C4"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存出保证金</w:t>
            </w:r>
          </w:p>
        </w:tc>
        <w:tc>
          <w:tcPr>
            <w:tcW w:w="3138" w:type="pct"/>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9,892.00</w:t>
            </w:r>
          </w:p>
        </w:tc>
      </w:tr>
      <w:tr w:rsidR="00007785" w:rsidRPr="005861C4"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交易性金融资产</w:t>
            </w:r>
          </w:p>
        </w:tc>
        <w:tc>
          <w:tcPr>
            <w:tcW w:w="3138" w:type="pct"/>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4,355,940.00</w:t>
            </w:r>
          </w:p>
        </w:tc>
      </w:tr>
      <w:tr w:rsidR="00007785" w:rsidRPr="00D5606C"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其中：股票投资</w:t>
            </w:r>
          </w:p>
        </w:tc>
        <w:tc>
          <w:tcPr>
            <w:tcW w:w="3138" w:type="pct"/>
            <w:vAlign w:val="bottom"/>
          </w:tcPr>
          <w:p w:rsidR="00007785" w:rsidRPr="00D5606C" w:rsidRDefault="00007785" w:rsidP="000E5434">
            <w:pPr>
              <w:ind w:left="-108" w:right="57"/>
              <w:jc w:val="right"/>
              <w:rPr>
                <w:rFonts w:ascii="Arial" w:hAnsi="Arial" w:cs="Arial"/>
                <w:color w:val="000000"/>
                <w:sz w:val="24"/>
                <w:szCs w:val="24"/>
              </w:rPr>
            </w:pPr>
            <w:r>
              <w:rPr>
                <w:rFonts w:ascii="Arial" w:hAnsi="Arial" w:cs="Arial" w:hint="eastAsia"/>
                <w:color w:val="000000"/>
                <w:sz w:val="24"/>
                <w:szCs w:val="24"/>
              </w:rPr>
              <w:t>-</w:t>
            </w:r>
          </w:p>
        </w:tc>
      </w:tr>
      <w:tr w:rsidR="00007785" w:rsidRPr="00C203B6" w:rsidTr="006502B1">
        <w:trPr>
          <w:cantSplit/>
        </w:trPr>
        <w:tc>
          <w:tcPr>
            <w:tcW w:w="1862" w:type="pct"/>
            <w:vAlign w:val="bottom"/>
          </w:tcPr>
          <w:p w:rsidR="00007785" w:rsidRPr="00D5606C" w:rsidRDefault="00007785" w:rsidP="000E5434">
            <w:pPr>
              <w:pStyle w:val="a3"/>
              <w:ind w:firstLine="729"/>
              <w:rPr>
                <w:rFonts w:ascii="Arial" w:hAnsi="Arial"/>
              </w:rPr>
            </w:pPr>
            <w:r w:rsidRPr="00C203B6">
              <w:rPr>
                <w:rFonts w:ascii="Arial" w:hAnsi="Arial" w:hint="eastAsia"/>
              </w:rPr>
              <w:t>债券投资</w:t>
            </w:r>
          </w:p>
        </w:tc>
        <w:tc>
          <w:tcPr>
            <w:tcW w:w="3138" w:type="pct"/>
            <w:vAlign w:val="bottom"/>
          </w:tcPr>
          <w:p w:rsidR="00007785" w:rsidRPr="00F1779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4,355,940.00</w:t>
            </w:r>
          </w:p>
        </w:tc>
      </w:tr>
      <w:tr w:rsidR="00007785" w:rsidRPr="004C0B78" w:rsidTr="006502B1">
        <w:trPr>
          <w:cantSplit/>
        </w:trPr>
        <w:tc>
          <w:tcPr>
            <w:tcW w:w="1862" w:type="pct"/>
            <w:vAlign w:val="bottom"/>
          </w:tcPr>
          <w:p w:rsidR="00007785" w:rsidRPr="00D5606C" w:rsidRDefault="00007785" w:rsidP="000E5434">
            <w:pPr>
              <w:pStyle w:val="a3"/>
              <w:ind w:left="715"/>
              <w:rPr>
                <w:rFonts w:ascii="Arial" w:hAnsi="Arial"/>
              </w:rPr>
            </w:pPr>
            <w:r>
              <w:rPr>
                <w:rFonts w:ascii="Arial" w:hAnsi="Arial" w:hint="eastAsia"/>
              </w:rPr>
              <w:t>资产支持证券投资</w:t>
            </w:r>
          </w:p>
        </w:tc>
        <w:tc>
          <w:tcPr>
            <w:tcW w:w="3138" w:type="pct"/>
            <w:vAlign w:val="bottom"/>
          </w:tcPr>
          <w:p w:rsidR="00007785" w:rsidRPr="00340F14" w:rsidRDefault="00007785" w:rsidP="000E5434">
            <w:pPr>
              <w:ind w:left="-108" w:right="57"/>
              <w:jc w:val="right"/>
              <w:rPr>
                <w:rFonts w:ascii="Arial" w:hAnsi="Arial" w:cs="Arial"/>
                <w:color w:val="000000"/>
                <w:sz w:val="24"/>
                <w:szCs w:val="24"/>
              </w:rPr>
            </w:pPr>
            <w:r>
              <w:rPr>
                <w:rFonts w:ascii="Arial" w:hAnsi="Arial" w:cs="Arial" w:hint="eastAsia"/>
                <w:color w:val="000000"/>
                <w:sz w:val="24"/>
                <w:szCs w:val="24"/>
              </w:rPr>
              <w:t>-</w:t>
            </w:r>
          </w:p>
        </w:tc>
      </w:tr>
      <w:tr w:rsidR="00007785" w:rsidRPr="00D5606C"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应收证券清算款</w:t>
            </w:r>
          </w:p>
        </w:tc>
        <w:tc>
          <w:tcPr>
            <w:tcW w:w="3138" w:type="pct"/>
            <w:tcBorders>
              <w:top w:val="single" w:sz="4" w:space="0" w:color="000000" w:themeColor="text1"/>
              <w:left w:val="single" w:sz="4" w:space="0" w:color="E0301E"/>
              <w:bottom w:val="single" w:sz="4" w:space="0" w:color="000000" w:themeColor="text1"/>
              <w:right w:val="single" w:sz="4" w:space="0" w:color="000000" w:themeColor="text1"/>
            </w:tcBorders>
            <w:shd w:val="clear" w:color="auto" w:fill="auto"/>
            <w:vAlign w:val="bottom"/>
          </w:tcPr>
          <w:p w:rsidR="00007785" w:rsidRPr="00D5606C"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5,719,245.10</w:t>
            </w:r>
          </w:p>
        </w:tc>
      </w:tr>
      <w:tr w:rsidR="00007785" w:rsidRPr="00D5606C" w:rsidDel="00EE6ABD" w:rsidTr="006502B1">
        <w:trPr>
          <w:cantSplit/>
        </w:trPr>
        <w:tc>
          <w:tcPr>
            <w:tcW w:w="1862" w:type="pct"/>
            <w:vAlign w:val="bottom"/>
          </w:tcPr>
          <w:p w:rsidR="00007785" w:rsidRPr="00D5606C" w:rsidRDefault="00007785" w:rsidP="000E5434">
            <w:pPr>
              <w:pStyle w:val="a3"/>
              <w:rPr>
                <w:rFonts w:ascii="Arial" w:hAnsi="Arial"/>
              </w:rPr>
            </w:pPr>
            <w:r w:rsidRPr="00D5606C">
              <w:rPr>
                <w:rFonts w:ascii="Arial" w:hAnsi="Arial" w:hint="eastAsia"/>
              </w:rPr>
              <w:t>应收利息</w:t>
            </w:r>
          </w:p>
        </w:tc>
        <w:tc>
          <w:tcPr>
            <w:tcW w:w="3138" w:type="pct"/>
            <w:tcBorders>
              <w:top w:val="single" w:sz="4" w:space="0" w:color="000000" w:themeColor="text1"/>
              <w:left w:val="single" w:sz="4" w:space="0" w:color="E0301E"/>
              <w:bottom w:val="single" w:sz="4" w:space="0" w:color="000000" w:themeColor="text1"/>
              <w:right w:val="single" w:sz="4" w:space="0" w:color="000000" w:themeColor="text1"/>
            </w:tcBorders>
            <w:shd w:val="clear" w:color="auto" w:fill="auto"/>
            <w:vAlign w:val="bottom"/>
          </w:tcPr>
          <w:p w:rsidR="00007785" w:rsidRPr="00D5606C" w:rsidDel="00EE6ABD"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49,659.20</w:t>
            </w:r>
          </w:p>
        </w:tc>
      </w:tr>
      <w:tr w:rsidR="00007785" w:rsidRPr="004C0B78" w:rsidTr="006502B1">
        <w:trPr>
          <w:cantSplit/>
        </w:trPr>
        <w:tc>
          <w:tcPr>
            <w:tcW w:w="1862" w:type="pct"/>
            <w:vAlign w:val="bottom"/>
          </w:tcPr>
          <w:p w:rsidR="00007785" w:rsidRPr="00D5606C" w:rsidRDefault="00007785" w:rsidP="000E5434">
            <w:pPr>
              <w:pStyle w:val="a3"/>
              <w:rPr>
                <w:rFonts w:ascii="Arial" w:hAnsi="Arial"/>
              </w:rPr>
            </w:pPr>
            <w:r>
              <w:rPr>
                <w:rFonts w:ascii="Arial" w:hAnsi="Arial" w:hint="eastAsia"/>
              </w:rPr>
              <w:t>应收申购款</w:t>
            </w:r>
          </w:p>
        </w:tc>
        <w:tc>
          <w:tcPr>
            <w:tcW w:w="3138" w:type="pct"/>
            <w:tcBorders>
              <w:top w:val="single" w:sz="4" w:space="0" w:color="000000" w:themeColor="text1"/>
              <w:left w:val="single" w:sz="4" w:space="0" w:color="E0301E"/>
              <w:bottom w:val="single" w:sz="4" w:space="0" w:color="000000" w:themeColor="text1"/>
              <w:right w:val="single" w:sz="4" w:space="0" w:color="000000" w:themeColor="text1"/>
            </w:tcBorders>
            <w:shd w:val="clear" w:color="auto" w:fill="auto"/>
            <w:vAlign w:val="bottom"/>
          </w:tcPr>
          <w:p w:rsidR="00007785" w:rsidRPr="00F17794" w:rsidRDefault="00007785" w:rsidP="000E5434">
            <w:pPr>
              <w:ind w:left="-108" w:right="57"/>
              <w:jc w:val="right"/>
              <w:rPr>
                <w:rFonts w:ascii="Arial" w:eastAsia="等线" w:hAnsi="Arial" w:cs="Arial"/>
                <w:color w:val="000000"/>
                <w:sz w:val="24"/>
                <w:szCs w:val="24"/>
              </w:rPr>
            </w:pPr>
            <w:r>
              <w:rPr>
                <w:rFonts w:ascii="Arial" w:hAnsi="Arial" w:cs="Arial" w:hint="eastAsia"/>
                <w:color w:val="000000"/>
                <w:sz w:val="24"/>
                <w:szCs w:val="24"/>
              </w:rPr>
              <w:t>-</w:t>
            </w:r>
          </w:p>
        </w:tc>
      </w:tr>
      <w:tr w:rsidR="00007785" w:rsidRPr="00D5606C" w:rsidTr="006502B1">
        <w:trPr>
          <w:cantSplit/>
        </w:trPr>
        <w:tc>
          <w:tcPr>
            <w:tcW w:w="1862" w:type="pct"/>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b/>
              </w:rPr>
              <w:t>资产总计</w:t>
            </w:r>
          </w:p>
        </w:tc>
        <w:tc>
          <w:tcPr>
            <w:tcW w:w="3138" w:type="pct"/>
            <w:vAlign w:val="bottom"/>
          </w:tcPr>
          <w:p w:rsidR="00007785" w:rsidRPr="00D5606C" w:rsidRDefault="00007785" w:rsidP="000E5434">
            <w:pPr>
              <w:ind w:left="-108" w:right="57"/>
              <w:jc w:val="right"/>
              <w:rPr>
                <w:rFonts w:ascii="Arial" w:hAnsi="Arial" w:cs="Arial"/>
                <w:b/>
                <w:sz w:val="24"/>
                <w:szCs w:val="24"/>
              </w:rPr>
            </w:pPr>
            <w:r w:rsidRPr="009B40D4">
              <w:rPr>
                <w:rFonts w:ascii="Arial" w:hAnsi="Arial" w:cs="Arial"/>
                <w:b/>
                <w:sz w:val="24"/>
                <w:szCs w:val="24"/>
              </w:rPr>
              <w:t>12,225,565.23</w:t>
            </w:r>
          </w:p>
        </w:tc>
      </w:tr>
      <w:tr w:rsidR="00007785" w:rsidRPr="00B237BB"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b/>
              </w:rPr>
              <w:t>负债：</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ind w:left="-108" w:right="57"/>
              <w:jc w:val="right"/>
              <w:rPr>
                <w:rFonts w:ascii="Arial" w:hAnsi="Arial" w:cs="Arial"/>
                <w:color w:val="000000"/>
                <w:sz w:val="24"/>
                <w:szCs w:val="24"/>
              </w:rPr>
            </w:pPr>
          </w:p>
        </w:tc>
      </w:tr>
      <w:tr w:rsidR="00007785" w:rsidRPr="00B237BB"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0253D4">
              <w:rPr>
                <w:rFonts w:ascii="Arial" w:hAnsi="Arial" w:cs="Arial" w:hint="eastAsia"/>
              </w:rPr>
              <w:t>卖出回购金融资产款</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ind w:left="-108" w:right="57"/>
              <w:jc w:val="right"/>
              <w:rPr>
                <w:rFonts w:ascii="Arial" w:hAnsi="Arial" w:cs="Arial"/>
                <w:color w:val="000000"/>
                <w:sz w:val="24"/>
                <w:szCs w:val="24"/>
              </w:rPr>
            </w:pPr>
            <w:r>
              <w:rPr>
                <w:rFonts w:ascii="Arial" w:hAnsi="Arial" w:cs="Arial" w:hint="eastAsia"/>
                <w:color w:val="000000"/>
                <w:sz w:val="24"/>
                <w:szCs w:val="24"/>
              </w:rPr>
              <w:t>-</w:t>
            </w:r>
          </w:p>
        </w:tc>
      </w:tr>
      <w:tr w:rsidR="00007785" w:rsidRPr="00D5606C" w:rsidDel="00D44C54"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pStyle w:val="a3"/>
              <w:spacing w:before="0" w:beforeAutospacing="0" w:after="0" w:afterAutospacing="0"/>
              <w:rPr>
                <w:rFonts w:ascii="Arial" w:hAnsi="Arial" w:cs="Arial"/>
              </w:rPr>
            </w:pPr>
            <w:r w:rsidRPr="00D5606C">
              <w:rPr>
                <w:rFonts w:ascii="Arial" w:hAnsi="Arial" w:cs="Arial" w:hint="eastAsia"/>
              </w:rPr>
              <w:t>应付赎回款</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Del="00D44C54"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6,788,800.82</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rPr>
            </w:pPr>
            <w:r w:rsidRPr="00D5606C">
              <w:rPr>
                <w:rFonts w:ascii="Arial" w:hAnsi="Arial" w:cs="Arial" w:hint="eastAsia"/>
              </w:rPr>
              <w:t>应付管理人报酬</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19,731.17</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rPr>
            </w:pPr>
            <w:r w:rsidRPr="00D5606C">
              <w:rPr>
                <w:rFonts w:ascii="Arial" w:hAnsi="Arial" w:cs="Arial" w:hint="eastAsia"/>
              </w:rPr>
              <w:t>应付托管费</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3,664.37</w:t>
            </w:r>
          </w:p>
        </w:tc>
      </w:tr>
      <w:tr w:rsidR="00007785" w:rsidRPr="004C0B78"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pStyle w:val="a3"/>
              <w:spacing w:before="0" w:beforeAutospacing="0" w:after="0" w:afterAutospacing="0"/>
              <w:rPr>
                <w:rFonts w:ascii="Arial" w:hAnsi="Arial" w:cs="Arial"/>
              </w:rPr>
            </w:pPr>
            <w:r w:rsidRPr="00741513">
              <w:rPr>
                <w:rFonts w:ascii="Arial" w:hAnsi="Arial" w:cs="Arial" w:hint="eastAsia"/>
              </w:rPr>
              <w:t>应付销售服务费</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741513" w:rsidRDefault="00007785" w:rsidP="000E5434">
            <w:pPr>
              <w:ind w:left="-108" w:right="57"/>
              <w:jc w:val="right"/>
              <w:rPr>
                <w:rFonts w:ascii="Arial" w:eastAsia="等线" w:hAnsi="Arial" w:cs="Arial"/>
                <w:color w:val="000000"/>
                <w:sz w:val="24"/>
                <w:szCs w:val="24"/>
              </w:rPr>
            </w:pPr>
            <w:r>
              <w:rPr>
                <w:rFonts w:ascii="Arial" w:eastAsia="等线" w:hAnsi="Arial" w:cs="Arial" w:hint="eastAsia"/>
                <w:color w:val="000000"/>
                <w:sz w:val="24"/>
                <w:szCs w:val="24"/>
              </w:rPr>
              <w:t>-</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rPr>
            </w:pPr>
            <w:r w:rsidRPr="00D5606C">
              <w:rPr>
                <w:rFonts w:ascii="Arial" w:hAnsi="Arial" w:cs="Arial" w:hint="eastAsia"/>
              </w:rPr>
              <w:t>应付交易费用</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10,027.42</w:t>
            </w:r>
          </w:p>
        </w:tc>
      </w:tr>
      <w:tr w:rsidR="00007785" w:rsidRPr="000253D4"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pStyle w:val="a3"/>
              <w:spacing w:before="0" w:beforeAutospacing="0" w:after="0" w:afterAutospacing="0"/>
              <w:rPr>
                <w:rFonts w:ascii="Arial" w:hAnsi="Arial" w:cs="Arial"/>
              </w:rPr>
            </w:pPr>
            <w:r w:rsidRPr="000253D4">
              <w:rPr>
                <w:rFonts w:ascii="Arial" w:hAnsi="Arial" w:cs="Arial" w:hint="eastAsia"/>
              </w:rPr>
              <w:t>应交税费</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741513"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2,820.06</w:t>
            </w:r>
          </w:p>
        </w:tc>
      </w:tr>
      <w:tr w:rsidR="00007785" w:rsidRPr="000253D4"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0253D4" w:rsidRDefault="00007785" w:rsidP="000E5434">
            <w:pPr>
              <w:pStyle w:val="a3"/>
              <w:spacing w:before="0" w:beforeAutospacing="0" w:after="0" w:afterAutospacing="0"/>
              <w:rPr>
                <w:rFonts w:ascii="Arial" w:hAnsi="Arial" w:cs="Arial"/>
              </w:rPr>
            </w:pPr>
            <w:r w:rsidRPr="00D14ECE">
              <w:rPr>
                <w:rFonts w:ascii="Arial" w:hAnsi="Arial" w:cs="Arial" w:hint="eastAsia"/>
              </w:rPr>
              <w:t>应付利息</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Default="00007785" w:rsidP="000E5434">
            <w:pPr>
              <w:ind w:left="-108" w:right="57"/>
              <w:jc w:val="right"/>
              <w:rPr>
                <w:rFonts w:ascii="Arial" w:eastAsia="等线" w:hAnsi="Arial" w:cs="Arial"/>
                <w:color w:val="000000"/>
                <w:sz w:val="24"/>
                <w:szCs w:val="24"/>
              </w:rPr>
            </w:pPr>
            <w:r>
              <w:rPr>
                <w:rFonts w:ascii="Arial" w:eastAsia="等线" w:hAnsi="Arial" w:cs="Arial" w:hint="eastAsia"/>
                <w:color w:val="000000"/>
                <w:sz w:val="24"/>
                <w:szCs w:val="24"/>
              </w:rPr>
              <w:t>-</w:t>
            </w:r>
          </w:p>
        </w:tc>
      </w:tr>
      <w:tr w:rsidR="00007785" w:rsidRPr="00D5606C" w:rsidDel="00836110"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pStyle w:val="a3"/>
              <w:spacing w:before="0" w:beforeAutospacing="0" w:after="0" w:afterAutospacing="0"/>
              <w:rPr>
                <w:rFonts w:ascii="Arial" w:hAnsi="Arial" w:cs="Arial"/>
              </w:rPr>
            </w:pPr>
            <w:r w:rsidRPr="00D5606C">
              <w:rPr>
                <w:rFonts w:ascii="Arial" w:hAnsi="Arial" w:cs="Arial" w:hint="eastAsia"/>
              </w:rPr>
              <w:t>其他负债</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Del="00836110" w:rsidRDefault="00007785" w:rsidP="000E5434">
            <w:pPr>
              <w:ind w:left="-108" w:right="57"/>
              <w:jc w:val="right"/>
              <w:rPr>
                <w:rFonts w:ascii="Arial" w:eastAsia="等线" w:hAnsi="Arial" w:cs="Arial"/>
                <w:color w:val="000000"/>
                <w:sz w:val="24"/>
                <w:szCs w:val="24"/>
              </w:rPr>
            </w:pPr>
            <w:r w:rsidRPr="009B40D4">
              <w:rPr>
                <w:rFonts w:ascii="Arial" w:eastAsia="等线" w:hAnsi="Arial" w:cs="Arial"/>
                <w:color w:val="000000"/>
                <w:sz w:val="24"/>
                <w:szCs w:val="24"/>
              </w:rPr>
              <w:t>87,838.24</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b/>
              </w:rPr>
              <w:t>负债合计</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D5606C" w:rsidRDefault="00007785" w:rsidP="000E5434">
            <w:pPr>
              <w:ind w:left="-108" w:right="57"/>
              <w:jc w:val="right"/>
              <w:rPr>
                <w:rFonts w:ascii="Arial" w:eastAsia="等线" w:hAnsi="Arial" w:cs="Arial"/>
                <w:b/>
                <w:color w:val="000000"/>
                <w:sz w:val="24"/>
                <w:szCs w:val="24"/>
              </w:rPr>
            </w:pPr>
            <w:r w:rsidRPr="009B40D4">
              <w:rPr>
                <w:rFonts w:ascii="Arial" w:eastAsia="等线" w:hAnsi="Arial" w:cs="Arial"/>
                <w:b/>
                <w:color w:val="000000"/>
                <w:sz w:val="24"/>
                <w:szCs w:val="24"/>
              </w:rPr>
              <w:t>6,912,882.08</w:t>
            </w:r>
          </w:p>
        </w:tc>
      </w:tr>
      <w:tr w:rsidR="00007785" w:rsidRPr="00B237BB"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b/>
              </w:rPr>
              <w:t>所有者权益：</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ind w:left="-108" w:right="57"/>
              <w:jc w:val="right"/>
              <w:rPr>
                <w:rFonts w:ascii="Arial" w:hAnsi="Arial" w:cs="Arial"/>
                <w:color w:val="000000"/>
                <w:sz w:val="24"/>
                <w:szCs w:val="24"/>
              </w:rPr>
            </w:pP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hint="eastAsia"/>
              </w:rPr>
              <w:t>实收基金</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4,530,328.66</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rPr>
            </w:pPr>
            <w:r w:rsidRPr="00B237BB">
              <w:rPr>
                <w:rFonts w:ascii="Arial" w:hAnsi="Arial" w:cs="Arial" w:hint="eastAsia"/>
              </w:rPr>
              <w:t>未分配利润</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340F14" w:rsidRDefault="00007785" w:rsidP="000E5434">
            <w:pPr>
              <w:ind w:left="-108" w:right="57"/>
              <w:jc w:val="right"/>
              <w:rPr>
                <w:rFonts w:ascii="Arial" w:hAnsi="Arial" w:cs="Arial"/>
                <w:color w:val="000000"/>
                <w:sz w:val="24"/>
                <w:szCs w:val="24"/>
              </w:rPr>
            </w:pPr>
            <w:r w:rsidRPr="009B40D4">
              <w:rPr>
                <w:rFonts w:ascii="Arial" w:hAnsi="Arial" w:cs="Arial"/>
                <w:color w:val="000000"/>
                <w:sz w:val="24"/>
                <w:szCs w:val="24"/>
              </w:rPr>
              <w:t>782,354.49</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hint="eastAsia"/>
                <w:b/>
              </w:rPr>
              <w:t>所有者权益合计</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340F14" w:rsidRDefault="00007785" w:rsidP="000E5434">
            <w:pPr>
              <w:ind w:left="-108" w:right="57"/>
              <w:jc w:val="right"/>
              <w:rPr>
                <w:rFonts w:ascii="Arial" w:hAnsi="Arial" w:cs="Arial"/>
                <w:b/>
                <w:color w:val="000000"/>
                <w:sz w:val="24"/>
                <w:szCs w:val="24"/>
              </w:rPr>
            </w:pPr>
            <w:r w:rsidRPr="009B40D4">
              <w:rPr>
                <w:rFonts w:ascii="Arial" w:hAnsi="Arial" w:cs="Arial"/>
                <w:b/>
                <w:color w:val="000000"/>
                <w:sz w:val="24"/>
                <w:szCs w:val="24"/>
              </w:rPr>
              <w:t>5,312,683.15</w:t>
            </w:r>
          </w:p>
        </w:tc>
      </w:tr>
      <w:tr w:rsidR="00007785" w:rsidRPr="00D5606C" w:rsidTr="006502B1">
        <w:tblPrEx>
          <w:tblBorders>
            <w:bottom w:val="single" w:sz="4" w:space="0" w:color="auto"/>
          </w:tblBorders>
        </w:tblPrEx>
        <w:trPr>
          <w:cantSplit/>
        </w:trPr>
        <w:tc>
          <w:tcPr>
            <w:tcW w:w="1862" w:type="pct"/>
            <w:tcBorders>
              <w:top w:val="single" w:sz="4" w:space="0" w:color="auto"/>
              <w:left w:val="single" w:sz="4" w:space="0" w:color="auto"/>
              <w:bottom w:val="single" w:sz="4" w:space="0" w:color="auto"/>
              <w:right w:val="single" w:sz="4" w:space="0" w:color="auto"/>
            </w:tcBorders>
            <w:vAlign w:val="bottom"/>
          </w:tcPr>
          <w:p w:rsidR="00007785" w:rsidRPr="00B237BB" w:rsidRDefault="00007785" w:rsidP="000E5434">
            <w:pPr>
              <w:pStyle w:val="a3"/>
              <w:spacing w:before="0" w:beforeAutospacing="0" w:after="0" w:afterAutospacing="0"/>
              <w:rPr>
                <w:rFonts w:ascii="Arial" w:hAnsi="Arial" w:cs="Arial"/>
                <w:b/>
              </w:rPr>
            </w:pPr>
            <w:r w:rsidRPr="00B237BB">
              <w:rPr>
                <w:rFonts w:ascii="Arial" w:hAnsi="Arial" w:cs="Arial" w:hint="eastAsia"/>
                <w:b/>
              </w:rPr>
              <w:t>负债和所有者权益总计</w:t>
            </w:r>
          </w:p>
        </w:tc>
        <w:tc>
          <w:tcPr>
            <w:tcW w:w="3138" w:type="pct"/>
            <w:tcBorders>
              <w:top w:val="single" w:sz="4" w:space="0" w:color="auto"/>
              <w:left w:val="single" w:sz="4" w:space="0" w:color="auto"/>
              <w:bottom w:val="single" w:sz="4" w:space="0" w:color="auto"/>
              <w:right w:val="single" w:sz="4" w:space="0" w:color="auto"/>
            </w:tcBorders>
            <w:vAlign w:val="bottom"/>
          </w:tcPr>
          <w:p w:rsidR="00007785" w:rsidRPr="00340F14" w:rsidRDefault="00007785" w:rsidP="000E5434">
            <w:pPr>
              <w:ind w:left="-108" w:right="57"/>
              <w:jc w:val="right"/>
              <w:rPr>
                <w:rFonts w:ascii="Arial" w:hAnsi="Arial" w:cs="Arial"/>
                <w:b/>
                <w:color w:val="000000"/>
                <w:sz w:val="24"/>
                <w:szCs w:val="24"/>
              </w:rPr>
            </w:pPr>
            <w:r w:rsidRPr="009B40D4">
              <w:rPr>
                <w:rFonts w:ascii="Arial" w:hAnsi="Arial" w:cs="Arial"/>
                <w:b/>
                <w:color w:val="000000"/>
                <w:sz w:val="24"/>
                <w:szCs w:val="24"/>
              </w:rPr>
              <w:t>12,225,565.23</w:t>
            </w:r>
          </w:p>
        </w:tc>
      </w:tr>
    </w:tbl>
    <w:p w:rsidR="00F20196" w:rsidRDefault="00F20196" w:rsidP="00B46532">
      <w:pPr>
        <w:pStyle w:val="a3"/>
        <w:adjustRightInd w:val="0"/>
        <w:snapToGrid w:val="0"/>
        <w:spacing w:before="0" w:beforeAutospacing="0" w:after="0" w:afterAutospacing="0" w:line="360" w:lineRule="auto"/>
        <w:ind w:firstLineChars="200" w:firstLine="480"/>
        <w:rPr>
          <w:color w:val="000000"/>
        </w:rPr>
      </w:pPr>
    </w:p>
    <w:p w:rsidR="006117FF" w:rsidRPr="00482FE1" w:rsidRDefault="006117FF" w:rsidP="006117FF">
      <w:pPr>
        <w:pStyle w:val="a3"/>
        <w:adjustRightInd w:val="0"/>
        <w:snapToGrid w:val="0"/>
        <w:spacing w:before="0" w:beforeAutospacing="0" w:after="0" w:afterAutospacing="0" w:line="360" w:lineRule="auto"/>
        <w:rPr>
          <w:color w:val="000000"/>
        </w:rPr>
      </w:pPr>
    </w:p>
    <w:p w:rsidR="00AD5C40" w:rsidRPr="00482FE1" w:rsidRDefault="00B325F0" w:rsidP="00636AD5">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四、</w:t>
      </w:r>
      <w:r w:rsidR="00AD5C40" w:rsidRPr="00482FE1">
        <w:rPr>
          <w:rFonts w:hint="eastAsia"/>
          <w:color w:val="000000"/>
        </w:rPr>
        <w:t>清盘事项说明</w:t>
      </w:r>
    </w:p>
    <w:p w:rsidR="00B325F0" w:rsidRPr="00482FE1" w:rsidRDefault="00B325F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1、</w:t>
      </w:r>
      <w:r w:rsidRPr="00482FE1">
        <w:rPr>
          <w:color w:val="000000"/>
        </w:rPr>
        <w:t>清算原因</w:t>
      </w:r>
    </w:p>
    <w:p w:rsidR="001428EF" w:rsidRDefault="008A5FE0" w:rsidP="00B46532">
      <w:pPr>
        <w:pStyle w:val="a3"/>
        <w:adjustRightInd w:val="0"/>
        <w:snapToGrid w:val="0"/>
        <w:spacing w:before="0" w:beforeAutospacing="0" w:after="0" w:afterAutospacing="0" w:line="360" w:lineRule="auto"/>
        <w:ind w:firstLineChars="200" w:firstLine="480"/>
        <w:rPr>
          <w:szCs w:val="21"/>
        </w:rPr>
      </w:pPr>
      <w:r w:rsidRPr="00482FE1">
        <w:rPr>
          <w:rFonts w:hint="eastAsia"/>
          <w:color w:val="000000"/>
        </w:rPr>
        <w:t>《</w:t>
      </w:r>
      <w:r w:rsidR="006117FF" w:rsidRPr="0081092F">
        <w:rPr>
          <w:rFonts w:hint="eastAsia"/>
          <w:color w:val="000000"/>
        </w:rPr>
        <w:t>中欧</w:t>
      </w:r>
      <w:r w:rsidR="00EB746C">
        <w:rPr>
          <w:rFonts w:hint="eastAsia"/>
          <w:color w:val="000000"/>
        </w:rPr>
        <w:t>强瑞多策略定期开放债券型</w:t>
      </w:r>
      <w:r w:rsidR="006117FF" w:rsidRPr="0081092F">
        <w:rPr>
          <w:rFonts w:hint="eastAsia"/>
          <w:color w:val="000000"/>
        </w:rPr>
        <w:t>证券投资基金</w:t>
      </w:r>
      <w:r w:rsidRPr="00482FE1">
        <w:rPr>
          <w:rFonts w:hint="eastAsia"/>
          <w:color w:val="000000"/>
        </w:rPr>
        <w:t>基金合同》</w:t>
      </w:r>
      <w:r w:rsidR="001428EF" w:rsidRPr="001428EF">
        <w:rPr>
          <w:rFonts w:hint="eastAsia"/>
          <w:szCs w:val="21"/>
        </w:rPr>
        <w:t>“在任一开放期的最后一日日终，如发生以下情形之一的，则无须召开基金份额持有人大会，本基金将根据基金合同第十九部分的约定进行基金财产清算并终止：（1）基金资产净值加上当日有效申购申请金额及基金转换中转入申请金额扣除有效赎回申请金额及基金转换中转出申请金额后的余额低于5000万元。（2）基金份额持有人人数少于200人。法律法规或监管部门另有规定时，从其规定。”</w:t>
      </w:r>
    </w:p>
    <w:p w:rsidR="006B2A58" w:rsidRPr="00482FE1" w:rsidRDefault="00690AFA"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szCs w:val="21"/>
        </w:rPr>
        <w:t>截至开放期的最后一日日终（</w:t>
      </w:r>
      <w:r w:rsidR="002B596A" w:rsidRPr="00482FE1">
        <w:rPr>
          <w:rFonts w:hint="eastAsia"/>
          <w:szCs w:val="21"/>
        </w:rPr>
        <w:t>20</w:t>
      </w:r>
      <w:r w:rsidR="0034282B">
        <w:rPr>
          <w:szCs w:val="21"/>
        </w:rPr>
        <w:t>21</w:t>
      </w:r>
      <w:r w:rsidR="002B596A" w:rsidRPr="00482FE1">
        <w:rPr>
          <w:rFonts w:hint="eastAsia"/>
          <w:szCs w:val="21"/>
        </w:rPr>
        <w:t>年</w:t>
      </w:r>
      <w:r w:rsidR="0034282B">
        <w:rPr>
          <w:rFonts w:hint="eastAsia"/>
          <w:szCs w:val="21"/>
        </w:rPr>
        <w:t>3</w:t>
      </w:r>
      <w:r w:rsidRPr="00482FE1">
        <w:rPr>
          <w:rFonts w:hint="eastAsia"/>
          <w:szCs w:val="21"/>
        </w:rPr>
        <w:t>月</w:t>
      </w:r>
      <w:r w:rsidR="001428EF">
        <w:rPr>
          <w:szCs w:val="21"/>
        </w:rPr>
        <w:t>19</w:t>
      </w:r>
      <w:r w:rsidRPr="00482FE1">
        <w:rPr>
          <w:rFonts w:hint="eastAsia"/>
          <w:szCs w:val="21"/>
        </w:rPr>
        <w:t>日），</w:t>
      </w:r>
      <w:r w:rsidR="001428EF" w:rsidRPr="001428EF">
        <w:rPr>
          <w:rFonts w:hint="eastAsia"/>
          <w:szCs w:val="21"/>
        </w:rPr>
        <w:t>基金资产净值加上当日有效申购申请金额及基金转换中转入申请金额扣除有效赎回申请金额及基金转换中转出申请金额后的余额低于5000万元</w:t>
      </w:r>
      <w:r w:rsidRPr="00482FE1">
        <w:rPr>
          <w:rFonts w:hint="eastAsia"/>
          <w:szCs w:val="21"/>
        </w:rPr>
        <w:t>。</w:t>
      </w:r>
      <w:r w:rsidR="0034282B" w:rsidRPr="0034282B">
        <w:rPr>
          <w:rFonts w:hint="eastAsia"/>
          <w:szCs w:val="21"/>
        </w:rPr>
        <w:t>为维护基金份额持有人利益，根据基金合同约定，不需召开基金份额持有人大会，本基金管理人应当依法履行基金财产清算程序并终止基金合同</w:t>
      </w:r>
      <w:r w:rsidRPr="00482FE1">
        <w:rPr>
          <w:rFonts w:hint="eastAsia"/>
          <w:szCs w:val="21"/>
        </w:rPr>
        <w:t>。</w:t>
      </w:r>
    </w:p>
    <w:p w:rsidR="00B325F0" w:rsidRPr="00482FE1" w:rsidRDefault="001E3F96" w:rsidP="00CA49E9">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基金管理人</w:t>
      </w:r>
      <w:r w:rsidR="00B325F0" w:rsidRPr="00482FE1">
        <w:rPr>
          <w:rFonts w:hint="eastAsia"/>
          <w:color w:val="000000"/>
        </w:rPr>
        <w:t>于</w:t>
      </w:r>
      <w:r w:rsidR="002B596A" w:rsidRPr="00482FE1">
        <w:rPr>
          <w:rFonts w:hint="eastAsia"/>
          <w:color w:val="000000"/>
        </w:rPr>
        <w:t>20</w:t>
      </w:r>
      <w:r w:rsidR="0034282B">
        <w:rPr>
          <w:color w:val="000000"/>
        </w:rPr>
        <w:t>21</w:t>
      </w:r>
      <w:r w:rsidR="002B596A" w:rsidRPr="00482FE1">
        <w:rPr>
          <w:rFonts w:hint="eastAsia"/>
          <w:color w:val="000000"/>
        </w:rPr>
        <w:t>年</w:t>
      </w:r>
      <w:r w:rsidR="0034282B">
        <w:rPr>
          <w:rFonts w:hint="eastAsia"/>
          <w:color w:val="000000"/>
        </w:rPr>
        <w:t>3</w:t>
      </w:r>
      <w:r w:rsidR="00B325F0" w:rsidRPr="00482FE1">
        <w:rPr>
          <w:rFonts w:hint="eastAsia"/>
          <w:color w:val="000000"/>
        </w:rPr>
        <w:t>月</w:t>
      </w:r>
      <w:r w:rsidR="001428EF">
        <w:rPr>
          <w:rFonts w:hint="eastAsia"/>
          <w:color w:val="000000"/>
        </w:rPr>
        <w:t>2</w:t>
      </w:r>
      <w:r w:rsidR="001428EF">
        <w:rPr>
          <w:color w:val="000000"/>
        </w:rPr>
        <w:t>3</w:t>
      </w:r>
      <w:r w:rsidR="00B325F0" w:rsidRPr="00482FE1">
        <w:rPr>
          <w:rFonts w:hint="eastAsia"/>
          <w:color w:val="000000"/>
        </w:rPr>
        <w:t>日公告的《</w:t>
      </w:r>
      <w:r w:rsidR="000C4C62" w:rsidRPr="00482FE1">
        <w:rPr>
          <w:rFonts w:hint="eastAsia"/>
          <w:color w:val="000000"/>
        </w:rPr>
        <w:t>中欧基金管理有限公司</w:t>
      </w:r>
      <w:r w:rsidR="00690AFA" w:rsidRPr="00482FE1">
        <w:rPr>
          <w:rFonts w:hint="eastAsia"/>
          <w:color w:val="000000"/>
        </w:rPr>
        <w:t>关于</w:t>
      </w:r>
      <w:r w:rsidR="006117FF" w:rsidRPr="0081092F">
        <w:rPr>
          <w:rFonts w:hint="eastAsia"/>
          <w:color w:val="000000"/>
        </w:rPr>
        <w:t>中欧</w:t>
      </w:r>
      <w:r w:rsidR="00EB746C">
        <w:rPr>
          <w:rFonts w:hint="eastAsia"/>
          <w:color w:val="000000"/>
        </w:rPr>
        <w:t>强瑞多策略定期开放债券型</w:t>
      </w:r>
      <w:r w:rsidR="006117FF" w:rsidRPr="0081092F">
        <w:rPr>
          <w:rFonts w:hint="eastAsia"/>
          <w:color w:val="000000"/>
        </w:rPr>
        <w:t>证券投资基金</w:t>
      </w:r>
      <w:r w:rsidR="00690AFA" w:rsidRPr="00482FE1">
        <w:rPr>
          <w:rFonts w:hint="eastAsia"/>
          <w:color w:val="000000"/>
        </w:rPr>
        <w:t>基金合同终止及基金财产清算的公告</w:t>
      </w:r>
      <w:r w:rsidR="00B325F0" w:rsidRPr="00482FE1">
        <w:rPr>
          <w:rFonts w:hint="eastAsia"/>
          <w:color w:val="000000"/>
        </w:rPr>
        <w:t>》约定：“</w:t>
      </w:r>
      <w:r w:rsidR="00B325F0" w:rsidRPr="00482FE1">
        <w:rPr>
          <w:color w:val="000000"/>
        </w:rPr>
        <w:t>五、相关业务办理情况</w:t>
      </w:r>
      <w:r w:rsidR="00FA1D10" w:rsidRPr="00482FE1">
        <w:rPr>
          <w:rFonts w:hint="eastAsia"/>
          <w:color w:val="000000"/>
        </w:rPr>
        <w:t xml:space="preserve"> </w:t>
      </w:r>
      <w:r w:rsidR="001428EF" w:rsidRPr="001428EF">
        <w:rPr>
          <w:rFonts w:hint="eastAsia"/>
          <w:szCs w:val="21"/>
        </w:rPr>
        <w:t>自2021年3月20日起，本基金进入清算程序，停止办理申购、赎回等业务，并且之后不再恢复。本基金进入清算程序后，停止收取基金管理费、基金托管费</w:t>
      </w:r>
      <w:r w:rsidR="0034282B">
        <w:rPr>
          <w:rFonts w:hint="eastAsia"/>
          <w:szCs w:val="21"/>
        </w:rPr>
        <w:t>。</w:t>
      </w:r>
      <w:r w:rsidR="00B325F0" w:rsidRPr="00482FE1">
        <w:rPr>
          <w:rFonts w:hint="eastAsia"/>
          <w:color w:val="000000"/>
        </w:rPr>
        <w:t>”</w:t>
      </w:r>
    </w:p>
    <w:p w:rsidR="00B46532" w:rsidRPr="00482FE1" w:rsidRDefault="00B325F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2、</w:t>
      </w:r>
      <w:r w:rsidRPr="00482FE1">
        <w:rPr>
          <w:color w:val="000000"/>
        </w:rPr>
        <w:t>清算起始日</w:t>
      </w:r>
    </w:p>
    <w:p w:rsidR="00B325F0" w:rsidRPr="00482FE1" w:rsidRDefault="00576A20" w:rsidP="008A5FE0">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本基金于</w:t>
      </w:r>
      <w:r w:rsidR="005B3E4C" w:rsidRPr="00482FE1">
        <w:rPr>
          <w:rFonts w:hint="eastAsia"/>
          <w:color w:val="000000"/>
        </w:rPr>
        <w:t>20</w:t>
      </w:r>
      <w:r w:rsidR="0034282B">
        <w:rPr>
          <w:color w:val="000000"/>
        </w:rPr>
        <w:t>21</w:t>
      </w:r>
      <w:r w:rsidR="005B3E4C" w:rsidRPr="00482FE1">
        <w:rPr>
          <w:rFonts w:hint="eastAsia"/>
          <w:color w:val="000000"/>
        </w:rPr>
        <w:t>年</w:t>
      </w:r>
      <w:r w:rsidR="0034282B">
        <w:rPr>
          <w:szCs w:val="21"/>
        </w:rPr>
        <w:t>3</w:t>
      </w:r>
      <w:r w:rsidR="002B596A" w:rsidRPr="00482FE1">
        <w:rPr>
          <w:szCs w:val="21"/>
        </w:rPr>
        <w:t>月</w:t>
      </w:r>
      <w:r w:rsidR="001428EF">
        <w:rPr>
          <w:szCs w:val="21"/>
        </w:rPr>
        <w:t>20</w:t>
      </w:r>
      <w:r w:rsidR="002B596A" w:rsidRPr="00482FE1">
        <w:rPr>
          <w:szCs w:val="21"/>
        </w:rPr>
        <w:t>日</w:t>
      </w:r>
      <w:r w:rsidRPr="00482FE1">
        <w:rPr>
          <w:rFonts w:hint="eastAsia"/>
          <w:color w:val="000000"/>
        </w:rPr>
        <w:t>起进入清算期，</w:t>
      </w:r>
      <w:r w:rsidR="008A5FE0" w:rsidRPr="00482FE1">
        <w:rPr>
          <w:rFonts w:hint="eastAsia"/>
          <w:color w:val="000000"/>
        </w:rPr>
        <w:t>故本基金清算起始日</w:t>
      </w:r>
      <w:r w:rsidRPr="00482FE1">
        <w:rPr>
          <w:rFonts w:hint="eastAsia"/>
          <w:color w:val="000000"/>
        </w:rPr>
        <w:t>为</w:t>
      </w:r>
      <w:r w:rsidR="005B3E4C" w:rsidRPr="00482FE1">
        <w:rPr>
          <w:rFonts w:hint="eastAsia"/>
          <w:color w:val="000000"/>
        </w:rPr>
        <w:t>20</w:t>
      </w:r>
      <w:r w:rsidR="0034282B">
        <w:rPr>
          <w:color w:val="000000"/>
        </w:rPr>
        <w:t>21</w:t>
      </w:r>
      <w:r w:rsidR="005B3E4C" w:rsidRPr="00482FE1">
        <w:rPr>
          <w:rFonts w:hint="eastAsia"/>
          <w:color w:val="000000"/>
        </w:rPr>
        <w:t>年</w:t>
      </w:r>
      <w:r w:rsidR="0034282B">
        <w:rPr>
          <w:szCs w:val="21"/>
        </w:rPr>
        <w:t>3</w:t>
      </w:r>
      <w:r w:rsidR="002B596A" w:rsidRPr="00482FE1">
        <w:rPr>
          <w:szCs w:val="21"/>
        </w:rPr>
        <w:t>月</w:t>
      </w:r>
      <w:r w:rsidR="001428EF">
        <w:rPr>
          <w:szCs w:val="21"/>
        </w:rPr>
        <w:t>20</w:t>
      </w:r>
      <w:r w:rsidR="002B596A" w:rsidRPr="00482FE1">
        <w:rPr>
          <w:szCs w:val="21"/>
        </w:rPr>
        <w:t>日</w:t>
      </w:r>
      <w:r w:rsidRPr="00482FE1">
        <w:rPr>
          <w:rFonts w:hint="eastAsia"/>
          <w:color w:val="000000"/>
        </w:rPr>
        <w:t>。</w:t>
      </w:r>
    </w:p>
    <w:p w:rsidR="00576A20" w:rsidRPr="00482FE1" w:rsidRDefault="00576A2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3、清算报表编制基础</w:t>
      </w:r>
    </w:p>
    <w:p w:rsidR="00B46532" w:rsidRPr="00482FE1" w:rsidRDefault="00566699"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本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34282B" w:rsidRDefault="0034282B" w:rsidP="00B46532">
      <w:pPr>
        <w:pStyle w:val="a3"/>
        <w:adjustRightInd w:val="0"/>
        <w:snapToGrid w:val="0"/>
        <w:spacing w:before="0" w:beforeAutospacing="0" w:after="0" w:afterAutospacing="0" w:line="360" w:lineRule="auto"/>
        <w:ind w:firstLineChars="200" w:firstLine="480"/>
        <w:rPr>
          <w:color w:val="000000"/>
        </w:rPr>
      </w:pPr>
    </w:p>
    <w:p w:rsidR="00576A20" w:rsidRPr="00482FE1" w:rsidRDefault="00576A2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五、清算情况</w:t>
      </w:r>
    </w:p>
    <w:p w:rsidR="00AD5C40" w:rsidRPr="00482FE1" w:rsidRDefault="00AD5C40" w:rsidP="00B4653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自</w:t>
      </w:r>
      <w:r w:rsidR="00200B4A" w:rsidRPr="00482FE1">
        <w:rPr>
          <w:rFonts w:hint="eastAsia"/>
          <w:color w:val="000000"/>
        </w:rPr>
        <w:t>20</w:t>
      </w:r>
      <w:r w:rsidR="00200B4A">
        <w:rPr>
          <w:color w:val="000000"/>
        </w:rPr>
        <w:t>21</w:t>
      </w:r>
      <w:r w:rsidR="00566699" w:rsidRPr="00482FE1">
        <w:rPr>
          <w:rFonts w:hint="eastAsia"/>
          <w:color w:val="000000"/>
        </w:rPr>
        <w:t>年</w:t>
      </w:r>
      <w:r w:rsidR="00200B4A">
        <w:rPr>
          <w:szCs w:val="21"/>
        </w:rPr>
        <w:t>3</w:t>
      </w:r>
      <w:r w:rsidR="002B596A" w:rsidRPr="00482FE1">
        <w:rPr>
          <w:szCs w:val="21"/>
        </w:rPr>
        <w:t>月</w:t>
      </w:r>
      <w:r w:rsidR="00200B4A">
        <w:rPr>
          <w:szCs w:val="21"/>
        </w:rPr>
        <w:t>20</w:t>
      </w:r>
      <w:r w:rsidR="002B596A" w:rsidRPr="00482FE1">
        <w:rPr>
          <w:szCs w:val="21"/>
        </w:rPr>
        <w:t>日</w:t>
      </w:r>
      <w:r w:rsidR="00566699" w:rsidRPr="00482FE1">
        <w:rPr>
          <w:rFonts w:hint="eastAsia"/>
          <w:color w:val="000000"/>
        </w:rPr>
        <w:t>至</w:t>
      </w:r>
      <w:r w:rsidR="00200B4A" w:rsidRPr="00482FE1">
        <w:rPr>
          <w:rFonts w:hint="eastAsia"/>
          <w:color w:val="000000"/>
        </w:rPr>
        <w:t>20</w:t>
      </w:r>
      <w:r w:rsidR="00200B4A">
        <w:rPr>
          <w:color w:val="000000"/>
        </w:rPr>
        <w:t>21</w:t>
      </w:r>
      <w:r w:rsidR="00810300" w:rsidRPr="00482FE1">
        <w:rPr>
          <w:rFonts w:hint="eastAsia"/>
          <w:color w:val="000000"/>
        </w:rPr>
        <w:t>年</w:t>
      </w:r>
      <w:r w:rsidR="00200B4A">
        <w:rPr>
          <w:color w:val="000000"/>
        </w:rPr>
        <w:t>4</w:t>
      </w:r>
      <w:r w:rsidR="00566699" w:rsidRPr="00482FE1">
        <w:rPr>
          <w:rFonts w:hint="eastAsia"/>
          <w:color w:val="000000"/>
        </w:rPr>
        <w:t>月</w:t>
      </w:r>
      <w:r w:rsidR="00200B4A">
        <w:rPr>
          <w:color w:val="000000"/>
        </w:rPr>
        <w:t>7</w:t>
      </w:r>
      <w:r w:rsidR="00566699" w:rsidRPr="00482FE1">
        <w:rPr>
          <w:rFonts w:hint="eastAsia"/>
          <w:color w:val="000000"/>
        </w:rPr>
        <w:t>日</w:t>
      </w:r>
      <w:r w:rsidRPr="00482FE1">
        <w:rPr>
          <w:rFonts w:hint="eastAsia"/>
          <w:color w:val="000000"/>
        </w:rPr>
        <w:t>清算期间，基金财产清算小组对本基金的资产、负债进行清算，全部清算工作按清算原则和清算手续进行。具体清算情况如下：</w:t>
      </w:r>
    </w:p>
    <w:p w:rsidR="00AD5C40" w:rsidRPr="00482FE1" w:rsidRDefault="00A53F81" w:rsidP="00B46532">
      <w:pPr>
        <w:pStyle w:val="a3"/>
        <w:adjustRightInd w:val="0"/>
        <w:snapToGrid w:val="0"/>
        <w:spacing w:before="0" w:beforeAutospacing="0" w:after="0" w:afterAutospacing="0" w:line="360" w:lineRule="auto"/>
        <w:ind w:firstLineChars="200" w:firstLine="480"/>
        <w:rPr>
          <w:color w:val="000000"/>
        </w:rPr>
      </w:pPr>
      <w:r w:rsidRPr="00482FE1">
        <w:rPr>
          <w:color w:val="000000"/>
        </w:rPr>
        <w:t>1</w:t>
      </w:r>
      <w:r w:rsidRPr="00482FE1">
        <w:rPr>
          <w:rFonts w:hint="eastAsia"/>
          <w:color w:val="000000"/>
        </w:rPr>
        <w:t>、</w:t>
      </w:r>
      <w:r w:rsidR="00AD5C40" w:rsidRPr="00482FE1">
        <w:rPr>
          <w:rFonts w:hint="eastAsia"/>
          <w:color w:val="000000"/>
        </w:rPr>
        <w:t>清算费用</w:t>
      </w:r>
    </w:p>
    <w:p w:rsidR="00566699" w:rsidRPr="00482FE1" w:rsidRDefault="00940326" w:rsidP="0015468A">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清算费用是指基金财产清算小组在进行基金清算过程中发生的所有合理费用，根据基金合同的规定，清算费用由基金财产清算小组优先从基金财产中支付。</w:t>
      </w:r>
    </w:p>
    <w:p w:rsidR="00AD5C40" w:rsidRPr="00482FE1" w:rsidRDefault="00A53F81" w:rsidP="00CC404B">
      <w:pPr>
        <w:pStyle w:val="a3"/>
        <w:adjustRightInd w:val="0"/>
        <w:snapToGrid w:val="0"/>
        <w:spacing w:before="0" w:beforeAutospacing="0" w:after="0" w:afterAutospacing="0" w:line="360" w:lineRule="auto"/>
        <w:ind w:firstLineChars="200" w:firstLine="480"/>
        <w:rPr>
          <w:color w:val="000000"/>
        </w:rPr>
      </w:pPr>
      <w:r w:rsidRPr="00482FE1">
        <w:rPr>
          <w:color w:val="000000"/>
        </w:rPr>
        <w:t>2</w:t>
      </w:r>
      <w:r w:rsidRPr="00482FE1">
        <w:rPr>
          <w:rFonts w:hint="eastAsia"/>
          <w:color w:val="000000"/>
        </w:rPr>
        <w:t>、</w:t>
      </w:r>
      <w:r w:rsidR="00AD5C40" w:rsidRPr="00482FE1">
        <w:rPr>
          <w:rFonts w:hint="eastAsia"/>
          <w:color w:val="000000"/>
        </w:rPr>
        <w:t>资产</w:t>
      </w:r>
      <w:r w:rsidR="000F521B" w:rsidRPr="00482FE1">
        <w:rPr>
          <w:rFonts w:hint="eastAsia"/>
          <w:color w:val="000000"/>
        </w:rPr>
        <w:t>清算情况</w:t>
      </w:r>
    </w:p>
    <w:p w:rsidR="00CC404B" w:rsidRPr="00482FE1" w:rsidRDefault="00AD5C40" w:rsidP="00890D55">
      <w:pPr>
        <w:pStyle w:val="Default"/>
        <w:spacing w:line="360" w:lineRule="auto"/>
        <w:ind w:firstLineChars="200" w:firstLine="480"/>
        <w:rPr>
          <w:rFonts w:ascii="宋体" w:eastAsia="宋体" w:hAnsi="宋体" w:cs="宋体"/>
        </w:rPr>
      </w:pPr>
      <w:r w:rsidRPr="00482FE1">
        <w:rPr>
          <w:rFonts w:ascii="宋体" w:eastAsia="宋体" w:hAnsi="宋体" w:cs="宋体" w:hint="eastAsia"/>
        </w:rPr>
        <w:t>（1）</w:t>
      </w:r>
      <w:r w:rsidR="009E4281" w:rsidRPr="00482FE1">
        <w:rPr>
          <w:rFonts w:ascii="宋体" w:eastAsia="宋体" w:hAnsi="宋体" w:cs="宋体" w:hint="eastAsia"/>
        </w:rPr>
        <w:t>本基金最后运作日应收利息为人民币</w:t>
      </w:r>
      <w:r w:rsidR="008B28E4" w:rsidRPr="008B28E4">
        <w:rPr>
          <w:rFonts w:ascii="宋体" w:eastAsia="宋体" w:hAnsi="宋体" w:cs="宋体"/>
        </w:rPr>
        <w:t>49,659.20</w:t>
      </w:r>
      <w:r w:rsidR="009E4281" w:rsidRPr="00482FE1">
        <w:rPr>
          <w:rFonts w:ascii="宋体" w:eastAsia="宋体" w:hAnsi="宋体" w:cs="宋体" w:hint="eastAsia"/>
        </w:rPr>
        <w:t>元，其中应收</w:t>
      </w:r>
      <w:r w:rsidR="007F0E0F" w:rsidRPr="00482FE1">
        <w:rPr>
          <w:rFonts w:ascii="宋体" w:eastAsia="宋体" w:hAnsi="宋体" w:cs="宋体" w:hint="eastAsia"/>
        </w:rPr>
        <w:t>活期</w:t>
      </w:r>
      <w:r w:rsidR="009E4281" w:rsidRPr="00482FE1">
        <w:rPr>
          <w:rFonts w:ascii="宋体" w:eastAsia="宋体" w:hAnsi="宋体" w:cs="宋体" w:hint="eastAsia"/>
        </w:rPr>
        <w:t>存款利息</w:t>
      </w:r>
      <w:r w:rsidR="007B48CC" w:rsidRPr="007B48CC">
        <w:rPr>
          <w:rFonts w:ascii="宋体" w:eastAsia="宋体" w:hAnsi="宋体" w:cs="宋体"/>
        </w:rPr>
        <w:t>2,282.73</w:t>
      </w:r>
      <w:r w:rsidR="009E4281" w:rsidRPr="00482FE1">
        <w:rPr>
          <w:rFonts w:ascii="宋体" w:eastAsia="宋体" w:hAnsi="宋体" w:cs="宋体" w:hint="eastAsia"/>
        </w:rPr>
        <w:t>元，</w:t>
      </w:r>
      <w:r w:rsidR="00F71A32">
        <w:rPr>
          <w:rFonts w:ascii="宋体" w:eastAsia="宋体" w:hAnsi="宋体" w:cs="宋体" w:hint="eastAsia"/>
        </w:rPr>
        <w:t>已</w:t>
      </w:r>
      <w:r w:rsidR="00F71A32" w:rsidRPr="00482FE1">
        <w:rPr>
          <w:rFonts w:ascii="宋体" w:eastAsia="宋体" w:hAnsi="宋体" w:cs="宋体" w:hint="eastAsia"/>
        </w:rPr>
        <w:t>于</w:t>
      </w:r>
      <w:r w:rsidR="00C6796D" w:rsidRPr="00482FE1">
        <w:rPr>
          <w:rFonts w:ascii="宋体" w:eastAsia="宋体" w:hAnsi="宋体" w:cs="宋体" w:hint="eastAsia"/>
        </w:rPr>
        <w:t>20</w:t>
      </w:r>
      <w:r w:rsidR="00C6796D">
        <w:rPr>
          <w:rFonts w:ascii="宋体" w:eastAsia="宋体" w:hAnsi="宋体" w:cs="宋体"/>
        </w:rPr>
        <w:t>21</w:t>
      </w:r>
      <w:r w:rsidR="00C6796D" w:rsidRPr="00482FE1">
        <w:rPr>
          <w:rFonts w:ascii="宋体" w:eastAsia="宋体" w:hAnsi="宋体" w:cs="宋体" w:hint="eastAsia"/>
        </w:rPr>
        <w:t>年</w:t>
      </w:r>
      <w:r w:rsidR="00C6796D">
        <w:rPr>
          <w:rFonts w:ascii="宋体" w:eastAsia="宋体" w:hAnsi="宋体" w:cs="宋体"/>
        </w:rPr>
        <w:t>3</w:t>
      </w:r>
      <w:r w:rsidR="00C6796D" w:rsidRPr="00482FE1">
        <w:rPr>
          <w:rFonts w:ascii="宋体" w:eastAsia="宋体" w:hAnsi="宋体" w:cs="宋体" w:hint="eastAsia"/>
        </w:rPr>
        <w:t>月</w:t>
      </w:r>
      <w:r w:rsidR="00C6796D">
        <w:rPr>
          <w:rFonts w:ascii="宋体" w:eastAsia="宋体" w:hAnsi="宋体" w:cs="宋体" w:hint="eastAsia"/>
        </w:rPr>
        <w:t>21</w:t>
      </w:r>
      <w:r w:rsidR="00C6796D" w:rsidRPr="00482FE1">
        <w:rPr>
          <w:rFonts w:ascii="宋体" w:eastAsia="宋体" w:hAnsi="宋体" w:cs="宋体" w:hint="eastAsia"/>
        </w:rPr>
        <w:t>日</w:t>
      </w:r>
      <w:r w:rsidR="00C6796D">
        <w:rPr>
          <w:rFonts w:ascii="宋体" w:eastAsia="宋体" w:hAnsi="宋体" w:cs="宋体" w:hint="eastAsia"/>
        </w:rPr>
        <w:t>支付</w:t>
      </w:r>
      <w:r w:rsidR="009A1B74" w:rsidRPr="009A1B74">
        <w:rPr>
          <w:rFonts w:ascii="宋体" w:eastAsia="宋体" w:hAnsi="宋体" w:cs="宋体"/>
        </w:rPr>
        <w:t>2294.72</w:t>
      </w:r>
      <w:r w:rsidR="009E0A5B">
        <w:rPr>
          <w:rFonts w:ascii="宋体" w:eastAsia="宋体" w:hAnsi="宋体" w:cs="宋体" w:hint="eastAsia"/>
        </w:rPr>
        <w:t>元</w:t>
      </w:r>
      <w:r w:rsidR="00A74BC5">
        <w:rPr>
          <w:rFonts w:ascii="宋体" w:eastAsia="宋体" w:hAnsi="宋体" w:cs="宋体" w:hint="eastAsia"/>
        </w:rPr>
        <w:t>;</w:t>
      </w:r>
      <w:r w:rsidR="009E4281" w:rsidRPr="00482FE1">
        <w:rPr>
          <w:rFonts w:ascii="宋体" w:eastAsia="宋体" w:hAnsi="宋体" w:cs="宋体" w:hint="eastAsia"/>
        </w:rPr>
        <w:t>应收结算备付金利息</w:t>
      </w:r>
      <w:r w:rsidR="007B48CC" w:rsidRPr="007B48CC">
        <w:rPr>
          <w:rFonts w:ascii="宋体" w:eastAsia="宋体" w:hAnsi="宋体" w:cs="宋体"/>
        </w:rPr>
        <w:t>4,639.56</w:t>
      </w:r>
      <w:r w:rsidR="009E4281" w:rsidRPr="00482FE1">
        <w:rPr>
          <w:rFonts w:ascii="宋体" w:eastAsia="宋体" w:hAnsi="宋体" w:cs="宋体" w:hint="eastAsia"/>
        </w:rPr>
        <w:t>元，</w:t>
      </w:r>
      <w:r w:rsidR="0045337C" w:rsidRPr="0045337C">
        <w:rPr>
          <w:rFonts w:ascii="宋体" w:eastAsia="宋体" w:hAnsi="宋体" w:cs="宋体" w:hint="eastAsia"/>
        </w:rPr>
        <w:t>应收权证保证金利息</w:t>
      </w:r>
      <w:r w:rsidR="0045337C" w:rsidRPr="0045337C">
        <w:rPr>
          <w:rFonts w:ascii="宋体" w:eastAsia="宋体" w:hAnsi="宋体" w:cs="宋体"/>
        </w:rPr>
        <w:t>65.06</w:t>
      </w:r>
      <w:r w:rsidR="009E0A5B">
        <w:rPr>
          <w:rFonts w:ascii="宋体" w:eastAsia="宋体" w:hAnsi="宋体" w:cs="宋体" w:hint="eastAsia"/>
        </w:rPr>
        <w:t>元</w:t>
      </w:r>
      <w:r w:rsidR="0045337C">
        <w:rPr>
          <w:rFonts w:ascii="宋体" w:eastAsia="宋体" w:hAnsi="宋体" w:cs="宋体"/>
        </w:rPr>
        <w:t>,</w:t>
      </w:r>
      <w:r w:rsidR="00F71A32" w:rsidRPr="00F71A32">
        <w:rPr>
          <w:rFonts w:ascii="宋体" w:eastAsia="宋体" w:hAnsi="宋体" w:cs="宋体" w:hint="eastAsia"/>
        </w:rPr>
        <w:t xml:space="preserve"> </w:t>
      </w:r>
      <w:r w:rsidR="00B718BB">
        <w:rPr>
          <w:rFonts w:ascii="宋体" w:eastAsia="宋体" w:hAnsi="宋体" w:cs="宋体" w:hint="eastAsia"/>
        </w:rPr>
        <w:t>均</w:t>
      </w:r>
      <w:r w:rsidR="00F71A32" w:rsidRPr="00482FE1">
        <w:rPr>
          <w:rFonts w:ascii="宋体" w:eastAsia="宋体" w:hAnsi="宋体" w:cs="宋体" w:hint="eastAsia"/>
        </w:rPr>
        <w:t>于20</w:t>
      </w:r>
      <w:r w:rsidR="00F71A32">
        <w:rPr>
          <w:rFonts w:ascii="宋体" w:eastAsia="宋体" w:hAnsi="宋体" w:cs="宋体"/>
        </w:rPr>
        <w:t>21</w:t>
      </w:r>
      <w:r w:rsidR="00F71A32" w:rsidRPr="00482FE1">
        <w:rPr>
          <w:rFonts w:ascii="宋体" w:eastAsia="宋体" w:hAnsi="宋体" w:cs="宋体" w:hint="eastAsia"/>
        </w:rPr>
        <w:t>年</w:t>
      </w:r>
      <w:r w:rsidR="00F71A32">
        <w:rPr>
          <w:rFonts w:ascii="宋体" w:eastAsia="宋体" w:hAnsi="宋体" w:cs="宋体"/>
        </w:rPr>
        <w:t>3</w:t>
      </w:r>
      <w:r w:rsidR="00F71A32" w:rsidRPr="00482FE1">
        <w:rPr>
          <w:rFonts w:ascii="宋体" w:eastAsia="宋体" w:hAnsi="宋体" w:cs="宋体" w:hint="eastAsia"/>
        </w:rPr>
        <w:t>月</w:t>
      </w:r>
      <w:r w:rsidR="00F71A32">
        <w:rPr>
          <w:rFonts w:ascii="宋体" w:eastAsia="宋体" w:hAnsi="宋体" w:cs="宋体" w:hint="eastAsia"/>
        </w:rPr>
        <w:t>2</w:t>
      </w:r>
      <w:r w:rsidR="00A911F5">
        <w:rPr>
          <w:rFonts w:ascii="宋体" w:eastAsia="宋体" w:hAnsi="宋体" w:cs="宋体"/>
        </w:rPr>
        <w:t>2</w:t>
      </w:r>
      <w:r w:rsidR="00F71A32" w:rsidRPr="00482FE1">
        <w:rPr>
          <w:rFonts w:ascii="宋体" w:eastAsia="宋体" w:hAnsi="宋体" w:cs="宋体" w:hint="eastAsia"/>
        </w:rPr>
        <w:t>日</w:t>
      </w:r>
      <w:r w:rsidR="009A1B74">
        <w:rPr>
          <w:rFonts w:ascii="宋体" w:eastAsia="宋体" w:hAnsi="宋体" w:cs="宋体" w:hint="eastAsia"/>
        </w:rPr>
        <w:t>分别</w:t>
      </w:r>
      <w:r w:rsidR="00F71A32">
        <w:rPr>
          <w:rFonts w:ascii="宋体" w:eastAsia="宋体" w:hAnsi="宋体" w:cs="宋体" w:hint="eastAsia"/>
        </w:rPr>
        <w:t>支付</w:t>
      </w:r>
      <w:r w:rsidR="009A1B74" w:rsidRPr="009A1B74">
        <w:rPr>
          <w:rFonts w:ascii="宋体" w:eastAsia="宋体" w:hAnsi="宋体" w:cs="宋体"/>
        </w:rPr>
        <w:t>4678.16</w:t>
      </w:r>
      <w:r w:rsidR="009E0A5B">
        <w:rPr>
          <w:rFonts w:ascii="宋体" w:eastAsia="宋体" w:hAnsi="宋体" w:cs="宋体" w:hint="eastAsia"/>
        </w:rPr>
        <w:t>元</w:t>
      </w:r>
      <w:r w:rsidR="009A1B74">
        <w:rPr>
          <w:rFonts w:ascii="宋体" w:eastAsia="宋体" w:hAnsi="宋体" w:cs="宋体" w:hint="eastAsia"/>
        </w:rPr>
        <w:t>和</w:t>
      </w:r>
      <w:r w:rsidR="009A1B74" w:rsidRPr="009A1B74">
        <w:rPr>
          <w:rFonts w:ascii="宋体" w:eastAsia="宋体" w:hAnsi="宋体" w:cs="宋体"/>
        </w:rPr>
        <w:t>65.29</w:t>
      </w:r>
      <w:r w:rsidR="009E0A5B">
        <w:rPr>
          <w:rFonts w:ascii="宋体" w:eastAsia="宋体" w:hAnsi="宋体" w:cs="宋体" w:hint="eastAsia"/>
        </w:rPr>
        <w:t>元</w:t>
      </w:r>
      <w:r w:rsidR="007C3ADD">
        <w:rPr>
          <w:rFonts w:ascii="宋体" w:eastAsia="宋体" w:hAnsi="宋体" w:cs="宋体" w:hint="eastAsia"/>
        </w:rPr>
        <w:t>；</w:t>
      </w:r>
      <w:r w:rsidR="00B718BB" w:rsidRPr="00482FE1">
        <w:rPr>
          <w:rFonts w:ascii="宋体" w:eastAsia="宋体" w:hAnsi="宋体" w:cs="宋体" w:hint="eastAsia"/>
        </w:rPr>
        <w:t>应收债券利息参见资产清算情况（</w:t>
      </w:r>
      <w:r w:rsidR="00B718BB" w:rsidRPr="00482FE1">
        <w:rPr>
          <w:rFonts w:ascii="宋体" w:eastAsia="宋体" w:hAnsi="宋体" w:cs="宋体"/>
        </w:rPr>
        <w:t>3</w:t>
      </w:r>
      <w:r w:rsidR="00B718BB" w:rsidRPr="00482FE1">
        <w:rPr>
          <w:rFonts w:ascii="宋体" w:eastAsia="宋体" w:hAnsi="宋体" w:cs="宋体" w:hint="eastAsia"/>
        </w:rPr>
        <w:t>）</w:t>
      </w:r>
      <w:r w:rsidR="00B718BB" w:rsidRPr="00482FE1">
        <w:rPr>
          <w:rFonts w:ascii="宋体" w:eastAsia="宋体" w:hAnsi="宋体" w:cs="宋体"/>
        </w:rPr>
        <w:t>所述。</w:t>
      </w:r>
    </w:p>
    <w:p w:rsidR="00A95F17" w:rsidRPr="00482FE1" w:rsidRDefault="00AD5C40" w:rsidP="00A95F17">
      <w:pPr>
        <w:pStyle w:val="Default"/>
        <w:spacing w:line="360" w:lineRule="auto"/>
        <w:ind w:firstLineChars="200" w:firstLine="480"/>
        <w:rPr>
          <w:rFonts w:ascii="宋体" w:eastAsia="宋体" w:hAnsi="宋体" w:cs="宋体"/>
        </w:rPr>
      </w:pPr>
      <w:r w:rsidRPr="00482FE1">
        <w:rPr>
          <w:rFonts w:ascii="宋体" w:eastAsia="宋体" w:hAnsi="宋体" w:cs="宋体" w:hint="eastAsia"/>
        </w:rPr>
        <w:t>（</w:t>
      </w:r>
      <w:r w:rsidRPr="00482FE1">
        <w:rPr>
          <w:rFonts w:ascii="宋体" w:eastAsia="宋体" w:hAnsi="宋体" w:cs="宋体"/>
        </w:rPr>
        <w:t>2）</w:t>
      </w:r>
      <w:r w:rsidR="0016537C" w:rsidRPr="00482FE1">
        <w:rPr>
          <w:rFonts w:ascii="宋体" w:eastAsia="宋体" w:hAnsi="宋体" w:cs="宋体" w:hint="eastAsia"/>
        </w:rPr>
        <w:t>本基金最后运作日结算备付金为人民币</w:t>
      </w:r>
      <w:r w:rsidR="00EF3C7C" w:rsidRPr="00EF3C7C">
        <w:rPr>
          <w:rFonts w:ascii="宋体" w:eastAsia="宋体" w:hAnsi="宋体" w:cs="宋体"/>
        </w:rPr>
        <w:t>853,091.49</w:t>
      </w:r>
      <w:r w:rsidR="0016537C" w:rsidRPr="00482FE1">
        <w:rPr>
          <w:rFonts w:ascii="宋体" w:eastAsia="宋体" w:hAnsi="宋体" w:cs="宋体" w:hint="eastAsia"/>
        </w:rPr>
        <w:t>元，</w:t>
      </w:r>
      <w:r w:rsidR="00C20094">
        <w:rPr>
          <w:rFonts w:ascii="宋体" w:eastAsia="宋体" w:hAnsi="宋体" w:cs="宋体" w:hint="eastAsia"/>
        </w:rPr>
        <w:t>已</w:t>
      </w:r>
      <w:r w:rsidR="00C20094" w:rsidRPr="00482FE1">
        <w:rPr>
          <w:rFonts w:ascii="宋体" w:eastAsia="宋体" w:hAnsi="宋体" w:cs="宋体" w:hint="eastAsia"/>
        </w:rPr>
        <w:t>于</w:t>
      </w:r>
      <w:r w:rsidR="00C20094">
        <w:rPr>
          <w:rFonts w:ascii="宋体" w:eastAsia="宋体" w:hAnsi="宋体" w:cs="宋体"/>
        </w:rPr>
        <w:t>2021</w:t>
      </w:r>
      <w:r w:rsidR="00C20094" w:rsidRPr="00482FE1">
        <w:rPr>
          <w:rFonts w:ascii="宋体" w:eastAsia="宋体" w:hAnsi="宋体" w:cs="宋体"/>
        </w:rPr>
        <w:t>年</w:t>
      </w:r>
      <w:r w:rsidR="00C20094">
        <w:rPr>
          <w:rFonts w:ascii="宋体" w:eastAsia="宋体" w:hAnsi="宋体" w:cs="宋体"/>
        </w:rPr>
        <w:t>4</w:t>
      </w:r>
      <w:r w:rsidR="00C20094" w:rsidRPr="00482FE1">
        <w:rPr>
          <w:rFonts w:ascii="宋体" w:eastAsia="宋体" w:hAnsi="宋体" w:cs="宋体"/>
        </w:rPr>
        <w:t>月</w:t>
      </w:r>
      <w:r w:rsidR="00C20094">
        <w:rPr>
          <w:rFonts w:ascii="宋体" w:eastAsia="宋体" w:hAnsi="宋体" w:cs="宋体" w:hint="eastAsia"/>
        </w:rPr>
        <w:t>2</w:t>
      </w:r>
      <w:r w:rsidR="00C20094" w:rsidRPr="00482FE1">
        <w:rPr>
          <w:rFonts w:ascii="宋体" w:eastAsia="宋体" w:hAnsi="宋体" w:cs="宋体"/>
        </w:rPr>
        <w:t>日</w:t>
      </w:r>
      <w:r w:rsidR="00ED5A18">
        <w:rPr>
          <w:rFonts w:ascii="宋体" w:eastAsia="宋体" w:hAnsi="宋体" w:cs="宋体" w:hint="eastAsia"/>
        </w:rPr>
        <w:t>划入托管户</w:t>
      </w:r>
      <w:r w:rsidR="004126EE" w:rsidRPr="004126EE">
        <w:rPr>
          <w:rFonts w:ascii="宋体" w:eastAsia="宋体" w:hAnsi="宋体" w:cs="宋体"/>
        </w:rPr>
        <w:t>528</w:t>
      </w:r>
      <w:r w:rsidR="004126EE">
        <w:rPr>
          <w:rFonts w:ascii="宋体" w:eastAsia="宋体" w:hAnsi="宋体" w:cs="宋体" w:hint="eastAsia"/>
        </w:rPr>
        <w:t>,</w:t>
      </w:r>
      <w:r w:rsidR="004126EE" w:rsidRPr="004126EE">
        <w:rPr>
          <w:rFonts w:ascii="宋体" w:eastAsia="宋体" w:hAnsi="宋体" w:cs="宋体"/>
        </w:rPr>
        <w:t>966.38</w:t>
      </w:r>
      <w:r w:rsidR="00C63CF3">
        <w:rPr>
          <w:rFonts w:ascii="宋体" w:eastAsia="宋体" w:hAnsi="宋体" w:cs="宋体" w:hint="eastAsia"/>
        </w:rPr>
        <w:t>元</w:t>
      </w:r>
      <w:r w:rsidR="00C20094">
        <w:rPr>
          <w:rFonts w:ascii="宋体" w:eastAsia="宋体" w:hAnsi="宋体" w:cs="宋体" w:hint="eastAsia"/>
        </w:rPr>
        <w:t>，</w:t>
      </w:r>
      <w:r w:rsidR="00F10969">
        <w:rPr>
          <w:rFonts w:ascii="宋体" w:eastAsia="宋体" w:hAnsi="宋体" w:cs="宋体" w:hint="eastAsia"/>
        </w:rPr>
        <w:t>剩余将于</w:t>
      </w:r>
      <w:r w:rsidR="00F10969">
        <w:rPr>
          <w:rFonts w:ascii="宋体" w:eastAsia="宋体" w:hAnsi="宋体" w:cs="宋体"/>
        </w:rPr>
        <w:t>2021</w:t>
      </w:r>
      <w:r w:rsidR="00F10969" w:rsidRPr="00482FE1">
        <w:rPr>
          <w:rFonts w:ascii="宋体" w:eastAsia="宋体" w:hAnsi="宋体" w:cs="宋体"/>
        </w:rPr>
        <w:t>年</w:t>
      </w:r>
      <w:r w:rsidR="00F10969">
        <w:rPr>
          <w:rFonts w:ascii="宋体" w:eastAsia="宋体" w:hAnsi="宋体" w:cs="宋体"/>
        </w:rPr>
        <w:t>5</w:t>
      </w:r>
      <w:r w:rsidR="00F10969" w:rsidRPr="00482FE1">
        <w:rPr>
          <w:rFonts w:ascii="宋体" w:eastAsia="宋体" w:hAnsi="宋体" w:cs="宋体"/>
        </w:rPr>
        <w:t>月</w:t>
      </w:r>
      <w:r w:rsidR="00F10969">
        <w:rPr>
          <w:rFonts w:ascii="宋体" w:eastAsia="宋体" w:hAnsi="宋体" w:cs="宋体"/>
        </w:rPr>
        <w:t>7</w:t>
      </w:r>
      <w:r w:rsidR="00F10969" w:rsidRPr="00482FE1">
        <w:rPr>
          <w:rFonts w:ascii="宋体" w:eastAsia="宋体" w:hAnsi="宋体" w:cs="宋体"/>
        </w:rPr>
        <w:t>日</w:t>
      </w:r>
      <w:r w:rsidR="00E96C80">
        <w:rPr>
          <w:rFonts w:ascii="宋体" w:eastAsia="宋体" w:hAnsi="宋体" w:cs="宋体" w:hint="eastAsia"/>
        </w:rPr>
        <w:t>划入托管户</w:t>
      </w:r>
      <w:r w:rsidR="00FC58BF" w:rsidRPr="00482FE1">
        <w:rPr>
          <w:rFonts w:ascii="宋体" w:eastAsia="宋体" w:hAnsi="宋体" w:cs="宋体" w:hint="eastAsia"/>
        </w:rPr>
        <w:t>。</w:t>
      </w:r>
      <w:r w:rsidR="0016537C" w:rsidRPr="00482FE1">
        <w:rPr>
          <w:rFonts w:ascii="宋体" w:eastAsia="宋体" w:hAnsi="宋体" w:cs="宋体" w:hint="eastAsia"/>
        </w:rPr>
        <w:t>存出保证金为人民币</w:t>
      </w:r>
      <w:r w:rsidR="00AA2B89" w:rsidRPr="00AA2B89">
        <w:rPr>
          <w:rFonts w:ascii="宋体" w:eastAsia="宋体" w:hAnsi="宋体" w:cs="宋体"/>
        </w:rPr>
        <w:t>9,892.00</w:t>
      </w:r>
      <w:r w:rsidR="0016537C" w:rsidRPr="00482FE1">
        <w:rPr>
          <w:rFonts w:ascii="宋体" w:eastAsia="宋体" w:hAnsi="宋体" w:cs="宋体" w:hint="eastAsia"/>
        </w:rPr>
        <w:t>元，</w:t>
      </w:r>
      <w:r w:rsidR="00A95F17" w:rsidRPr="00482FE1">
        <w:rPr>
          <w:rFonts w:ascii="宋体" w:eastAsia="宋体" w:hAnsi="宋体" w:cs="宋体" w:hint="eastAsia"/>
        </w:rPr>
        <w:t>存出保证金</w:t>
      </w:r>
      <w:r w:rsidR="001E0BA1">
        <w:rPr>
          <w:rFonts w:ascii="宋体" w:eastAsia="宋体" w:hAnsi="宋体" w:cs="宋体" w:hint="eastAsia"/>
        </w:rPr>
        <w:t>已</w:t>
      </w:r>
      <w:r w:rsidR="00A95F17" w:rsidRPr="00482FE1">
        <w:rPr>
          <w:rFonts w:ascii="宋体" w:eastAsia="宋体" w:hAnsi="宋体" w:cs="宋体" w:hint="eastAsia"/>
        </w:rPr>
        <w:t>于</w:t>
      </w:r>
      <w:r w:rsidR="001E0BA1">
        <w:rPr>
          <w:rFonts w:ascii="宋体" w:eastAsia="宋体" w:hAnsi="宋体" w:cs="宋体" w:hint="eastAsia"/>
        </w:rPr>
        <w:t>2021</w:t>
      </w:r>
      <w:r w:rsidR="001E0BA1" w:rsidRPr="00482FE1">
        <w:rPr>
          <w:rFonts w:ascii="宋体" w:eastAsia="宋体" w:hAnsi="宋体" w:cs="宋体" w:hint="eastAsia"/>
        </w:rPr>
        <w:t>年</w:t>
      </w:r>
      <w:r w:rsidR="001E0BA1">
        <w:rPr>
          <w:rFonts w:ascii="宋体" w:eastAsia="宋体" w:hAnsi="宋体" w:cs="宋体"/>
        </w:rPr>
        <w:t>4</w:t>
      </w:r>
      <w:r w:rsidR="00A95F17" w:rsidRPr="00482FE1">
        <w:rPr>
          <w:rFonts w:ascii="宋体" w:eastAsia="宋体" w:hAnsi="宋体" w:cs="宋体" w:hint="eastAsia"/>
        </w:rPr>
        <w:t>月</w:t>
      </w:r>
      <w:r w:rsidR="001E0BA1">
        <w:rPr>
          <w:rFonts w:ascii="宋体" w:eastAsia="宋体" w:hAnsi="宋体" w:cs="宋体"/>
        </w:rPr>
        <w:t>2</w:t>
      </w:r>
      <w:r w:rsidR="00A95F17" w:rsidRPr="00482FE1">
        <w:rPr>
          <w:rFonts w:ascii="宋体" w:eastAsia="宋体" w:hAnsi="宋体" w:cs="宋体" w:hint="eastAsia"/>
        </w:rPr>
        <w:t>日划入托管账户。</w:t>
      </w:r>
    </w:p>
    <w:p w:rsidR="00737292" w:rsidRDefault="00551FD5" w:rsidP="00737292">
      <w:pPr>
        <w:pStyle w:val="Default"/>
        <w:spacing w:line="360" w:lineRule="auto"/>
        <w:ind w:firstLineChars="200" w:firstLine="480"/>
        <w:rPr>
          <w:rFonts w:ascii="宋体" w:eastAsia="宋体" w:hAnsi="宋体" w:cs="宋体"/>
        </w:rPr>
      </w:pPr>
      <w:r w:rsidRPr="00482FE1">
        <w:rPr>
          <w:rFonts w:ascii="宋体" w:eastAsia="宋体" w:hAnsi="宋体" w:cs="宋体" w:hint="eastAsia"/>
        </w:rPr>
        <w:t>（3</w:t>
      </w:r>
      <w:r w:rsidRPr="00482FE1">
        <w:rPr>
          <w:rFonts w:ascii="宋体" w:eastAsia="宋体" w:hAnsi="宋体" w:cs="宋体"/>
        </w:rPr>
        <w:t>）</w:t>
      </w:r>
      <w:r w:rsidR="00A42109" w:rsidRPr="00482FE1">
        <w:rPr>
          <w:rFonts w:ascii="宋体" w:eastAsia="宋体" w:hAnsi="宋体" w:cs="宋体" w:hint="eastAsia"/>
        </w:rPr>
        <w:t>本基金最后运作日交易性金融资产为人民币</w:t>
      </w:r>
      <w:r w:rsidR="00021CEC" w:rsidRPr="00021CEC">
        <w:rPr>
          <w:rFonts w:ascii="宋体" w:eastAsia="宋体" w:hAnsi="宋体" w:cs="宋体"/>
        </w:rPr>
        <w:t>4,355,940.00</w:t>
      </w:r>
      <w:r w:rsidR="00A42109" w:rsidRPr="00482FE1">
        <w:rPr>
          <w:rFonts w:ascii="宋体" w:eastAsia="宋体" w:hAnsi="宋体" w:cs="宋体" w:hint="eastAsia"/>
        </w:rPr>
        <w:t>元，应收债券利息为人民币</w:t>
      </w:r>
      <w:r w:rsidR="002A7AD0" w:rsidRPr="002A7AD0">
        <w:rPr>
          <w:rFonts w:ascii="宋体" w:eastAsia="宋体" w:hAnsi="宋体" w:cs="宋体"/>
        </w:rPr>
        <w:t>42,671.85</w:t>
      </w:r>
      <w:r w:rsidR="00A42109" w:rsidRPr="00482FE1">
        <w:rPr>
          <w:rFonts w:ascii="宋体" w:eastAsia="宋体" w:hAnsi="宋体" w:cs="宋体" w:hint="eastAsia"/>
        </w:rPr>
        <w:t>元。</w:t>
      </w:r>
      <w:r w:rsidR="00A94901" w:rsidRPr="00A94901">
        <w:rPr>
          <w:rFonts w:ascii="宋体" w:eastAsia="宋体" w:hAnsi="宋体" w:cs="宋体" w:hint="eastAsia"/>
        </w:rPr>
        <w:t>本基金持有的债券除尚未兑付部分均已卖出，卖出部分共收回4,337,323.66元</w:t>
      </w:r>
      <w:r w:rsidR="00860E52">
        <w:rPr>
          <w:rFonts w:ascii="宋体" w:eastAsia="宋体" w:hAnsi="宋体" w:cs="宋体" w:hint="eastAsia"/>
        </w:rPr>
        <w:t>，</w:t>
      </w:r>
      <w:r w:rsidR="008E2C00">
        <w:rPr>
          <w:rFonts w:ascii="宋体" w:eastAsia="宋体" w:hAnsi="宋体" w:cs="宋体" w:hint="eastAsia"/>
        </w:rPr>
        <w:t>尚未兑付的债券1</w:t>
      </w:r>
      <w:r w:rsidR="008E2C00">
        <w:rPr>
          <w:rFonts w:ascii="宋体" w:eastAsia="宋体" w:hAnsi="宋体" w:cs="宋体"/>
        </w:rPr>
        <w:t>24661</w:t>
      </w:r>
      <w:r w:rsidR="008E2C00" w:rsidRPr="00D673F1">
        <w:rPr>
          <w:rFonts w:ascii="宋体" w:eastAsia="宋体" w:hAnsi="宋体" w:cs="宋体"/>
        </w:rPr>
        <w:t>PR赣四通</w:t>
      </w:r>
      <w:r w:rsidR="008E2C00" w:rsidRPr="00D673F1">
        <w:rPr>
          <w:rFonts w:ascii="宋体" w:eastAsia="宋体" w:hAnsi="宋体" w:cs="宋体" w:hint="eastAsia"/>
        </w:rPr>
        <w:t>根据其</w:t>
      </w:r>
      <w:r w:rsidR="00783473" w:rsidRPr="00D673F1">
        <w:rPr>
          <w:rFonts w:ascii="宋体" w:eastAsia="宋体" w:hAnsi="宋体" w:cs="宋体" w:hint="eastAsia"/>
        </w:rPr>
        <w:t>“</w:t>
      </w:r>
      <w:r w:rsidR="00783473" w:rsidRPr="00D673F1">
        <w:rPr>
          <w:rFonts w:ascii="宋体" w:eastAsia="宋体" w:hAnsi="宋体" w:cs="宋体"/>
        </w:rPr>
        <w:t>PR赣四通:2014年江西省四通路桥建设集团有限公司公司债券2021年本息兑付及摘牌公告</w:t>
      </w:r>
      <w:r w:rsidR="00D673F1">
        <w:rPr>
          <w:rFonts w:ascii="宋体" w:eastAsia="宋体" w:hAnsi="宋体" w:cs="宋体" w:hint="eastAsia"/>
        </w:rPr>
        <w:t>”</w:t>
      </w:r>
      <w:r w:rsidR="008E2C00" w:rsidRPr="00D673F1">
        <w:rPr>
          <w:rFonts w:ascii="宋体" w:eastAsia="宋体" w:hAnsi="宋体" w:cs="宋体" w:hint="eastAsia"/>
        </w:rPr>
        <w:t>将于</w:t>
      </w:r>
      <w:r w:rsidR="008E2C00" w:rsidRPr="00D673F1">
        <w:rPr>
          <w:rFonts w:ascii="宋体" w:eastAsia="宋体" w:hAnsi="宋体" w:cs="宋体"/>
        </w:rPr>
        <w:t>2021</w:t>
      </w:r>
      <w:r w:rsidR="008E2C00" w:rsidRPr="00D673F1">
        <w:rPr>
          <w:rFonts w:ascii="宋体" w:eastAsia="宋体" w:hAnsi="宋体" w:cs="宋体" w:hint="eastAsia"/>
        </w:rPr>
        <w:t>年</w:t>
      </w:r>
      <w:r w:rsidR="008E2C00" w:rsidRPr="00D673F1">
        <w:rPr>
          <w:rFonts w:ascii="宋体" w:eastAsia="宋体" w:hAnsi="宋体" w:cs="宋体"/>
        </w:rPr>
        <w:t>4月19日</w:t>
      </w:r>
      <w:r w:rsidR="008E2C00" w:rsidRPr="00D673F1">
        <w:rPr>
          <w:rFonts w:ascii="宋体" w:eastAsia="宋体" w:hAnsi="宋体" w:cs="宋体" w:hint="eastAsia"/>
        </w:rPr>
        <w:t>支付本金及利息，支付金额以实际到账为准</w:t>
      </w:r>
      <w:r w:rsidR="00A94901" w:rsidRPr="00A94901">
        <w:rPr>
          <w:rFonts w:ascii="宋体" w:eastAsia="宋体" w:hAnsi="宋体" w:cs="宋体" w:hint="eastAsia"/>
        </w:rPr>
        <w:t>。</w:t>
      </w:r>
    </w:p>
    <w:p w:rsidR="00A94901" w:rsidRDefault="00A94901" w:rsidP="00737292">
      <w:pPr>
        <w:pStyle w:val="Default"/>
        <w:spacing w:line="360" w:lineRule="auto"/>
        <w:ind w:firstLineChars="200" w:firstLine="480"/>
        <w:rPr>
          <w:rFonts w:ascii="宋体" w:eastAsia="宋体" w:hAnsi="宋体" w:cs="宋体"/>
        </w:rPr>
      </w:pPr>
      <w:r>
        <w:rPr>
          <w:rFonts w:ascii="宋体" w:eastAsia="宋体" w:hAnsi="宋体" w:cs="宋体" w:hint="eastAsia"/>
        </w:rPr>
        <w:t>（4）</w:t>
      </w:r>
      <w:r w:rsidRPr="00482FE1">
        <w:rPr>
          <w:rFonts w:ascii="宋体" w:eastAsia="宋体" w:hAnsi="宋体" w:cs="宋体" w:hint="eastAsia"/>
        </w:rPr>
        <w:t>本基金最后运作日</w:t>
      </w:r>
      <w:r w:rsidR="006E5002" w:rsidRPr="006E5002">
        <w:rPr>
          <w:rFonts w:ascii="宋体" w:eastAsia="宋体" w:hAnsi="宋体" w:cs="宋体" w:hint="eastAsia"/>
        </w:rPr>
        <w:t>证券清算款</w:t>
      </w:r>
      <w:r w:rsidRPr="00482FE1">
        <w:rPr>
          <w:rFonts w:ascii="宋体" w:eastAsia="宋体" w:hAnsi="宋体" w:cs="宋体" w:hint="eastAsia"/>
        </w:rPr>
        <w:t>为人民币</w:t>
      </w:r>
      <w:r w:rsidR="006E5002" w:rsidRPr="006E5002">
        <w:rPr>
          <w:rFonts w:ascii="宋体" w:eastAsia="宋体" w:hAnsi="宋体" w:cs="宋体"/>
        </w:rPr>
        <w:t>5,719,245.10</w:t>
      </w:r>
      <w:r w:rsidRPr="00482FE1">
        <w:rPr>
          <w:rFonts w:ascii="宋体" w:eastAsia="宋体" w:hAnsi="宋体" w:cs="宋体" w:hint="eastAsia"/>
        </w:rPr>
        <w:t>元，</w:t>
      </w:r>
      <w:r w:rsidR="006E5002">
        <w:rPr>
          <w:rFonts w:ascii="宋体" w:eastAsia="宋体" w:hAnsi="宋体" w:cs="宋体" w:hint="eastAsia"/>
        </w:rPr>
        <w:t>已</w:t>
      </w:r>
      <w:r w:rsidR="006E5002" w:rsidRPr="00482FE1">
        <w:rPr>
          <w:rFonts w:ascii="宋体" w:eastAsia="宋体" w:hAnsi="宋体" w:cs="宋体" w:hint="eastAsia"/>
        </w:rPr>
        <w:t>于</w:t>
      </w:r>
      <w:r w:rsidR="006E5002">
        <w:rPr>
          <w:rFonts w:ascii="宋体" w:eastAsia="宋体" w:hAnsi="宋体" w:cs="宋体" w:hint="eastAsia"/>
        </w:rPr>
        <w:t>2021</w:t>
      </w:r>
      <w:r w:rsidR="006E5002" w:rsidRPr="00482FE1">
        <w:rPr>
          <w:rFonts w:ascii="宋体" w:eastAsia="宋体" w:hAnsi="宋体" w:cs="宋体" w:hint="eastAsia"/>
        </w:rPr>
        <w:t>年</w:t>
      </w:r>
      <w:r w:rsidR="006E5002">
        <w:rPr>
          <w:rFonts w:ascii="宋体" w:eastAsia="宋体" w:hAnsi="宋体" w:cs="宋体"/>
        </w:rPr>
        <w:t>3</w:t>
      </w:r>
      <w:r w:rsidR="006E5002" w:rsidRPr="00482FE1">
        <w:rPr>
          <w:rFonts w:ascii="宋体" w:eastAsia="宋体" w:hAnsi="宋体" w:cs="宋体" w:hint="eastAsia"/>
        </w:rPr>
        <w:t>月</w:t>
      </w:r>
      <w:r w:rsidR="006E5002">
        <w:rPr>
          <w:rFonts w:ascii="宋体" w:eastAsia="宋体" w:hAnsi="宋体" w:cs="宋体"/>
        </w:rPr>
        <w:t>22</w:t>
      </w:r>
      <w:r w:rsidR="006E5002" w:rsidRPr="00482FE1">
        <w:rPr>
          <w:rFonts w:ascii="宋体" w:eastAsia="宋体" w:hAnsi="宋体" w:cs="宋体" w:hint="eastAsia"/>
        </w:rPr>
        <w:t>日划入托管账户</w:t>
      </w:r>
      <w:r w:rsidRPr="00482FE1">
        <w:rPr>
          <w:rFonts w:ascii="宋体" w:eastAsia="宋体" w:hAnsi="宋体" w:cs="宋体" w:hint="eastAsia"/>
        </w:rPr>
        <w:t>。</w:t>
      </w:r>
    </w:p>
    <w:p w:rsidR="00551FD5" w:rsidRPr="00737292" w:rsidRDefault="00551FD5" w:rsidP="00CC404B">
      <w:pPr>
        <w:pStyle w:val="Default"/>
        <w:spacing w:line="360" w:lineRule="auto"/>
        <w:ind w:firstLineChars="200" w:firstLine="480"/>
        <w:rPr>
          <w:rFonts w:ascii="宋体" w:eastAsia="宋体" w:hAnsi="宋体" w:cs="宋体"/>
        </w:rPr>
      </w:pPr>
    </w:p>
    <w:p w:rsidR="00AD5C40" w:rsidRPr="00482FE1" w:rsidRDefault="00A53F81" w:rsidP="00CC404B">
      <w:pPr>
        <w:pStyle w:val="a3"/>
        <w:adjustRightInd w:val="0"/>
        <w:snapToGrid w:val="0"/>
        <w:spacing w:before="0" w:beforeAutospacing="0" w:after="0" w:afterAutospacing="0" w:line="360" w:lineRule="auto"/>
        <w:ind w:firstLineChars="200" w:firstLine="480"/>
        <w:rPr>
          <w:color w:val="000000"/>
        </w:rPr>
      </w:pPr>
      <w:r w:rsidRPr="00482FE1">
        <w:rPr>
          <w:color w:val="000000"/>
        </w:rPr>
        <w:t>3</w:t>
      </w:r>
      <w:r w:rsidRPr="00482FE1">
        <w:rPr>
          <w:rFonts w:hint="eastAsia"/>
          <w:color w:val="000000"/>
        </w:rPr>
        <w:t>、</w:t>
      </w:r>
      <w:r w:rsidR="00AD5C40" w:rsidRPr="00482FE1">
        <w:rPr>
          <w:rFonts w:hint="eastAsia"/>
          <w:color w:val="000000"/>
        </w:rPr>
        <w:t>负债清偿情况</w:t>
      </w:r>
    </w:p>
    <w:p w:rsidR="00AD5C40" w:rsidRPr="00482FE1" w:rsidRDefault="00CC404B" w:rsidP="00CC404B">
      <w:pPr>
        <w:pStyle w:val="Default"/>
        <w:spacing w:line="360" w:lineRule="auto"/>
        <w:ind w:firstLineChars="200" w:firstLine="480"/>
        <w:rPr>
          <w:rFonts w:ascii="宋体" w:eastAsia="宋体" w:hAnsi="宋体" w:cs="宋体"/>
        </w:rPr>
      </w:pPr>
      <w:r w:rsidRPr="00482FE1">
        <w:rPr>
          <w:rFonts w:ascii="宋体" w:eastAsia="宋体" w:hAnsi="宋体" w:cs="宋体" w:hint="eastAsia"/>
        </w:rPr>
        <w:t>（1）</w:t>
      </w:r>
      <w:r w:rsidR="0016537C" w:rsidRPr="00482FE1">
        <w:rPr>
          <w:rFonts w:ascii="宋体" w:eastAsia="宋体" w:hAnsi="宋体" w:cs="宋体" w:hint="eastAsia"/>
        </w:rPr>
        <w:t>本基金最后运作日应付管理人报酬为人民币</w:t>
      </w:r>
      <w:r w:rsidR="00115D2C" w:rsidRPr="00115D2C">
        <w:rPr>
          <w:rFonts w:ascii="宋体" w:eastAsia="宋体" w:hAnsi="宋体" w:cs="宋体"/>
        </w:rPr>
        <w:t>19,731.17</w:t>
      </w:r>
      <w:r w:rsidR="00046226">
        <w:rPr>
          <w:rFonts w:ascii="宋体" w:eastAsia="宋体" w:hAnsi="宋体" w:cs="宋体" w:hint="eastAsia"/>
        </w:rPr>
        <w:t>元，该款项</w:t>
      </w:r>
      <w:r w:rsidR="00800A5F">
        <w:rPr>
          <w:rFonts w:ascii="宋体" w:eastAsia="宋体" w:hAnsi="宋体" w:cs="宋体" w:hint="eastAsia"/>
        </w:rPr>
        <w:t>已</w:t>
      </w:r>
      <w:r w:rsidR="0016537C" w:rsidRPr="00482FE1">
        <w:rPr>
          <w:rFonts w:ascii="宋体" w:eastAsia="宋体" w:hAnsi="宋体" w:cs="宋体" w:hint="eastAsia"/>
        </w:rPr>
        <w:t>于</w:t>
      </w:r>
      <w:r w:rsidR="00800A5F" w:rsidRPr="00482FE1">
        <w:rPr>
          <w:rFonts w:ascii="宋体" w:eastAsia="宋体" w:hAnsi="宋体" w:cs="宋体"/>
        </w:rPr>
        <w:t>20</w:t>
      </w:r>
      <w:r w:rsidR="00800A5F">
        <w:rPr>
          <w:rFonts w:ascii="宋体" w:eastAsia="宋体" w:hAnsi="宋体" w:cs="宋体"/>
        </w:rPr>
        <w:t>21</w:t>
      </w:r>
      <w:r w:rsidR="00800A5F" w:rsidRPr="00482FE1">
        <w:rPr>
          <w:rFonts w:ascii="宋体" w:eastAsia="宋体" w:hAnsi="宋体" w:cs="宋体"/>
        </w:rPr>
        <w:t>年</w:t>
      </w:r>
      <w:r w:rsidR="00800A5F">
        <w:rPr>
          <w:rFonts w:ascii="宋体" w:eastAsia="宋体" w:hAnsi="宋体" w:cs="宋体"/>
        </w:rPr>
        <w:t>4</w:t>
      </w:r>
      <w:r w:rsidR="0016537C" w:rsidRPr="00482FE1">
        <w:rPr>
          <w:rFonts w:ascii="宋体" w:eastAsia="宋体" w:hAnsi="宋体" w:cs="宋体"/>
        </w:rPr>
        <w:t>月</w:t>
      </w:r>
      <w:r w:rsidR="00800A5F">
        <w:rPr>
          <w:rFonts w:ascii="宋体" w:eastAsia="宋体" w:hAnsi="宋体" w:cs="宋体"/>
        </w:rPr>
        <w:t>2</w:t>
      </w:r>
      <w:r w:rsidR="0016537C" w:rsidRPr="00482FE1">
        <w:rPr>
          <w:rFonts w:ascii="宋体" w:eastAsia="宋体" w:hAnsi="宋体" w:cs="宋体"/>
        </w:rPr>
        <w:t>日</w:t>
      </w:r>
      <w:r w:rsidR="0016537C" w:rsidRPr="00482FE1">
        <w:rPr>
          <w:rFonts w:ascii="宋体" w:eastAsia="宋体" w:hAnsi="宋体" w:cs="宋体" w:hint="eastAsia"/>
        </w:rPr>
        <w:t>支付。</w:t>
      </w:r>
    </w:p>
    <w:p w:rsidR="00FD6653" w:rsidRPr="00482FE1" w:rsidRDefault="00AD5C40" w:rsidP="00737292">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w:t>
      </w:r>
      <w:r w:rsidR="005F3F6A" w:rsidRPr="00482FE1">
        <w:rPr>
          <w:rFonts w:hint="eastAsia"/>
          <w:color w:val="000000"/>
        </w:rPr>
        <w:t>2</w:t>
      </w:r>
      <w:r w:rsidRPr="00482FE1">
        <w:rPr>
          <w:rFonts w:hint="eastAsia"/>
          <w:color w:val="000000"/>
        </w:rPr>
        <w:t>）</w:t>
      </w:r>
      <w:r w:rsidR="0016537C" w:rsidRPr="00482FE1">
        <w:rPr>
          <w:rFonts w:hint="eastAsia"/>
          <w:color w:val="000000"/>
        </w:rPr>
        <w:t>本基金最后运作日应付托管费为人民币</w:t>
      </w:r>
      <w:r w:rsidR="00986899" w:rsidRPr="00986899">
        <w:rPr>
          <w:color w:val="000000"/>
        </w:rPr>
        <w:t>3,664.37</w:t>
      </w:r>
      <w:r w:rsidR="00046226">
        <w:rPr>
          <w:rFonts w:hint="eastAsia"/>
          <w:color w:val="000000"/>
        </w:rPr>
        <w:t>元，该款项</w:t>
      </w:r>
      <w:r w:rsidR="00CF331F">
        <w:rPr>
          <w:rFonts w:hint="eastAsia"/>
          <w:color w:val="000000"/>
        </w:rPr>
        <w:t>已</w:t>
      </w:r>
      <w:r w:rsidR="0016537C" w:rsidRPr="00482FE1">
        <w:rPr>
          <w:rFonts w:hint="eastAsia"/>
          <w:color w:val="000000"/>
        </w:rPr>
        <w:t>于</w:t>
      </w:r>
      <w:r w:rsidR="00CF331F" w:rsidRPr="00482FE1">
        <w:t>20</w:t>
      </w:r>
      <w:r w:rsidR="00CF331F">
        <w:t>21</w:t>
      </w:r>
      <w:r w:rsidR="00CF331F" w:rsidRPr="00482FE1">
        <w:t>年</w:t>
      </w:r>
      <w:r w:rsidR="00CF331F">
        <w:t>4</w:t>
      </w:r>
      <w:r w:rsidR="00046226" w:rsidRPr="00482FE1">
        <w:t>月</w:t>
      </w:r>
      <w:r w:rsidR="00CF331F">
        <w:t>2</w:t>
      </w:r>
      <w:r w:rsidR="00046226" w:rsidRPr="00482FE1">
        <w:t>日</w:t>
      </w:r>
      <w:r w:rsidR="0016537C" w:rsidRPr="00482FE1">
        <w:rPr>
          <w:rFonts w:hint="eastAsia"/>
          <w:color w:val="000000"/>
        </w:rPr>
        <w:t>支付。</w:t>
      </w:r>
    </w:p>
    <w:p w:rsidR="00CC404B" w:rsidRDefault="00AD5C40" w:rsidP="002822F1">
      <w:pPr>
        <w:pStyle w:val="a3"/>
        <w:adjustRightInd w:val="0"/>
        <w:snapToGrid w:val="0"/>
        <w:spacing w:before="0" w:beforeAutospacing="0" w:after="0" w:afterAutospacing="0" w:line="360" w:lineRule="auto"/>
        <w:ind w:firstLine="420"/>
      </w:pPr>
      <w:r w:rsidRPr="00482FE1">
        <w:rPr>
          <w:rFonts w:hint="eastAsia"/>
        </w:rPr>
        <w:t>（</w:t>
      </w:r>
      <w:r w:rsidR="00046C45">
        <w:t>3</w:t>
      </w:r>
      <w:r w:rsidRPr="00482FE1">
        <w:rPr>
          <w:rFonts w:hint="eastAsia"/>
        </w:rPr>
        <w:t>）</w:t>
      </w:r>
      <w:r w:rsidR="0016537C" w:rsidRPr="00482FE1">
        <w:rPr>
          <w:rFonts w:hint="eastAsia"/>
        </w:rPr>
        <w:t>本基金最后运作日应付赎回款为人民币</w:t>
      </w:r>
      <w:r w:rsidR="00404891" w:rsidRPr="00404891">
        <w:t>6,788,800.82</w:t>
      </w:r>
      <w:r w:rsidR="0016537C" w:rsidRPr="00482FE1">
        <w:rPr>
          <w:rFonts w:hint="eastAsia"/>
        </w:rPr>
        <w:t>元，该款项已于</w:t>
      </w:r>
      <w:r w:rsidR="00046226">
        <w:rPr>
          <w:color w:val="000000"/>
        </w:rPr>
        <w:t>202</w:t>
      </w:r>
      <w:r w:rsidR="00F95756">
        <w:rPr>
          <w:rFonts w:hint="eastAsia"/>
          <w:color w:val="000000"/>
        </w:rPr>
        <w:t>1</w:t>
      </w:r>
      <w:r w:rsidR="005457DA" w:rsidRPr="00482FE1">
        <w:rPr>
          <w:color w:val="000000"/>
        </w:rPr>
        <w:t>年</w:t>
      </w:r>
      <w:r w:rsidR="00F95756">
        <w:t>3</w:t>
      </w:r>
      <w:r w:rsidR="0016537C" w:rsidRPr="00482FE1">
        <w:rPr>
          <w:color w:val="000000"/>
        </w:rPr>
        <w:t>月</w:t>
      </w:r>
      <w:r w:rsidR="00F95756">
        <w:t>22</w:t>
      </w:r>
      <w:r w:rsidR="0016537C" w:rsidRPr="00482FE1">
        <w:rPr>
          <w:color w:val="000000"/>
        </w:rPr>
        <w:t>日</w:t>
      </w:r>
      <w:r w:rsidR="0016537C" w:rsidRPr="00482FE1">
        <w:rPr>
          <w:rFonts w:hint="eastAsia"/>
        </w:rPr>
        <w:t>支付</w:t>
      </w:r>
      <w:r w:rsidR="00CC404B" w:rsidRPr="00482FE1">
        <w:t>。</w:t>
      </w:r>
    </w:p>
    <w:p w:rsidR="00224CE7" w:rsidRDefault="00235BFE" w:rsidP="003D7D55">
      <w:pPr>
        <w:pStyle w:val="Default"/>
        <w:spacing w:line="360" w:lineRule="auto"/>
        <w:ind w:firstLineChars="200" w:firstLine="480"/>
      </w:pPr>
      <w:r w:rsidRPr="00482FE1">
        <w:rPr>
          <w:rFonts w:ascii="宋体" w:eastAsia="宋体" w:hAnsi="宋体" w:cs="宋体" w:hint="eastAsia"/>
          <w:color w:val="auto"/>
          <w:szCs w:val="21"/>
        </w:rPr>
        <w:t>（</w:t>
      </w:r>
      <w:r w:rsidR="00400A3B">
        <w:rPr>
          <w:rFonts w:ascii="宋体" w:eastAsia="宋体" w:hAnsi="宋体" w:cs="宋体" w:hint="eastAsia"/>
          <w:color w:val="auto"/>
          <w:szCs w:val="21"/>
        </w:rPr>
        <w:t>4</w:t>
      </w:r>
      <w:r w:rsidRPr="00482FE1">
        <w:rPr>
          <w:rFonts w:ascii="宋体" w:eastAsia="宋体" w:hAnsi="宋体" w:cs="宋体" w:hint="eastAsia"/>
          <w:color w:val="auto"/>
          <w:szCs w:val="21"/>
        </w:rPr>
        <w:t>）</w:t>
      </w:r>
      <w:r w:rsidR="0016537C" w:rsidRPr="00482FE1">
        <w:rPr>
          <w:rFonts w:ascii="宋体" w:eastAsia="宋体" w:hAnsi="宋体" w:cs="宋体" w:hint="eastAsia"/>
          <w:color w:val="auto"/>
          <w:szCs w:val="21"/>
        </w:rPr>
        <w:t>本基金最后运作日应交税费为人民币</w:t>
      </w:r>
      <w:r w:rsidR="009C29D8" w:rsidRPr="009C29D8">
        <w:rPr>
          <w:rFonts w:ascii="宋体" w:eastAsia="宋体" w:hAnsi="宋体" w:cs="宋体"/>
          <w:color w:val="auto"/>
          <w:szCs w:val="21"/>
        </w:rPr>
        <w:t>2,820.06</w:t>
      </w:r>
      <w:r w:rsidR="0016537C" w:rsidRPr="00482FE1">
        <w:rPr>
          <w:rFonts w:ascii="宋体" w:eastAsia="宋体" w:hAnsi="宋体" w:cs="宋体" w:hint="eastAsia"/>
          <w:color w:val="auto"/>
          <w:szCs w:val="21"/>
        </w:rPr>
        <w:t>元</w:t>
      </w:r>
      <w:r w:rsidR="00B35748">
        <w:rPr>
          <w:rFonts w:ascii="宋体" w:eastAsia="宋体" w:hAnsi="宋体" w:cs="宋体" w:hint="eastAsia"/>
          <w:color w:val="auto"/>
          <w:szCs w:val="21"/>
        </w:rPr>
        <w:t>，</w:t>
      </w:r>
      <w:r w:rsidR="00B35748">
        <w:rPr>
          <w:rFonts w:hint="eastAsia"/>
        </w:rPr>
        <w:t>该款项将</w:t>
      </w:r>
      <w:r w:rsidR="00B35748" w:rsidRPr="00737292">
        <w:rPr>
          <w:rFonts w:hint="eastAsia"/>
        </w:rPr>
        <w:t>于</w:t>
      </w:r>
      <w:r w:rsidR="00B35748" w:rsidRPr="00737292">
        <w:t>2021</w:t>
      </w:r>
      <w:r w:rsidR="00B35748" w:rsidRPr="00737292">
        <w:t>年</w:t>
      </w:r>
      <w:r w:rsidR="00B35748" w:rsidRPr="00737292">
        <w:t>4</w:t>
      </w:r>
      <w:r w:rsidR="00B35748" w:rsidRPr="00737292">
        <w:t>月</w:t>
      </w:r>
      <w:r w:rsidR="00B35748" w:rsidRPr="00737292">
        <w:t>8</w:t>
      </w:r>
      <w:r w:rsidR="00B35748" w:rsidRPr="00737292">
        <w:t>日</w:t>
      </w:r>
      <w:r w:rsidR="00B35748" w:rsidRPr="00737292">
        <w:rPr>
          <w:rFonts w:hint="eastAsia"/>
        </w:rPr>
        <w:t>支付。</w:t>
      </w:r>
    </w:p>
    <w:p w:rsidR="00046226" w:rsidRPr="00482FE1" w:rsidRDefault="00046226" w:rsidP="003D7D55">
      <w:pPr>
        <w:pStyle w:val="Default"/>
        <w:spacing w:line="360" w:lineRule="auto"/>
        <w:ind w:firstLineChars="200" w:firstLine="480"/>
        <w:rPr>
          <w:rFonts w:ascii="宋体" w:eastAsia="宋体" w:hAnsi="宋体" w:cs="宋体"/>
        </w:rPr>
      </w:pPr>
      <w:r w:rsidRPr="00737292">
        <w:rPr>
          <w:rFonts w:ascii="宋体" w:eastAsia="宋体" w:hAnsi="宋体" w:cs="宋体" w:hint="eastAsia"/>
          <w:color w:val="auto"/>
          <w:szCs w:val="21"/>
        </w:rPr>
        <w:t>（</w:t>
      </w:r>
      <w:r w:rsidR="00400A3B">
        <w:rPr>
          <w:rFonts w:ascii="宋体" w:eastAsia="宋体" w:hAnsi="宋体" w:cs="宋体" w:hint="eastAsia"/>
          <w:color w:val="auto"/>
          <w:szCs w:val="21"/>
        </w:rPr>
        <w:t>5</w:t>
      </w:r>
      <w:r w:rsidRPr="00737292">
        <w:rPr>
          <w:rFonts w:ascii="宋体" w:eastAsia="宋体" w:hAnsi="宋体" w:cs="宋体" w:hint="eastAsia"/>
          <w:color w:val="auto"/>
          <w:szCs w:val="21"/>
        </w:rPr>
        <w:t>）</w:t>
      </w:r>
      <w:r w:rsidR="00692192" w:rsidRPr="00737292">
        <w:rPr>
          <w:rFonts w:ascii="宋体" w:eastAsia="宋体" w:hAnsi="宋体" w:cs="宋体" w:hint="eastAsia"/>
          <w:color w:val="auto"/>
          <w:szCs w:val="21"/>
        </w:rPr>
        <w:t>本基金最后运作日</w:t>
      </w:r>
      <w:r w:rsidR="00692192" w:rsidRPr="00FC30A3">
        <w:rPr>
          <w:rFonts w:ascii="宋体" w:eastAsia="宋体" w:hAnsi="宋体" w:cs="宋体" w:hint="eastAsia"/>
          <w:color w:val="auto"/>
          <w:szCs w:val="21"/>
        </w:rPr>
        <w:t>应付</w:t>
      </w:r>
      <w:r w:rsidR="00692192">
        <w:rPr>
          <w:rFonts w:ascii="宋体" w:eastAsia="宋体" w:hAnsi="宋体" w:cs="宋体" w:hint="eastAsia"/>
          <w:color w:val="auto"/>
          <w:szCs w:val="21"/>
        </w:rPr>
        <w:t>银行间交易费用</w:t>
      </w:r>
      <w:r w:rsidR="0007755B" w:rsidRPr="0007755B">
        <w:rPr>
          <w:rFonts w:ascii="宋体" w:eastAsia="宋体" w:hAnsi="宋体" w:cs="宋体"/>
          <w:color w:val="auto"/>
          <w:szCs w:val="21"/>
        </w:rPr>
        <w:t>10,027.42</w:t>
      </w:r>
      <w:r w:rsidR="00692192">
        <w:rPr>
          <w:rFonts w:ascii="宋体" w:eastAsia="宋体" w:hAnsi="宋体" w:cs="宋体" w:hint="eastAsia"/>
          <w:color w:val="auto"/>
          <w:szCs w:val="21"/>
        </w:rPr>
        <w:t>元</w:t>
      </w:r>
      <w:r w:rsidR="00692192">
        <w:rPr>
          <w:rFonts w:ascii="宋体" w:eastAsia="宋体" w:hAnsi="宋体" w:cs="宋体"/>
          <w:color w:val="auto"/>
          <w:szCs w:val="21"/>
        </w:rPr>
        <w:t>，该款项</w:t>
      </w:r>
      <w:r w:rsidR="00384B55">
        <w:rPr>
          <w:rFonts w:ascii="宋体" w:eastAsia="宋体" w:hAnsi="宋体" w:cs="宋体" w:hint="eastAsia"/>
          <w:color w:val="auto"/>
          <w:szCs w:val="21"/>
        </w:rPr>
        <w:t>分别</w:t>
      </w:r>
      <w:r w:rsidR="00692192">
        <w:rPr>
          <w:rFonts w:ascii="宋体" w:eastAsia="宋体" w:hAnsi="宋体" w:cs="宋体" w:hint="eastAsia"/>
          <w:color w:val="auto"/>
          <w:szCs w:val="21"/>
        </w:rPr>
        <w:t>于</w:t>
      </w:r>
      <w:r w:rsidR="0007755B">
        <w:rPr>
          <w:rFonts w:ascii="宋体" w:eastAsia="宋体" w:hAnsi="宋体" w:cs="宋体" w:hint="eastAsia"/>
          <w:color w:val="auto"/>
          <w:szCs w:val="21"/>
        </w:rPr>
        <w:t>202</w:t>
      </w:r>
      <w:r w:rsidR="0007755B">
        <w:rPr>
          <w:rFonts w:ascii="宋体" w:eastAsia="宋体" w:hAnsi="宋体" w:cs="宋体"/>
          <w:color w:val="auto"/>
          <w:szCs w:val="21"/>
        </w:rPr>
        <w:t>1</w:t>
      </w:r>
      <w:r w:rsidR="00692192">
        <w:rPr>
          <w:rFonts w:ascii="宋体" w:eastAsia="宋体" w:hAnsi="宋体" w:cs="宋体" w:hint="eastAsia"/>
          <w:color w:val="auto"/>
          <w:szCs w:val="21"/>
        </w:rPr>
        <w:t>年</w:t>
      </w:r>
      <w:r w:rsidR="0007755B">
        <w:rPr>
          <w:rFonts w:ascii="宋体" w:eastAsia="宋体" w:hAnsi="宋体" w:cs="宋体"/>
          <w:color w:val="auto"/>
          <w:szCs w:val="21"/>
        </w:rPr>
        <w:t>3</w:t>
      </w:r>
      <w:r w:rsidR="00692192">
        <w:rPr>
          <w:rFonts w:ascii="宋体" w:eastAsia="宋体" w:hAnsi="宋体" w:cs="宋体" w:hint="eastAsia"/>
          <w:color w:val="auto"/>
          <w:szCs w:val="21"/>
        </w:rPr>
        <w:t>月</w:t>
      </w:r>
      <w:r w:rsidR="0007755B">
        <w:rPr>
          <w:rFonts w:ascii="宋体" w:eastAsia="宋体" w:hAnsi="宋体" w:cs="宋体"/>
          <w:color w:val="auto"/>
          <w:szCs w:val="21"/>
        </w:rPr>
        <w:t>31</w:t>
      </w:r>
      <w:r w:rsidR="00692192">
        <w:rPr>
          <w:rFonts w:ascii="宋体" w:eastAsia="宋体" w:hAnsi="宋体" w:cs="宋体" w:hint="eastAsia"/>
          <w:color w:val="auto"/>
          <w:szCs w:val="21"/>
        </w:rPr>
        <w:t>日</w:t>
      </w:r>
      <w:r w:rsidR="00692192">
        <w:rPr>
          <w:rFonts w:ascii="宋体" w:eastAsia="宋体" w:hAnsi="宋体" w:cs="宋体"/>
          <w:color w:val="auto"/>
          <w:szCs w:val="21"/>
        </w:rPr>
        <w:t>支付</w:t>
      </w:r>
      <w:r w:rsidR="00D750AE" w:rsidRPr="00D750AE">
        <w:rPr>
          <w:rFonts w:ascii="宋体" w:eastAsia="宋体" w:hAnsi="宋体" w:cs="宋体"/>
          <w:color w:val="auto"/>
          <w:szCs w:val="21"/>
        </w:rPr>
        <w:t>1,077.42</w:t>
      </w:r>
      <w:r w:rsidR="00D750AE">
        <w:rPr>
          <w:rFonts w:ascii="宋体" w:eastAsia="宋体" w:hAnsi="宋体" w:cs="宋体" w:hint="eastAsia"/>
          <w:color w:val="auto"/>
          <w:szCs w:val="21"/>
        </w:rPr>
        <w:t>，</w:t>
      </w:r>
      <w:r w:rsidR="00384B55">
        <w:rPr>
          <w:rFonts w:ascii="宋体" w:eastAsia="宋体" w:hAnsi="宋体" w:cs="宋体" w:hint="eastAsia"/>
          <w:color w:val="auto"/>
          <w:szCs w:val="21"/>
        </w:rPr>
        <w:t xml:space="preserve"> </w:t>
      </w:r>
      <w:r w:rsidR="00D750AE">
        <w:rPr>
          <w:rFonts w:ascii="宋体" w:eastAsia="宋体" w:hAnsi="宋体" w:cs="宋体" w:hint="eastAsia"/>
          <w:color w:val="auto"/>
          <w:szCs w:val="21"/>
        </w:rPr>
        <w:t>202</w:t>
      </w:r>
      <w:r w:rsidR="00D750AE">
        <w:rPr>
          <w:rFonts w:ascii="宋体" w:eastAsia="宋体" w:hAnsi="宋体" w:cs="宋体"/>
          <w:color w:val="auto"/>
          <w:szCs w:val="21"/>
        </w:rPr>
        <w:t>1</w:t>
      </w:r>
      <w:r w:rsidR="00D750AE">
        <w:rPr>
          <w:rFonts w:ascii="宋体" w:eastAsia="宋体" w:hAnsi="宋体" w:cs="宋体" w:hint="eastAsia"/>
          <w:color w:val="auto"/>
          <w:szCs w:val="21"/>
        </w:rPr>
        <w:t>年</w:t>
      </w:r>
      <w:r w:rsidR="00D750AE">
        <w:rPr>
          <w:rFonts w:ascii="宋体" w:eastAsia="宋体" w:hAnsi="宋体" w:cs="宋体"/>
          <w:color w:val="auto"/>
          <w:szCs w:val="21"/>
        </w:rPr>
        <w:t>4</w:t>
      </w:r>
      <w:r w:rsidR="00D750AE">
        <w:rPr>
          <w:rFonts w:ascii="宋体" w:eastAsia="宋体" w:hAnsi="宋体" w:cs="宋体" w:hint="eastAsia"/>
          <w:color w:val="auto"/>
          <w:szCs w:val="21"/>
        </w:rPr>
        <w:t>月</w:t>
      </w:r>
      <w:r w:rsidR="00384B55">
        <w:rPr>
          <w:rFonts w:ascii="宋体" w:eastAsia="宋体" w:hAnsi="宋体" w:cs="宋体"/>
          <w:color w:val="auto"/>
          <w:szCs w:val="21"/>
        </w:rPr>
        <w:t>7</w:t>
      </w:r>
      <w:r w:rsidR="00D750AE">
        <w:rPr>
          <w:rFonts w:ascii="宋体" w:eastAsia="宋体" w:hAnsi="宋体" w:cs="宋体" w:hint="eastAsia"/>
          <w:color w:val="auto"/>
          <w:szCs w:val="21"/>
        </w:rPr>
        <w:t>日</w:t>
      </w:r>
      <w:r w:rsidR="00D750AE">
        <w:rPr>
          <w:rFonts w:ascii="宋体" w:eastAsia="宋体" w:hAnsi="宋体" w:cs="宋体"/>
          <w:color w:val="auto"/>
          <w:szCs w:val="21"/>
        </w:rPr>
        <w:t>支付</w:t>
      </w:r>
      <w:r w:rsidR="00384B55">
        <w:rPr>
          <w:rFonts w:ascii="宋体" w:eastAsia="宋体" w:hAnsi="宋体" w:cs="宋体" w:hint="eastAsia"/>
          <w:color w:val="auto"/>
          <w:szCs w:val="21"/>
        </w:rPr>
        <w:t>8</w:t>
      </w:r>
      <w:r w:rsidR="00384B55">
        <w:rPr>
          <w:rFonts w:ascii="宋体" w:eastAsia="宋体" w:hAnsi="宋体" w:cs="宋体"/>
          <w:color w:val="auto"/>
          <w:szCs w:val="21"/>
        </w:rPr>
        <w:t>,950</w:t>
      </w:r>
      <w:r w:rsidR="00384B55">
        <w:rPr>
          <w:rFonts w:ascii="宋体" w:eastAsia="宋体" w:hAnsi="宋体" w:cs="宋体" w:hint="eastAsia"/>
          <w:color w:val="auto"/>
          <w:szCs w:val="21"/>
        </w:rPr>
        <w:t>元</w:t>
      </w:r>
      <w:r w:rsidR="00692192">
        <w:rPr>
          <w:rFonts w:ascii="宋体" w:eastAsia="宋体" w:hAnsi="宋体" w:cs="宋体"/>
          <w:color w:val="auto"/>
          <w:szCs w:val="21"/>
        </w:rPr>
        <w:t>。</w:t>
      </w:r>
    </w:p>
    <w:p w:rsidR="00D171DD" w:rsidRPr="00482FE1" w:rsidRDefault="00D171DD" w:rsidP="00F12B07">
      <w:pPr>
        <w:pStyle w:val="Default"/>
        <w:spacing w:line="360" w:lineRule="auto"/>
        <w:ind w:firstLineChars="200" w:firstLine="480"/>
        <w:rPr>
          <w:rFonts w:ascii="宋体" w:eastAsia="宋体" w:hAnsi="宋体" w:cs="宋体"/>
          <w:color w:val="auto"/>
          <w:szCs w:val="21"/>
        </w:rPr>
      </w:pPr>
      <w:r w:rsidRPr="00482FE1">
        <w:rPr>
          <w:rFonts w:ascii="宋体" w:eastAsia="宋体" w:hAnsi="宋体" w:cs="宋体" w:hint="eastAsia"/>
        </w:rPr>
        <w:t>（</w:t>
      </w:r>
      <w:r w:rsidR="00400A3B">
        <w:rPr>
          <w:rFonts w:ascii="宋体" w:eastAsia="宋体" w:hAnsi="宋体" w:cs="宋体" w:hint="eastAsia"/>
          <w:color w:val="auto"/>
          <w:szCs w:val="21"/>
        </w:rPr>
        <w:t>6</w:t>
      </w:r>
      <w:r w:rsidRPr="00482FE1">
        <w:rPr>
          <w:rFonts w:ascii="宋体" w:eastAsia="宋体" w:hAnsi="宋体" w:cs="宋体" w:hint="eastAsia"/>
          <w:color w:val="auto"/>
          <w:szCs w:val="21"/>
        </w:rPr>
        <w:t>）本基金最后运作日其他负债为人民币</w:t>
      </w:r>
      <w:r w:rsidR="00BD7456" w:rsidRPr="00BD7456">
        <w:rPr>
          <w:rFonts w:ascii="宋体" w:eastAsia="宋体" w:hAnsi="宋体" w:cs="宋体"/>
          <w:color w:val="auto"/>
          <w:szCs w:val="21"/>
        </w:rPr>
        <w:t>87,838.24</w:t>
      </w:r>
      <w:r w:rsidRPr="00482FE1">
        <w:rPr>
          <w:rFonts w:ascii="宋体" w:eastAsia="宋体" w:hAnsi="宋体" w:cs="宋体" w:hint="eastAsia"/>
          <w:color w:val="auto"/>
          <w:szCs w:val="21"/>
        </w:rPr>
        <w:t>元，包括应付审计费用人民币</w:t>
      </w:r>
      <w:r w:rsidR="00127DBD" w:rsidRPr="00127DBD">
        <w:rPr>
          <w:rFonts w:ascii="宋体" w:eastAsia="宋体" w:hAnsi="宋体" w:cs="宋体"/>
          <w:color w:val="auto"/>
          <w:szCs w:val="21"/>
        </w:rPr>
        <w:t>70,685.22</w:t>
      </w:r>
      <w:r w:rsidRPr="00482FE1">
        <w:rPr>
          <w:rFonts w:ascii="宋体" w:eastAsia="宋体" w:hAnsi="宋体" w:cs="宋体" w:hint="eastAsia"/>
          <w:color w:val="auto"/>
          <w:szCs w:val="21"/>
        </w:rPr>
        <w:t>元</w:t>
      </w:r>
      <w:r w:rsidR="00BD2E9B" w:rsidRPr="00482FE1">
        <w:rPr>
          <w:rFonts w:ascii="宋体" w:eastAsia="宋体" w:hAnsi="宋体" w:cs="宋体" w:hint="eastAsia"/>
          <w:color w:val="auto"/>
          <w:szCs w:val="21"/>
        </w:rPr>
        <w:t>、</w:t>
      </w:r>
      <w:r w:rsidRPr="00482FE1">
        <w:rPr>
          <w:rFonts w:ascii="宋体" w:eastAsia="宋体" w:hAnsi="宋体" w:cs="宋体" w:hint="eastAsia"/>
          <w:color w:val="auto"/>
          <w:szCs w:val="21"/>
        </w:rPr>
        <w:t>应付信息披露费人民币</w:t>
      </w:r>
      <w:r w:rsidR="00127DBD" w:rsidRPr="00127DBD">
        <w:rPr>
          <w:rFonts w:ascii="宋体" w:eastAsia="宋体" w:hAnsi="宋体" w:cs="宋体"/>
          <w:color w:val="auto"/>
          <w:szCs w:val="21"/>
        </w:rPr>
        <w:t>17,096.04</w:t>
      </w:r>
      <w:r w:rsidRPr="00482FE1">
        <w:rPr>
          <w:rFonts w:ascii="宋体" w:eastAsia="宋体" w:hAnsi="宋体" w:cs="宋体" w:hint="eastAsia"/>
          <w:color w:val="auto"/>
          <w:szCs w:val="21"/>
        </w:rPr>
        <w:t>元</w:t>
      </w:r>
      <w:r w:rsidR="0047693F">
        <w:rPr>
          <w:rFonts w:ascii="宋体" w:eastAsia="宋体" w:hAnsi="宋体" w:cs="宋体" w:hint="eastAsia"/>
          <w:color w:val="auto"/>
          <w:szCs w:val="21"/>
        </w:rPr>
        <w:t>以及应付赎回费5</w:t>
      </w:r>
      <w:r w:rsidR="0047693F">
        <w:rPr>
          <w:rFonts w:ascii="宋体" w:eastAsia="宋体" w:hAnsi="宋体" w:cs="宋体"/>
          <w:color w:val="auto"/>
          <w:szCs w:val="21"/>
        </w:rPr>
        <w:t>6.98</w:t>
      </w:r>
      <w:r w:rsidR="0047693F">
        <w:rPr>
          <w:rFonts w:ascii="宋体" w:eastAsia="宋体" w:hAnsi="宋体" w:cs="宋体" w:hint="eastAsia"/>
          <w:color w:val="auto"/>
          <w:szCs w:val="21"/>
        </w:rPr>
        <w:t>元</w:t>
      </w:r>
      <w:r w:rsidR="005457DA">
        <w:rPr>
          <w:rFonts w:ascii="宋体" w:eastAsia="宋体" w:hAnsi="宋体" w:cs="宋体"/>
          <w:color w:val="auto"/>
          <w:szCs w:val="21"/>
        </w:rPr>
        <w:t>。</w:t>
      </w:r>
      <w:r w:rsidR="00712EF7" w:rsidRPr="00482FE1">
        <w:rPr>
          <w:rFonts w:ascii="宋体" w:eastAsia="宋体" w:hAnsi="宋体" w:cs="宋体" w:hint="eastAsia"/>
          <w:szCs w:val="21"/>
        </w:rPr>
        <w:t>其中</w:t>
      </w:r>
      <w:r w:rsidR="0047693F" w:rsidRPr="0047693F">
        <w:rPr>
          <w:rFonts w:ascii="宋体" w:eastAsia="宋体" w:hAnsi="宋体" w:cs="宋体" w:hint="eastAsia"/>
          <w:szCs w:val="21"/>
        </w:rPr>
        <w:t>应付审计费</w:t>
      </w:r>
      <w:r w:rsidR="006B1144">
        <w:rPr>
          <w:rFonts w:ascii="宋体" w:eastAsia="宋体" w:hAnsi="宋体" w:cs="宋体" w:hint="eastAsia"/>
          <w:szCs w:val="21"/>
        </w:rPr>
        <w:t>将</w:t>
      </w:r>
      <w:r w:rsidR="0047693F" w:rsidRPr="0047693F">
        <w:rPr>
          <w:rFonts w:ascii="宋体" w:eastAsia="宋体" w:hAnsi="宋体" w:cs="宋体" w:hint="eastAsia"/>
          <w:szCs w:val="21"/>
        </w:rPr>
        <w:t>于2021年4月9日支付</w:t>
      </w:r>
      <w:r w:rsidR="0047693F">
        <w:rPr>
          <w:rFonts w:ascii="宋体" w:eastAsia="宋体" w:hAnsi="宋体" w:cs="宋体" w:hint="eastAsia"/>
          <w:szCs w:val="21"/>
        </w:rPr>
        <w:t>、应付</w:t>
      </w:r>
      <w:r w:rsidR="006D0860" w:rsidRPr="00482FE1">
        <w:rPr>
          <w:rFonts w:ascii="宋体" w:eastAsia="宋体" w:hAnsi="宋体" w:cs="宋体" w:hint="eastAsia"/>
          <w:szCs w:val="21"/>
        </w:rPr>
        <w:t>信</w:t>
      </w:r>
      <w:r w:rsidR="0047693F">
        <w:rPr>
          <w:rFonts w:ascii="宋体" w:eastAsia="宋体" w:hAnsi="宋体" w:cs="宋体" w:hint="eastAsia"/>
          <w:szCs w:val="21"/>
        </w:rPr>
        <w:t>息</w:t>
      </w:r>
      <w:r w:rsidR="006D0860" w:rsidRPr="00482FE1">
        <w:rPr>
          <w:rFonts w:ascii="宋体" w:eastAsia="宋体" w:hAnsi="宋体" w:cs="宋体" w:hint="eastAsia"/>
          <w:szCs w:val="21"/>
        </w:rPr>
        <w:t>披费</w:t>
      </w:r>
      <w:r w:rsidR="00712EF7" w:rsidRPr="00482FE1">
        <w:rPr>
          <w:rFonts w:ascii="宋体" w:eastAsia="宋体" w:hAnsi="宋体" w:cs="宋体" w:hint="eastAsia"/>
          <w:szCs w:val="21"/>
        </w:rPr>
        <w:t>已于</w:t>
      </w:r>
      <w:r w:rsidR="002504D5" w:rsidRPr="00482FE1">
        <w:rPr>
          <w:rFonts w:ascii="宋体" w:eastAsia="宋体" w:hAnsi="宋体" w:cs="宋体" w:hint="eastAsia"/>
          <w:szCs w:val="21"/>
        </w:rPr>
        <w:t>2</w:t>
      </w:r>
      <w:r w:rsidR="002504D5">
        <w:rPr>
          <w:rFonts w:ascii="宋体" w:eastAsia="宋体" w:hAnsi="宋体" w:cs="宋体"/>
          <w:szCs w:val="21"/>
        </w:rPr>
        <w:t>021</w:t>
      </w:r>
      <w:r w:rsidR="00712EF7" w:rsidRPr="00482FE1">
        <w:rPr>
          <w:rFonts w:ascii="宋体" w:eastAsia="宋体" w:hAnsi="宋体" w:cs="宋体" w:hint="eastAsia"/>
          <w:szCs w:val="21"/>
        </w:rPr>
        <w:t>年</w:t>
      </w:r>
      <w:r w:rsidR="002504D5">
        <w:rPr>
          <w:rFonts w:ascii="宋体" w:eastAsia="宋体" w:hAnsi="宋体" w:cs="宋体"/>
          <w:szCs w:val="21"/>
        </w:rPr>
        <w:t>3</w:t>
      </w:r>
      <w:r w:rsidR="00712EF7" w:rsidRPr="00482FE1">
        <w:rPr>
          <w:rFonts w:ascii="宋体" w:eastAsia="宋体" w:hAnsi="宋体" w:cs="宋体" w:hint="eastAsia"/>
          <w:szCs w:val="21"/>
        </w:rPr>
        <w:t>月</w:t>
      </w:r>
      <w:r w:rsidR="002504D5">
        <w:rPr>
          <w:rFonts w:ascii="宋体" w:eastAsia="宋体" w:hAnsi="宋体" w:cs="宋体"/>
          <w:szCs w:val="21"/>
        </w:rPr>
        <w:t>26</w:t>
      </w:r>
      <w:r w:rsidR="00712EF7" w:rsidRPr="00482FE1">
        <w:rPr>
          <w:rFonts w:ascii="宋体" w:eastAsia="宋体" w:hAnsi="宋体" w:cs="宋体" w:hint="eastAsia"/>
          <w:szCs w:val="21"/>
        </w:rPr>
        <w:t>日支付</w:t>
      </w:r>
      <w:r w:rsidR="00BD7456">
        <w:rPr>
          <w:rFonts w:ascii="宋体" w:eastAsia="宋体" w:hAnsi="宋体" w:cs="宋体" w:hint="eastAsia"/>
          <w:szCs w:val="21"/>
        </w:rPr>
        <w:t>、</w:t>
      </w:r>
      <w:r w:rsidR="0047693F">
        <w:rPr>
          <w:rFonts w:ascii="宋体" w:eastAsia="宋体" w:hAnsi="宋体" w:cs="宋体" w:hint="eastAsia"/>
          <w:color w:val="auto"/>
          <w:szCs w:val="21"/>
        </w:rPr>
        <w:t>应付赎回费</w:t>
      </w:r>
      <w:r w:rsidR="0047693F" w:rsidRPr="00482FE1">
        <w:rPr>
          <w:rFonts w:ascii="宋体" w:eastAsia="宋体" w:hAnsi="宋体" w:cs="宋体" w:hint="eastAsia"/>
          <w:szCs w:val="21"/>
        </w:rPr>
        <w:t>已于2</w:t>
      </w:r>
      <w:r w:rsidR="0047693F">
        <w:rPr>
          <w:rFonts w:ascii="宋体" w:eastAsia="宋体" w:hAnsi="宋体" w:cs="宋体"/>
          <w:szCs w:val="21"/>
        </w:rPr>
        <w:t>021</w:t>
      </w:r>
      <w:r w:rsidR="0047693F" w:rsidRPr="00482FE1">
        <w:rPr>
          <w:rFonts w:ascii="宋体" w:eastAsia="宋体" w:hAnsi="宋体" w:cs="宋体" w:hint="eastAsia"/>
          <w:szCs w:val="21"/>
        </w:rPr>
        <w:t>年</w:t>
      </w:r>
      <w:r w:rsidR="0047693F">
        <w:rPr>
          <w:rFonts w:ascii="宋体" w:eastAsia="宋体" w:hAnsi="宋体" w:cs="宋体"/>
          <w:szCs w:val="21"/>
        </w:rPr>
        <w:t>3</w:t>
      </w:r>
      <w:r w:rsidR="0047693F" w:rsidRPr="00482FE1">
        <w:rPr>
          <w:rFonts w:ascii="宋体" w:eastAsia="宋体" w:hAnsi="宋体" w:cs="宋体" w:hint="eastAsia"/>
          <w:szCs w:val="21"/>
        </w:rPr>
        <w:t>月</w:t>
      </w:r>
      <w:r w:rsidR="0047693F">
        <w:rPr>
          <w:rFonts w:ascii="宋体" w:eastAsia="宋体" w:hAnsi="宋体" w:cs="宋体"/>
          <w:szCs w:val="21"/>
        </w:rPr>
        <w:t>22</w:t>
      </w:r>
      <w:r w:rsidR="0047693F" w:rsidRPr="00482FE1">
        <w:rPr>
          <w:rFonts w:ascii="宋体" w:eastAsia="宋体" w:hAnsi="宋体" w:cs="宋体" w:hint="eastAsia"/>
          <w:szCs w:val="21"/>
        </w:rPr>
        <w:t>日支付</w:t>
      </w:r>
      <w:r w:rsidR="00692192">
        <w:rPr>
          <w:rFonts w:ascii="宋体" w:eastAsia="宋体" w:hAnsi="宋体" w:cs="宋体"/>
          <w:szCs w:val="21"/>
        </w:rPr>
        <w:t>。</w:t>
      </w:r>
    </w:p>
    <w:p w:rsidR="00D171DD" w:rsidRPr="002504D5" w:rsidRDefault="00D171DD" w:rsidP="00235BFE">
      <w:pPr>
        <w:pStyle w:val="Default"/>
        <w:spacing w:line="360" w:lineRule="auto"/>
        <w:ind w:firstLineChars="200" w:firstLine="480"/>
        <w:rPr>
          <w:rFonts w:ascii="宋体" w:eastAsia="宋体" w:hAnsi="宋体" w:cs="宋体"/>
          <w:color w:val="auto"/>
          <w:szCs w:val="21"/>
        </w:rPr>
      </w:pPr>
    </w:p>
    <w:p w:rsidR="00AD5C40" w:rsidRPr="00482FE1" w:rsidRDefault="00A53F81" w:rsidP="00B46532">
      <w:pPr>
        <w:pStyle w:val="a3"/>
        <w:adjustRightInd w:val="0"/>
        <w:snapToGrid w:val="0"/>
        <w:spacing w:before="0" w:beforeAutospacing="0" w:after="0" w:afterAutospacing="0" w:line="360" w:lineRule="auto"/>
        <w:ind w:firstLineChars="200" w:firstLine="480"/>
        <w:rPr>
          <w:color w:val="000000"/>
        </w:rPr>
      </w:pPr>
      <w:r w:rsidRPr="00482FE1">
        <w:rPr>
          <w:color w:val="000000"/>
        </w:rPr>
        <w:t>4</w:t>
      </w:r>
      <w:r w:rsidRPr="00482FE1">
        <w:rPr>
          <w:rFonts w:hint="eastAsia"/>
          <w:color w:val="000000"/>
        </w:rPr>
        <w:t>、</w:t>
      </w:r>
      <w:r w:rsidR="00AD5C40" w:rsidRPr="00482FE1">
        <w:rPr>
          <w:rFonts w:hint="eastAsia"/>
          <w:color w:val="000000"/>
        </w:rPr>
        <w:t>清算期间的清算损益情况</w:t>
      </w:r>
    </w:p>
    <w:p w:rsidR="00865FA1" w:rsidRPr="00482FE1" w:rsidDel="00865FA1" w:rsidRDefault="00AD5C40" w:rsidP="002822F1">
      <w:pPr>
        <w:pStyle w:val="a3"/>
        <w:adjustRightInd w:val="0"/>
        <w:snapToGrid w:val="0"/>
        <w:spacing w:before="0" w:beforeAutospacing="0" w:after="0" w:afterAutospacing="0" w:line="360" w:lineRule="auto"/>
        <w:ind w:firstLineChars="200" w:firstLine="480"/>
        <w:jc w:val="right"/>
        <w:rPr>
          <w:color w:val="000000"/>
        </w:rPr>
      </w:pPr>
      <w:r w:rsidRPr="00482FE1">
        <w:rPr>
          <w:rFonts w:hint="eastAsia"/>
          <w:color w:val="000000"/>
        </w:rPr>
        <w:t>单位：人民币元</w:t>
      </w:r>
    </w:p>
    <w:tbl>
      <w:tblPr>
        <w:tblW w:w="0" w:type="auto"/>
        <w:tblInd w:w="93" w:type="dxa"/>
        <w:tblLook w:val="04A0"/>
      </w:tblPr>
      <w:tblGrid>
        <w:gridCol w:w="5118"/>
        <w:gridCol w:w="3075"/>
      </w:tblGrid>
      <w:tr w:rsidR="00940326" w:rsidRPr="00482FE1" w:rsidTr="000A11C3">
        <w:trPr>
          <w:trHeight w:val="285"/>
        </w:trPr>
        <w:tc>
          <w:tcPr>
            <w:tcW w:w="51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0326" w:rsidRPr="00482FE1" w:rsidRDefault="00940326" w:rsidP="00940326">
            <w:pPr>
              <w:pStyle w:val="a3"/>
              <w:spacing w:before="0" w:beforeAutospacing="0" w:after="0" w:afterAutospacing="0"/>
              <w:jc w:val="center"/>
              <w:rPr>
                <w:rFonts w:cs="Arial"/>
                <w:b/>
              </w:rPr>
            </w:pPr>
            <w:r w:rsidRPr="00482FE1">
              <w:rPr>
                <w:rFonts w:cs="Arial" w:hint="eastAsia"/>
                <w:b/>
              </w:rPr>
              <w:t>项目</w:t>
            </w:r>
          </w:p>
        </w:tc>
        <w:tc>
          <w:tcPr>
            <w:tcW w:w="3075" w:type="dxa"/>
            <w:tcBorders>
              <w:top w:val="single" w:sz="8" w:space="0" w:color="auto"/>
              <w:left w:val="nil"/>
              <w:bottom w:val="nil"/>
              <w:right w:val="single" w:sz="8" w:space="0" w:color="auto"/>
            </w:tcBorders>
            <w:shd w:val="clear" w:color="auto" w:fill="auto"/>
            <w:hideMark/>
          </w:tcPr>
          <w:p w:rsidR="00940326" w:rsidRPr="00482FE1" w:rsidRDefault="00940326" w:rsidP="0010399E">
            <w:pPr>
              <w:pStyle w:val="a3"/>
              <w:spacing w:before="0" w:beforeAutospacing="0" w:after="0" w:afterAutospacing="0"/>
              <w:jc w:val="right"/>
              <w:rPr>
                <w:rFonts w:cs="Arial"/>
                <w:b/>
              </w:rPr>
            </w:pPr>
            <w:r w:rsidRPr="00482FE1">
              <w:rPr>
                <w:rFonts w:cs="Arial" w:hint="eastAsia"/>
                <w:b/>
              </w:rPr>
              <w:t>自</w:t>
            </w:r>
            <w:r w:rsidR="00FC30A3" w:rsidRPr="00482FE1">
              <w:rPr>
                <w:rFonts w:cs="Arial" w:hint="eastAsia"/>
                <w:b/>
              </w:rPr>
              <w:t>20</w:t>
            </w:r>
            <w:r w:rsidR="00FC30A3">
              <w:rPr>
                <w:rFonts w:cs="Arial"/>
                <w:b/>
              </w:rPr>
              <w:t>21</w:t>
            </w:r>
            <w:r w:rsidRPr="00482FE1">
              <w:rPr>
                <w:rFonts w:cs="Arial" w:hint="eastAsia"/>
                <w:b/>
              </w:rPr>
              <w:t>年</w:t>
            </w:r>
            <w:r w:rsidR="00FC30A3">
              <w:rPr>
                <w:rFonts w:cs="Arial"/>
                <w:b/>
              </w:rPr>
              <w:t>3</w:t>
            </w:r>
            <w:r w:rsidR="004303E9" w:rsidRPr="00482FE1">
              <w:rPr>
                <w:rFonts w:cs="Arial" w:hint="eastAsia"/>
                <w:b/>
              </w:rPr>
              <w:t>月</w:t>
            </w:r>
            <w:r w:rsidR="00FC30A3">
              <w:rPr>
                <w:rFonts w:cs="Arial"/>
                <w:b/>
              </w:rPr>
              <w:t>20</w:t>
            </w:r>
            <w:r w:rsidR="004303E9" w:rsidRPr="00482FE1">
              <w:rPr>
                <w:rFonts w:cs="Arial" w:hint="eastAsia"/>
                <w:b/>
              </w:rPr>
              <w:t>日</w:t>
            </w:r>
          </w:p>
        </w:tc>
      </w:tr>
      <w:tr w:rsidR="00940326" w:rsidRPr="00482FE1" w:rsidTr="000A11C3">
        <w:trPr>
          <w:trHeight w:val="315"/>
        </w:trPr>
        <w:tc>
          <w:tcPr>
            <w:tcW w:w="5118" w:type="dxa"/>
            <w:vMerge/>
            <w:tcBorders>
              <w:top w:val="single" w:sz="8" w:space="0" w:color="auto"/>
              <w:left w:val="single" w:sz="8" w:space="0" w:color="auto"/>
              <w:bottom w:val="single" w:sz="8" w:space="0" w:color="000000"/>
              <w:right w:val="single" w:sz="8" w:space="0" w:color="auto"/>
            </w:tcBorders>
            <w:vAlign w:val="center"/>
            <w:hideMark/>
          </w:tcPr>
          <w:p w:rsidR="00940326" w:rsidRPr="00482FE1" w:rsidRDefault="00940326" w:rsidP="00940326">
            <w:pPr>
              <w:pStyle w:val="a3"/>
              <w:spacing w:before="0" w:beforeAutospacing="0" w:after="0" w:afterAutospacing="0"/>
              <w:jc w:val="center"/>
              <w:rPr>
                <w:rFonts w:cs="Arial"/>
                <w:b/>
              </w:rPr>
            </w:pPr>
          </w:p>
        </w:tc>
        <w:tc>
          <w:tcPr>
            <w:tcW w:w="3075" w:type="dxa"/>
            <w:tcBorders>
              <w:top w:val="nil"/>
              <w:left w:val="nil"/>
              <w:bottom w:val="nil"/>
              <w:right w:val="single" w:sz="8" w:space="0" w:color="auto"/>
            </w:tcBorders>
            <w:shd w:val="clear" w:color="auto" w:fill="auto"/>
            <w:hideMark/>
          </w:tcPr>
          <w:p w:rsidR="00940326" w:rsidRPr="00482FE1" w:rsidRDefault="00940326" w:rsidP="0010399E">
            <w:pPr>
              <w:pStyle w:val="a3"/>
              <w:spacing w:before="0" w:beforeAutospacing="0" w:after="0" w:afterAutospacing="0"/>
              <w:jc w:val="right"/>
              <w:rPr>
                <w:rFonts w:cs="Arial"/>
                <w:b/>
              </w:rPr>
            </w:pPr>
            <w:r w:rsidRPr="00482FE1">
              <w:rPr>
                <w:rFonts w:cs="Arial" w:hint="eastAsia"/>
                <w:b/>
              </w:rPr>
              <w:t>至</w:t>
            </w:r>
            <w:r w:rsidR="00FC30A3">
              <w:rPr>
                <w:rFonts w:cs="Arial" w:hint="eastAsia"/>
                <w:b/>
              </w:rPr>
              <w:t>20</w:t>
            </w:r>
            <w:r w:rsidR="00FC30A3">
              <w:rPr>
                <w:rFonts w:cs="Arial"/>
                <w:b/>
              </w:rPr>
              <w:t>21</w:t>
            </w:r>
            <w:r w:rsidRPr="00482FE1">
              <w:rPr>
                <w:rFonts w:cs="Arial" w:hint="eastAsia"/>
                <w:b/>
              </w:rPr>
              <w:t>年</w:t>
            </w:r>
            <w:r w:rsidR="00FC30A3">
              <w:rPr>
                <w:rFonts w:cs="Arial"/>
                <w:b/>
              </w:rPr>
              <w:t>4</w:t>
            </w:r>
            <w:r w:rsidR="004303E9" w:rsidRPr="00482FE1">
              <w:rPr>
                <w:rFonts w:cs="Arial" w:hint="eastAsia"/>
                <w:b/>
              </w:rPr>
              <w:t>月</w:t>
            </w:r>
            <w:r w:rsidR="00FC30A3">
              <w:rPr>
                <w:rFonts w:cs="Arial"/>
                <w:b/>
              </w:rPr>
              <w:t>7</w:t>
            </w:r>
            <w:r w:rsidR="004303E9" w:rsidRPr="00482FE1">
              <w:rPr>
                <w:rFonts w:cs="Arial" w:hint="eastAsia"/>
                <w:b/>
              </w:rPr>
              <w:t>日</w:t>
            </w:r>
          </w:p>
        </w:tc>
      </w:tr>
      <w:tr w:rsidR="00940326" w:rsidRPr="00482FE1" w:rsidTr="000A11C3">
        <w:trPr>
          <w:trHeight w:val="53"/>
        </w:trPr>
        <w:tc>
          <w:tcPr>
            <w:tcW w:w="5118" w:type="dxa"/>
            <w:vMerge/>
            <w:tcBorders>
              <w:top w:val="single" w:sz="8" w:space="0" w:color="auto"/>
              <w:left w:val="single" w:sz="8" w:space="0" w:color="auto"/>
              <w:bottom w:val="single" w:sz="8" w:space="0" w:color="000000"/>
              <w:right w:val="single" w:sz="8" w:space="0" w:color="auto"/>
            </w:tcBorders>
            <w:vAlign w:val="center"/>
            <w:hideMark/>
          </w:tcPr>
          <w:p w:rsidR="00940326" w:rsidRPr="00482FE1" w:rsidRDefault="00940326" w:rsidP="00940326">
            <w:pPr>
              <w:pStyle w:val="a3"/>
              <w:spacing w:before="0" w:beforeAutospacing="0" w:after="0" w:afterAutospacing="0"/>
              <w:jc w:val="center"/>
              <w:rPr>
                <w:rFonts w:cs="Arial"/>
                <w:b/>
              </w:rPr>
            </w:pPr>
          </w:p>
        </w:tc>
        <w:tc>
          <w:tcPr>
            <w:tcW w:w="3075" w:type="dxa"/>
            <w:tcBorders>
              <w:top w:val="nil"/>
              <w:left w:val="nil"/>
              <w:bottom w:val="single" w:sz="4" w:space="0" w:color="auto"/>
              <w:right w:val="single" w:sz="8" w:space="0" w:color="auto"/>
            </w:tcBorders>
            <w:shd w:val="clear" w:color="auto" w:fill="auto"/>
            <w:hideMark/>
          </w:tcPr>
          <w:p w:rsidR="00940326" w:rsidRPr="00482FE1" w:rsidRDefault="00940326" w:rsidP="00940326">
            <w:pPr>
              <w:pStyle w:val="a3"/>
              <w:spacing w:before="0" w:beforeAutospacing="0" w:after="0" w:afterAutospacing="0"/>
              <w:jc w:val="right"/>
              <w:rPr>
                <w:rFonts w:cs="Arial"/>
                <w:b/>
              </w:rPr>
            </w:pPr>
            <w:r w:rsidRPr="00482FE1">
              <w:rPr>
                <w:rFonts w:cs="Arial" w:hint="eastAsia"/>
                <w:b/>
              </w:rPr>
              <w:t>止清算期间</w:t>
            </w:r>
          </w:p>
        </w:tc>
      </w:tr>
      <w:tr w:rsidR="00B63A20" w:rsidRPr="00482FE1" w:rsidTr="000A11C3">
        <w:trPr>
          <w:trHeight w:val="330"/>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B63A20" w:rsidRPr="00482FE1" w:rsidRDefault="00B63A20" w:rsidP="00940326">
            <w:pPr>
              <w:pStyle w:val="a3"/>
              <w:spacing w:before="0" w:beforeAutospacing="0" w:after="0" w:afterAutospacing="0"/>
              <w:rPr>
                <w:rFonts w:cs="Arial"/>
                <w:b/>
              </w:rPr>
            </w:pPr>
            <w:r w:rsidRPr="00482FE1">
              <w:rPr>
                <w:rFonts w:hint="eastAsia"/>
                <w:bCs/>
                <w:color w:val="000000"/>
              </w:rPr>
              <w:t>一、清算收益</w:t>
            </w:r>
          </w:p>
        </w:tc>
        <w:tc>
          <w:tcPr>
            <w:tcW w:w="3075" w:type="dxa"/>
            <w:tcBorders>
              <w:top w:val="single" w:sz="4" w:space="0" w:color="auto"/>
              <w:left w:val="nil"/>
              <w:bottom w:val="single" w:sz="8" w:space="0" w:color="auto"/>
              <w:right w:val="single" w:sz="8" w:space="0" w:color="auto"/>
            </w:tcBorders>
            <w:shd w:val="clear" w:color="auto" w:fill="auto"/>
            <w:vAlign w:val="center"/>
            <w:hideMark/>
          </w:tcPr>
          <w:p w:rsidR="00B63A20" w:rsidRPr="00482FE1" w:rsidRDefault="00B63A20" w:rsidP="00940326">
            <w:pPr>
              <w:pStyle w:val="a3"/>
              <w:spacing w:before="0" w:beforeAutospacing="0" w:after="0" w:afterAutospacing="0"/>
              <w:rPr>
                <w:rFonts w:cs="Arial"/>
              </w:rPr>
            </w:pPr>
          </w:p>
        </w:tc>
      </w:tr>
      <w:tr w:rsidR="00127EEF" w:rsidRPr="00482FE1" w:rsidTr="0061025E">
        <w:trPr>
          <w:trHeight w:val="315"/>
        </w:trPr>
        <w:tc>
          <w:tcPr>
            <w:tcW w:w="5118" w:type="dxa"/>
            <w:tcBorders>
              <w:top w:val="nil"/>
              <w:left w:val="single" w:sz="8" w:space="0" w:color="auto"/>
              <w:bottom w:val="single" w:sz="8" w:space="0" w:color="auto"/>
              <w:right w:val="single" w:sz="8" w:space="0" w:color="auto"/>
            </w:tcBorders>
            <w:shd w:val="clear" w:color="auto" w:fill="auto"/>
            <w:vAlign w:val="center"/>
            <w:hideMark/>
          </w:tcPr>
          <w:p w:rsidR="00127EEF" w:rsidRPr="00482FE1" w:rsidRDefault="00127EEF" w:rsidP="00127EEF">
            <w:pPr>
              <w:pStyle w:val="a3"/>
              <w:spacing w:before="0" w:beforeAutospacing="0" w:after="0" w:afterAutospacing="0"/>
              <w:rPr>
                <w:rFonts w:cs="Arial"/>
              </w:rPr>
            </w:pPr>
            <w:r w:rsidRPr="00482FE1">
              <w:rPr>
                <w:rFonts w:hint="eastAsia"/>
                <w:color w:val="000000"/>
              </w:rPr>
              <w:t>利息收入</w:t>
            </w:r>
          </w:p>
        </w:tc>
        <w:tc>
          <w:tcPr>
            <w:tcW w:w="3075" w:type="dxa"/>
            <w:tcBorders>
              <w:top w:val="nil"/>
              <w:left w:val="nil"/>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jc w:val="right"/>
              <w:rPr>
                <w:rFonts w:cs="Arial"/>
                <w:highlight w:val="yellow"/>
              </w:rPr>
            </w:pPr>
            <w:r>
              <w:rPr>
                <w:rFonts w:hint="eastAsia"/>
                <w:color w:val="000000"/>
              </w:rPr>
              <w:t>2357.57</w:t>
            </w:r>
          </w:p>
        </w:tc>
      </w:tr>
      <w:tr w:rsidR="00127EEF" w:rsidRPr="00482FE1" w:rsidTr="000A11C3">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rFonts w:cs="Arial"/>
              </w:rPr>
            </w:pPr>
            <w:r w:rsidRPr="00482FE1">
              <w:rPr>
                <w:rFonts w:hint="eastAsia"/>
                <w:color w:val="000000"/>
              </w:rPr>
              <w:t>处置交易性金融资产产生的收益</w:t>
            </w:r>
          </w:p>
        </w:tc>
        <w:tc>
          <w:tcPr>
            <w:tcW w:w="3075" w:type="dxa"/>
            <w:tcBorders>
              <w:top w:val="nil"/>
              <w:left w:val="nil"/>
              <w:bottom w:val="single" w:sz="8" w:space="0" w:color="auto"/>
              <w:right w:val="single" w:sz="8" w:space="0" w:color="auto"/>
            </w:tcBorders>
            <w:shd w:val="clear" w:color="auto" w:fill="auto"/>
            <w:vAlign w:val="center"/>
          </w:tcPr>
          <w:p w:rsidR="00127EEF" w:rsidRPr="00482FE1" w:rsidRDefault="00127EEF" w:rsidP="00127EEF">
            <w:pPr>
              <w:widowControl/>
              <w:jc w:val="right"/>
              <w:rPr>
                <w:rFonts w:ascii="宋体" w:eastAsia="宋体" w:hAnsi="宋体" w:cs="Arial"/>
                <w:b/>
                <w:kern w:val="0"/>
                <w:sz w:val="24"/>
                <w:szCs w:val="24"/>
                <w:highlight w:val="yellow"/>
              </w:rPr>
            </w:pPr>
            <w:r>
              <w:rPr>
                <w:rFonts w:hint="eastAsia"/>
                <w:color w:val="000000"/>
              </w:rPr>
              <w:t>514</w:t>
            </w:r>
          </w:p>
        </w:tc>
      </w:tr>
      <w:tr w:rsidR="00127EEF" w:rsidRPr="00482FE1" w:rsidTr="000A11C3">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color w:val="000000"/>
              </w:rPr>
            </w:pPr>
            <w:bookmarkStart w:id="1" w:name="RANGE!A12"/>
            <w:r w:rsidRPr="00482FE1">
              <w:rPr>
                <w:rFonts w:hint="eastAsia"/>
                <w:color w:val="000000"/>
              </w:rPr>
              <w:t>公允价值变动损益</w:t>
            </w:r>
            <w:bookmarkEnd w:id="1"/>
          </w:p>
        </w:tc>
        <w:tc>
          <w:tcPr>
            <w:tcW w:w="3075" w:type="dxa"/>
            <w:tcBorders>
              <w:top w:val="nil"/>
              <w:left w:val="nil"/>
              <w:bottom w:val="single" w:sz="8" w:space="0" w:color="auto"/>
              <w:right w:val="single" w:sz="8" w:space="0" w:color="auto"/>
            </w:tcBorders>
            <w:shd w:val="clear" w:color="auto" w:fill="auto"/>
            <w:vAlign w:val="center"/>
          </w:tcPr>
          <w:p w:rsidR="00127EEF" w:rsidRPr="00482FE1" w:rsidRDefault="00127EEF" w:rsidP="00127EEF">
            <w:pPr>
              <w:widowControl/>
              <w:jc w:val="right"/>
              <w:rPr>
                <w:rFonts w:ascii="宋体" w:eastAsia="宋体" w:hAnsi="宋体" w:cs="Arial"/>
                <w:color w:val="000000"/>
                <w:kern w:val="0"/>
                <w:sz w:val="24"/>
                <w:szCs w:val="24"/>
              </w:rPr>
            </w:pPr>
            <w:r>
              <w:rPr>
                <w:rFonts w:hint="eastAsia"/>
                <w:color w:val="000000"/>
              </w:rPr>
              <w:t>840</w:t>
            </w:r>
          </w:p>
        </w:tc>
      </w:tr>
      <w:tr w:rsidR="00127EEF" w:rsidRPr="00482FE1" w:rsidTr="006502B1">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rFonts w:cs="Arial"/>
                <w:b/>
              </w:rPr>
            </w:pPr>
            <w:r w:rsidRPr="00482FE1">
              <w:rPr>
                <w:rFonts w:cs="Arial" w:hint="eastAsia"/>
                <w:color w:val="000000"/>
              </w:rPr>
              <w:t>清算收入小计</w:t>
            </w:r>
          </w:p>
        </w:tc>
        <w:tc>
          <w:tcPr>
            <w:tcW w:w="3075" w:type="dxa"/>
            <w:tcBorders>
              <w:top w:val="nil"/>
              <w:left w:val="nil"/>
              <w:bottom w:val="single" w:sz="8" w:space="0" w:color="auto"/>
              <w:right w:val="single" w:sz="8" w:space="0" w:color="auto"/>
            </w:tcBorders>
            <w:shd w:val="clear" w:color="auto" w:fill="auto"/>
          </w:tcPr>
          <w:p w:rsidR="00127EEF" w:rsidRPr="00482FE1" w:rsidRDefault="00127EEF" w:rsidP="00127EEF">
            <w:pPr>
              <w:pStyle w:val="a3"/>
              <w:spacing w:before="0" w:beforeAutospacing="0" w:after="0" w:afterAutospacing="0"/>
              <w:jc w:val="right"/>
              <w:rPr>
                <w:rFonts w:cs="Arial"/>
                <w:highlight w:val="yellow"/>
              </w:rPr>
            </w:pPr>
            <w:r w:rsidRPr="00614C82">
              <w:t>3,711.57</w:t>
            </w:r>
          </w:p>
        </w:tc>
      </w:tr>
      <w:tr w:rsidR="00127EEF" w:rsidRPr="00482FE1" w:rsidTr="006502B1">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rFonts w:cs="Arial"/>
              </w:rPr>
            </w:pPr>
            <w:r>
              <w:rPr>
                <w:rFonts w:hint="eastAsia"/>
                <w:color w:val="000000"/>
              </w:rPr>
              <w:t>二、清算</w:t>
            </w:r>
            <w:r w:rsidRPr="00482FE1">
              <w:rPr>
                <w:rFonts w:hint="eastAsia"/>
                <w:color w:val="000000"/>
              </w:rPr>
              <w:t>费用</w:t>
            </w:r>
          </w:p>
        </w:tc>
        <w:tc>
          <w:tcPr>
            <w:tcW w:w="3075" w:type="dxa"/>
            <w:tcBorders>
              <w:top w:val="nil"/>
              <w:left w:val="nil"/>
              <w:bottom w:val="single" w:sz="8" w:space="0" w:color="auto"/>
              <w:right w:val="single" w:sz="8" w:space="0" w:color="auto"/>
            </w:tcBorders>
            <w:shd w:val="clear" w:color="auto" w:fill="auto"/>
          </w:tcPr>
          <w:p w:rsidR="00127EEF" w:rsidRPr="00482FE1" w:rsidRDefault="00127EEF" w:rsidP="00127EEF">
            <w:pPr>
              <w:pStyle w:val="a3"/>
              <w:spacing w:before="0" w:beforeAutospacing="0" w:after="0" w:afterAutospacing="0"/>
              <w:jc w:val="right"/>
              <w:rPr>
                <w:rFonts w:cs="Arial"/>
                <w:highlight w:val="yellow"/>
              </w:rPr>
            </w:pPr>
          </w:p>
        </w:tc>
      </w:tr>
      <w:tr w:rsidR="00127EEF" w:rsidRPr="00482FE1" w:rsidTr="006502B1">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rFonts w:cs="Arial"/>
              </w:rPr>
            </w:pPr>
            <w:r>
              <w:rPr>
                <w:rFonts w:hint="eastAsia"/>
                <w:color w:val="000000"/>
              </w:rPr>
              <w:t>清算</w:t>
            </w:r>
            <w:r w:rsidRPr="00482FE1">
              <w:rPr>
                <w:rFonts w:hint="eastAsia"/>
                <w:color w:val="000000"/>
              </w:rPr>
              <w:t>费用小计</w:t>
            </w:r>
          </w:p>
        </w:tc>
        <w:tc>
          <w:tcPr>
            <w:tcW w:w="3075" w:type="dxa"/>
            <w:tcBorders>
              <w:top w:val="nil"/>
              <w:left w:val="nil"/>
              <w:bottom w:val="single" w:sz="8" w:space="0" w:color="auto"/>
              <w:right w:val="single" w:sz="8" w:space="0" w:color="auto"/>
            </w:tcBorders>
            <w:shd w:val="clear" w:color="auto" w:fill="auto"/>
          </w:tcPr>
          <w:p w:rsidR="00127EEF" w:rsidRPr="00482FE1" w:rsidRDefault="00127EEF" w:rsidP="00127EEF">
            <w:pPr>
              <w:pStyle w:val="a3"/>
              <w:spacing w:before="0" w:beforeAutospacing="0" w:after="0" w:afterAutospacing="0"/>
              <w:jc w:val="right"/>
              <w:rPr>
                <w:rFonts w:cs="Arial"/>
                <w:b/>
                <w:highlight w:val="yellow"/>
              </w:rPr>
            </w:pPr>
            <w:r w:rsidRPr="00614C82">
              <w:t>40.03</w:t>
            </w:r>
          </w:p>
        </w:tc>
      </w:tr>
      <w:tr w:rsidR="00127EEF" w:rsidRPr="00482FE1" w:rsidTr="006502B1">
        <w:trPr>
          <w:trHeight w:val="315"/>
        </w:trPr>
        <w:tc>
          <w:tcPr>
            <w:tcW w:w="5118" w:type="dxa"/>
            <w:tcBorders>
              <w:top w:val="nil"/>
              <w:left w:val="single" w:sz="8" w:space="0" w:color="auto"/>
              <w:bottom w:val="single" w:sz="8" w:space="0" w:color="auto"/>
              <w:right w:val="single" w:sz="8" w:space="0" w:color="auto"/>
            </w:tcBorders>
            <w:shd w:val="clear" w:color="auto" w:fill="auto"/>
            <w:vAlign w:val="center"/>
          </w:tcPr>
          <w:p w:rsidR="00127EEF" w:rsidRPr="00482FE1" w:rsidRDefault="00127EEF" w:rsidP="00127EEF">
            <w:pPr>
              <w:pStyle w:val="a3"/>
              <w:spacing w:before="0" w:beforeAutospacing="0" w:after="0" w:afterAutospacing="0"/>
              <w:rPr>
                <w:rFonts w:cs="Arial"/>
                <w:b/>
              </w:rPr>
            </w:pPr>
            <w:r w:rsidRPr="00482FE1">
              <w:rPr>
                <w:rFonts w:hint="eastAsia"/>
                <w:color w:val="000000"/>
              </w:rPr>
              <w:t>三、清算净收益</w:t>
            </w:r>
          </w:p>
        </w:tc>
        <w:tc>
          <w:tcPr>
            <w:tcW w:w="3075" w:type="dxa"/>
            <w:tcBorders>
              <w:top w:val="nil"/>
              <w:left w:val="nil"/>
              <w:bottom w:val="single" w:sz="8" w:space="0" w:color="auto"/>
              <w:right w:val="single" w:sz="8" w:space="0" w:color="auto"/>
            </w:tcBorders>
            <w:shd w:val="clear" w:color="auto" w:fill="auto"/>
          </w:tcPr>
          <w:p w:rsidR="00127EEF" w:rsidRPr="00482FE1" w:rsidRDefault="00127EEF" w:rsidP="00127EEF">
            <w:pPr>
              <w:pStyle w:val="a3"/>
              <w:spacing w:before="0" w:beforeAutospacing="0" w:after="0" w:afterAutospacing="0"/>
              <w:jc w:val="right"/>
              <w:rPr>
                <w:rFonts w:cs="Arial"/>
                <w:b/>
                <w:highlight w:val="yellow"/>
              </w:rPr>
            </w:pPr>
            <w:r w:rsidRPr="00614C82">
              <w:t>3,671.54</w:t>
            </w:r>
          </w:p>
        </w:tc>
      </w:tr>
    </w:tbl>
    <w:p w:rsidR="00002A1D" w:rsidRPr="00482FE1" w:rsidRDefault="00002A1D" w:rsidP="00002A1D">
      <w:pPr>
        <w:autoSpaceDE w:val="0"/>
        <w:autoSpaceDN w:val="0"/>
        <w:adjustRightInd w:val="0"/>
        <w:spacing w:line="360" w:lineRule="auto"/>
        <w:ind w:firstLineChars="200" w:firstLine="440"/>
        <w:jc w:val="left"/>
        <w:rPr>
          <w:rFonts w:ascii="宋体" w:eastAsia="宋体" w:hAnsi="宋体" w:cs="宋体"/>
          <w:color w:val="000000"/>
          <w:kern w:val="0"/>
          <w:sz w:val="22"/>
          <w:szCs w:val="24"/>
        </w:rPr>
      </w:pP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color w:val="000000"/>
        </w:rPr>
        <w:t>5</w:t>
      </w:r>
      <w:r w:rsidRPr="00482FE1">
        <w:rPr>
          <w:rFonts w:hint="eastAsia"/>
          <w:color w:val="000000"/>
        </w:rPr>
        <w:t>、</w:t>
      </w:r>
      <w:r w:rsidR="00940326" w:rsidRPr="00482FE1">
        <w:rPr>
          <w:rFonts w:hint="eastAsia"/>
          <w:color w:val="000000"/>
        </w:rPr>
        <w:t>资产处置及负债清偿后的剩余资产分配情况</w:t>
      </w:r>
    </w:p>
    <w:p w:rsidR="000F521B" w:rsidRPr="00482FE1" w:rsidRDefault="000F521B" w:rsidP="00F85FC1">
      <w:pPr>
        <w:pStyle w:val="a3"/>
        <w:adjustRightInd w:val="0"/>
        <w:snapToGrid w:val="0"/>
        <w:spacing w:before="0" w:beforeAutospacing="0" w:after="0" w:afterAutospacing="0" w:line="360" w:lineRule="auto"/>
        <w:ind w:firstLineChars="200" w:firstLine="480"/>
        <w:jc w:val="right"/>
        <w:rPr>
          <w:color w:val="000000"/>
        </w:rPr>
      </w:pPr>
      <w:r w:rsidRPr="00482FE1">
        <w:rPr>
          <w:rFonts w:hint="eastAsia"/>
          <w:color w:val="000000"/>
        </w:rPr>
        <w:t>单位</w:t>
      </w:r>
      <w:r w:rsidRPr="00482FE1">
        <w:rPr>
          <w:color w:val="000000"/>
        </w:rPr>
        <w:t>：人民币元</w:t>
      </w:r>
    </w:p>
    <w:tbl>
      <w:tblPr>
        <w:tblW w:w="0" w:type="auto"/>
        <w:tblInd w:w="108" w:type="dxa"/>
        <w:tblLook w:val="04A0"/>
      </w:tblPr>
      <w:tblGrid>
        <w:gridCol w:w="4962"/>
        <w:gridCol w:w="3216"/>
      </w:tblGrid>
      <w:tr w:rsidR="00940326" w:rsidRPr="00482FE1" w:rsidTr="00FF503B">
        <w:trPr>
          <w:trHeight w:val="330"/>
        </w:trPr>
        <w:tc>
          <w:tcPr>
            <w:tcW w:w="496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40326" w:rsidRPr="00482FE1" w:rsidRDefault="00940326" w:rsidP="0058772F">
            <w:pPr>
              <w:overflowPunct w:val="0"/>
              <w:autoSpaceDE w:val="0"/>
              <w:autoSpaceDN w:val="0"/>
              <w:snapToGrid w:val="0"/>
              <w:jc w:val="center"/>
              <w:rPr>
                <w:rFonts w:ascii="宋体" w:eastAsia="宋体" w:hAnsi="宋体" w:cs="宋体"/>
                <w:b/>
                <w:bCs/>
                <w:color w:val="000000"/>
                <w:kern w:val="0"/>
                <w:sz w:val="24"/>
                <w:szCs w:val="24"/>
              </w:rPr>
            </w:pPr>
            <w:r w:rsidRPr="00482FE1">
              <w:rPr>
                <w:rFonts w:ascii="宋体" w:eastAsia="宋体" w:hAnsi="宋体" w:cs="宋体" w:hint="eastAsia"/>
                <w:b/>
                <w:bCs/>
                <w:color w:val="000000"/>
                <w:kern w:val="0"/>
                <w:sz w:val="24"/>
                <w:szCs w:val="24"/>
              </w:rPr>
              <w:t>项目</w:t>
            </w:r>
          </w:p>
        </w:tc>
        <w:tc>
          <w:tcPr>
            <w:tcW w:w="3216" w:type="dxa"/>
            <w:tcBorders>
              <w:top w:val="single" w:sz="4" w:space="0" w:color="auto"/>
              <w:left w:val="nil"/>
              <w:bottom w:val="single" w:sz="8" w:space="0" w:color="auto"/>
              <w:right w:val="single" w:sz="8" w:space="0" w:color="auto"/>
            </w:tcBorders>
            <w:shd w:val="clear" w:color="auto" w:fill="auto"/>
            <w:vAlign w:val="center"/>
            <w:hideMark/>
          </w:tcPr>
          <w:p w:rsidR="00940326" w:rsidRPr="00482FE1" w:rsidRDefault="00940326" w:rsidP="0058772F">
            <w:pPr>
              <w:overflowPunct w:val="0"/>
              <w:autoSpaceDE w:val="0"/>
              <w:autoSpaceDN w:val="0"/>
              <w:snapToGrid w:val="0"/>
              <w:jc w:val="center"/>
              <w:rPr>
                <w:rFonts w:ascii="宋体" w:eastAsia="宋体" w:hAnsi="宋体" w:cs="Arial"/>
                <w:b/>
                <w:bCs/>
                <w:kern w:val="0"/>
                <w:sz w:val="24"/>
                <w:szCs w:val="24"/>
              </w:rPr>
            </w:pPr>
            <w:r w:rsidRPr="00482FE1">
              <w:rPr>
                <w:rFonts w:ascii="宋体" w:eastAsia="宋体" w:hAnsi="宋体" w:cs="Arial" w:hint="eastAsia"/>
                <w:b/>
                <w:bCs/>
                <w:kern w:val="0"/>
                <w:sz w:val="24"/>
                <w:szCs w:val="24"/>
              </w:rPr>
              <w:t>金额</w:t>
            </w:r>
          </w:p>
        </w:tc>
      </w:tr>
      <w:tr w:rsidR="00FF503B" w:rsidRPr="00482FE1" w:rsidTr="006502B1">
        <w:trPr>
          <w:trHeight w:val="33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FF503B" w:rsidRPr="00482FE1" w:rsidRDefault="00FF503B" w:rsidP="00FF503B">
            <w:pPr>
              <w:pStyle w:val="a3"/>
              <w:spacing w:before="0" w:beforeAutospacing="0" w:after="0" w:afterAutospacing="0"/>
              <w:rPr>
                <w:rFonts w:cs="Arial"/>
              </w:rPr>
            </w:pPr>
            <w:r w:rsidRPr="00482FE1">
              <w:rPr>
                <w:rFonts w:cs="Arial" w:hint="eastAsia"/>
              </w:rPr>
              <w:t>一、最后运作日20</w:t>
            </w:r>
            <w:r>
              <w:rPr>
                <w:rFonts w:cs="Arial"/>
              </w:rPr>
              <w:t>21</w:t>
            </w:r>
            <w:r w:rsidRPr="00482FE1">
              <w:rPr>
                <w:rFonts w:cs="Arial" w:hint="eastAsia"/>
              </w:rPr>
              <w:t>年</w:t>
            </w:r>
            <w:r>
              <w:rPr>
                <w:rFonts w:cs="Arial"/>
              </w:rPr>
              <w:t>3</w:t>
            </w:r>
            <w:r w:rsidRPr="00482FE1">
              <w:rPr>
                <w:rFonts w:cs="Arial" w:hint="eastAsia"/>
              </w:rPr>
              <w:t>月</w:t>
            </w:r>
            <w:r>
              <w:rPr>
                <w:rFonts w:cs="Arial"/>
              </w:rPr>
              <w:t>19</w:t>
            </w:r>
            <w:r w:rsidRPr="00482FE1">
              <w:rPr>
                <w:rFonts w:cs="Arial" w:hint="eastAsia"/>
              </w:rPr>
              <w:t>日基金净资产</w:t>
            </w:r>
          </w:p>
        </w:tc>
        <w:tc>
          <w:tcPr>
            <w:tcW w:w="3216" w:type="dxa"/>
            <w:tcBorders>
              <w:top w:val="nil"/>
              <w:left w:val="nil"/>
              <w:bottom w:val="single" w:sz="8" w:space="0" w:color="auto"/>
              <w:right w:val="single" w:sz="8" w:space="0" w:color="auto"/>
            </w:tcBorders>
            <w:shd w:val="clear" w:color="auto" w:fill="auto"/>
          </w:tcPr>
          <w:p w:rsidR="00FF503B" w:rsidRPr="00BF0BDC" w:rsidRDefault="00FF503B" w:rsidP="00FF503B">
            <w:pPr>
              <w:pStyle w:val="a3"/>
              <w:spacing w:before="0" w:beforeAutospacing="0" w:after="0" w:afterAutospacing="0"/>
              <w:jc w:val="right"/>
              <w:rPr>
                <w:rFonts w:cs="Arial"/>
              </w:rPr>
            </w:pPr>
            <w:r w:rsidRPr="00F8077A">
              <w:t>5,312,683.15</w:t>
            </w:r>
          </w:p>
        </w:tc>
      </w:tr>
      <w:tr w:rsidR="00FF503B" w:rsidRPr="00482FE1" w:rsidTr="006502B1">
        <w:trPr>
          <w:trHeight w:val="33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FF503B" w:rsidRPr="00482FE1" w:rsidRDefault="00FF503B">
            <w:pPr>
              <w:pStyle w:val="a3"/>
              <w:spacing w:before="0" w:beforeAutospacing="0" w:after="0" w:afterAutospacing="0"/>
              <w:rPr>
                <w:rFonts w:cs="Arial"/>
              </w:rPr>
            </w:pPr>
            <w:r w:rsidRPr="00482FE1">
              <w:rPr>
                <w:rFonts w:cs="Arial" w:hint="eastAsia"/>
              </w:rPr>
              <w:t>加：自20</w:t>
            </w:r>
            <w:r>
              <w:rPr>
                <w:rFonts w:cs="Arial"/>
              </w:rPr>
              <w:t>21</w:t>
            </w:r>
            <w:r w:rsidRPr="00482FE1">
              <w:rPr>
                <w:rFonts w:cs="Arial" w:hint="eastAsia"/>
              </w:rPr>
              <w:t>年</w:t>
            </w:r>
            <w:r>
              <w:rPr>
                <w:rFonts w:cs="Arial"/>
              </w:rPr>
              <w:t>3</w:t>
            </w:r>
            <w:r w:rsidRPr="00482FE1">
              <w:rPr>
                <w:rFonts w:cs="Arial" w:hint="eastAsia"/>
              </w:rPr>
              <w:t>月</w:t>
            </w:r>
            <w:r>
              <w:rPr>
                <w:rFonts w:cs="Arial"/>
              </w:rPr>
              <w:t>20</w:t>
            </w:r>
            <w:r w:rsidRPr="00482FE1">
              <w:rPr>
                <w:rFonts w:cs="Arial" w:hint="eastAsia"/>
              </w:rPr>
              <w:t>日至20</w:t>
            </w:r>
            <w:r>
              <w:rPr>
                <w:rFonts w:cs="Arial"/>
              </w:rPr>
              <w:t>21</w:t>
            </w:r>
            <w:r w:rsidRPr="00482FE1">
              <w:rPr>
                <w:rFonts w:cs="Arial" w:hint="eastAsia"/>
              </w:rPr>
              <w:t>年</w:t>
            </w:r>
            <w:r>
              <w:rPr>
                <w:rFonts w:cs="Arial"/>
              </w:rPr>
              <w:t>4</w:t>
            </w:r>
            <w:r w:rsidRPr="00482FE1">
              <w:rPr>
                <w:rFonts w:cs="Arial" w:hint="eastAsia"/>
              </w:rPr>
              <w:t>月</w:t>
            </w:r>
            <w:r>
              <w:rPr>
                <w:rFonts w:cs="Arial"/>
              </w:rPr>
              <w:t>7</w:t>
            </w:r>
            <w:r w:rsidRPr="00482FE1">
              <w:rPr>
                <w:rFonts w:cs="Arial" w:hint="eastAsia"/>
              </w:rPr>
              <w:t>日止清算期间净收益</w:t>
            </w:r>
          </w:p>
        </w:tc>
        <w:tc>
          <w:tcPr>
            <w:tcW w:w="3216" w:type="dxa"/>
            <w:tcBorders>
              <w:top w:val="nil"/>
              <w:left w:val="nil"/>
              <w:bottom w:val="single" w:sz="8" w:space="0" w:color="auto"/>
              <w:right w:val="single" w:sz="8" w:space="0" w:color="auto"/>
            </w:tcBorders>
            <w:shd w:val="clear" w:color="auto" w:fill="auto"/>
          </w:tcPr>
          <w:p w:rsidR="00FF503B" w:rsidRPr="00BF0BDC" w:rsidRDefault="00FF503B" w:rsidP="00FF503B">
            <w:pPr>
              <w:pStyle w:val="a3"/>
              <w:spacing w:before="0" w:beforeAutospacing="0" w:after="0" w:afterAutospacing="0"/>
              <w:jc w:val="right"/>
              <w:rPr>
                <w:rFonts w:cs="Arial"/>
              </w:rPr>
            </w:pPr>
            <w:r w:rsidRPr="00F8077A">
              <w:t>3,671.54</w:t>
            </w:r>
          </w:p>
        </w:tc>
      </w:tr>
      <w:tr w:rsidR="00FF503B" w:rsidRPr="00482FE1" w:rsidTr="006502B1">
        <w:trPr>
          <w:trHeight w:val="330"/>
        </w:trPr>
        <w:tc>
          <w:tcPr>
            <w:tcW w:w="4962" w:type="dxa"/>
            <w:tcBorders>
              <w:top w:val="nil"/>
              <w:left w:val="single" w:sz="8" w:space="0" w:color="auto"/>
              <w:bottom w:val="single" w:sz="8" w:space="0" w:color="auto"/>
              <w:right w:val="single" w:sz="8" w:space="0" w:color="auto"/>
            </w:tcBorders>
            <w:shd w:val="clear" w:color="auto" w:fill="auto"/>
            <w:vAlign w:val="center"/>
          </w:tcPr>
          <w:p w:rsidR="00FF503B" w:rsidRPr="00482FE1" w:rsidRDefault="00FF503B" w:rsidP="00FF503B">
            <w:pPr>
              <w:pStyle w:val="a3"/>
              <w:spacing w:before="0" w:beforeAutospacing="0" w:after="0" w:afterAutospacing="0"/>
              <w:rPr>
                <w:rFonts w:cs="Arial"/>
              </w:rPr>
            </w:pPr>
            <w:r w:rsidRPr="00482FE1">
              <w:rPr>
                <w:rFonts w:hint="eastAsia"/>
                <w:color w:val="000000"/>
              </w:rPr>
              <w:t>减：</w:t>
            </w:r>
            <w:r>
              <w:rPr>
                <w:rFonts w:hint="eastAsia"/>
                <w:color w:val="000000"/>
              </w:rPr>
              <w:t>清算</w:t>
            </w:r>
            <w:r>
              <w:rPr>
                <w:color w:val="000000"/>
              </w:rPr>
              <w:t>期间</w:t>
            </w:r>
            <w:r>
              <w:rPr>
                <w:rFonts w:hint="eastAsia"/>
                <w:color w:val="000000"/>
              </w:rPr>
              <w:t>确认的</w:t>
            </w:r>
            <w:r>
              <w:rPr>
                <w:color w:val="000000"/>
              </w:rPr>
              <w:t>净赎回</w:t>
            </w:r>
            <w:r>
              <w:rPr>
                <w:rFonts w:hint="eastAsia"/>
                <w:color w:val="000000"/>
              </w:rPr>
              <w:t>、</w:t>
            </w:r>
            <w:r>
              <w:rPr>
                <w:color w:val="000000"/>
              </w:rPr>
              <w:t>转出款</w:t>
            </w:r>
          </w:p>
        </w:tc>
        <w:tc>
          <w:tcPr>
            <w:tcW w:w="3216" w:type="dxa"/>
            <w:tcBorders>
              <w:top w:val="nil"/>
              <w:left w:val="nil"/>
              <w:bottom w:val="single" w:sz="8" w:space="0" w:color="auto"/>
              <w:right w:val="single" w:sz="8" w:space="0" w:color="auto"/>
            </w:tcBorders>
            <w:shd w:val="clear" w:color="auto" w:fill="auto"/>
          </w:tcPr>
          <w:p w:rsidR="00FF503B" w:rsidRPr="00BF0BDC" w:rsidRDefault="00FF503B" w:rsidP="00FF503B">
            <w:pPr>
              <w:pStyle w:val="a3"/>
              <w:spacing w:before="0" w:beforeAutospacing="0" w:after="0" w:afterAutospacing="0"/>
              <w:jc w:val="right"/>
              <w:rPr>
                <w:rFonts w:cs="Arial"/>
                <w:color w:val="000000"/>
              </w:rPr>
            </w:pPr>
            <w:r w:rsidRPr="00F8077A">
              <w:t>1,106,704.33</w:t>
            </w:r>
          </w:p>
        </w:tc>
      </w:tr>
      <w:tr w:rsidR="00FF503B" w:rsidRPr="00482FE1" w:rsidTr="006502B1">
        <w:trPr>
          <w:trHeight w:val="33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FF503B" w:rsidRPr="00482FE1" w:rsidRDefault="00FF503B" w:rsidP="00FF503B">
            <w:pPr>
              <w:pStyle w:val="a3"/>
              <w:spacing w:before="0" w:beforeAutospacing="0" w:after="0" w:afterAutospacing="0"/>
              <w:rPr>
                <w:rFonts w:cs="Arial"/>
              </w:rPr>
            </w:pPr>
            <w:r w:rsidRPr="00482FE1">
              <w:rPr>
                <w:rFonts w:cs="Arial" w:hint="eastAsia"/>
              </w:rPr>
              <w:t>二、20</w:t>
            </w:r>
            <w:r>
              <w:rPr>
                <w:rFonts w:cs="Arial"/>
              </w:rPr>
              <w:t>21</w:t>
            </w:r>
            <w:r w:rsidRPr="00482FE1">
              <w:rPr>
                <w:rFonts w:cs="Arial" w:hint="eastAsia"/>
              </w:rPr>
              <w:t>年</w:t>
            </w:r>
            <w:r>
              <w:rPr>
                <w:rFonts w:cs="Arial"/>
              </w:rPr>
              <w:t>4</w:t>
            </w:r>
            <w:r w:rsidRPr="00482FE1">
              <w:rPr>
                <w:rFonts w:cs="Arial" w:hint="eastAsia"/>
              </w:rPr>
              <w:t>月</w:t>
            </w:r>
            <w:r>
              <w:rPr>
                <w:rFonts w:cs="Arial"/>
              </w:rPr>
              <w:t>7</w:t>
            </w:r>
            <w:r w:rsidRPr="00482FE1">
              <w:rPr>
                <w:rFonts w:cs="Arial" w:hint="eastAsia"/>
              </w:rPr>
              <w:t>日基金净资产</w:t>
            </w:r>
          </w:p>
        </w:tc>
        <w:tc>
          <w:tcPr>
            <w:tcW w:w="3216" w:type="dxa"/>
            <w:tcBorders>
              <w:top w:val="nil"/>
              <w:left w:val="nil"/>
              <w:bottom w:val="single" w:sz="8" w:space="0" w:color="auto"/>
              <w:right w:val="single" w:sz="8" w:space="0" w:color="auto"/>
            </w:tcBorders>
            <w:shd w:val="clear" w:color="auto" w:fill="auto"/>
          </w:tcPr>
          <w:p w:rsidR="00FF503B" w:rsidRPr="00BF0BDC" w:rsidRDefault="00FF503B" w:rsidP="00FF503B">
            <w:pPr>
              <w:pStyle w:val="a3"/>
              <w:spacing w:before="0" w:beforeAutospacing="0" w:after="0" w:afterAutospacing="0"/>
              <w:jc w:val="right"/>
              <w:rPr>
                <w:rFonts w:cs="Arial"/>
              </w:rPr>
            </w:pPr>
            <w:r w:rsidRPr="00F8077A">
              <w:t>4,209,650.36</w:t>
            </w:r>
          </w:p>
        </w:tc>
      </w:tr>
    </w:tbl>
    <w:p w:rsidR="000F521B" w:rsidRPr="00482FE1" w:rsidRDefault="00940326" w:rsidP="0058772F">
      <w:pPr>
        <w:pStyle w:val="a3"/>
        <w:adjustRightInd w:val="0"/>
        <w:snapToGrid w:val="0"/>
        <w:spacing w:before="240" w:beforeAutospacing="0" w:after="0" w:afterAutospacing="0" w:line="360" w:lineRule="auto"/>
        <w:ind w:firstLineChars="200" w:firstLine="440"/>
        <w:rPr>
          <w:color w:val="000000"/>
          <w:sz w:val="22"/>
        </w:rPr>
      </w:pPr>
      <w:r w:rsidRPr="00482FE1">
        <w:rPr>
          <w:rFonts w:hint="eastAsia"/>
          <w:color w:val="000000"/>
          <w:sz w:val="22"/>
        </w:rPr>
        <w:t>资产处置及负债清偿后，于</w:t>
      </w:r>
      <w:r w:rsidR="00802872" w:rsidRPr="00482FE1">
        <w:rPr>
          <w:rFonts w:hint="eastAsia"/>
          <w:color w:val="000000"/>
          <w:sz w:val="22"/>
        </w:rPr>
        <w:t>20</w:t>
      </w:r>
      <w:r w:rsidR="00802872">
        <w:rPr>
          <w:color w:val="000000"/>
          <w:sz w:val="22"/>
        </w:rPr>
        <w:t>21</w:t>
      </w:r>
      <w:r w:rsidR="00F740E1" w:rsidRPr="00482FE1">
        <w:rPr>
          <w:rFonts w:hint="eastAsia"/>
          <w:color w:val="000000"/>
          <w:sz w:val="22"/>
        </w:rPr>
        <w:t>年</w:t>
      </w:r>
      <w:r w:rsidR="00802872">
        <w:rPr>
          <w:color w:val="000000"/>
          <w:sz w:val="22"/>
        </w:rPr>
        <w:t>4</w:t>
      </w:r>
      <w:r w:rsidR="004303E9" w:rsidRPr="00482FE1">
        <w:rPr>
          <w:rFonts w:hint="eastAsia"/>
          <w:color w:val="000000"/>
          <w:sz w:val="22"/>
        </w:rPr>
        <w:t>月</w:t>
      </w:r>
      <w:r w:rsidR="00802872">
        <w:rPr>
          <w:color w:val="000000"/>
          <w:sz w:val="22"/>
        </w:rPr>
        <w:t>7</w:t>
      </w:r>
      <w:r w:rsidR="004303E9" w:rsidRPr="00482FE1">
        <w:rPr>
          <w:rFonts w:hint="eastAsia"/>
          <w:color w:val="000000"/>
          <w:sz w:val="22"/>
        </w:rPr>
        <w:t>日</w:t>
      </w:r>
      <w:r w:rsidRPr="00482FE1">
        <w:rPr>
          <w:rFonts w:hint="eastAsia"/>
          <w:color w:val="000000"/>
          <w:sz w:val="22"/>
        </w:rPr>
        <w:t>本基金剩余财产为人民</w:t>
      </w:r>
      <w:r w:rsidR="004303E9" w:rsidRPr="00482FE1">
        <w:rPr>
          <w:rFonts w:hint="eastAsia"/>
          <w:color w:val="000000"/>
          <w:sz w:val="22"/>
        </w:rPr>
        <w:t>币</w:t>
      </w:r>
      <w:r w:rsidR="001D3B88" w:rsidRPr="001D3B88">
        <w:rPr>
          <w:color w:val="000000"/>
          <w:sz w:val="22"/>
        </w:rPr>
        <w:t>4,209,650.36</w:t>
      </w:r>
      <w:r w:rsidRPr="00482FE1">
        <w:rPr>
          <w:rFonts w:hint="eastAsia"/>
          <w:color w:val="000000"/>
          <w:sz w:val="22"/>
        </w:rPr>
        <w:t>元，根据本基金的基金合同约定，依据基金财产清算的分配方案，将基金财产清算后的全部剩余资产扣除基金财产清算费用、交纳所欠税款并清偿基金债务后，按基金份额持有人持有的基金份额比例进行分配</w:t>
      </w:r>
      <w:r w:rsidR="000F521B" w:rsidRPr="00482FE1">
        <w:rPr>
          <w:color w:val="000000"/>
          <w:sz w:val="22"/>
        </w:rPr>
        <w:t>。</w:t>
      </w:r>
    </w:p>
    <w:p w:rsidR="000F521B" w:rsidRPr="00482FE1" w:rsidRDefault="00940326" w:rsidP="0058772F">
      <w:pPr>
        <w:pStyle w:val="a3"/>
        <w:adjustRightInd w:val="0"/>
        <w:snapToGrid w:val="0"/>
        <w:spacing w:before="0" w:beforeAutospacing="0" w:after="0" w:afterAutospacing="0" w:line="360" w:lineRule="auto"/>
        <w:ind w:firstLineChars="200" w:firstLine="440"/>
        <w:rPr>
          <w:color w:val="000000"/>
          <w:sz w:val="22"/>
        </w:rPr>
      </w:pPr>
      <w:r w:rsidRPr="00482FE1">
        <w:rPr>
          <w:rFonts w:hint="eastAsia"/>
          <w:color w:val="000000"/>
          <w:sz w:val="22"/>
        </w:rPr>
        <w:t>清算起始日</w:t>
      </w:r>
      <w:r w:rsidR="006B110C" w:rsidRPr="00482FE1">
        <w:rPr>
          <w:rFonts w:hint="eastAsia"/>
          <w:color w:val="000000"/>
          <w:sz w:val="22"/>
        </w:rPr>
        <w:t>20</w:t>
      </w:r>
      <w:r w:rsidR="006B110C">
        <w:rPr>
          <w:color w:val="000000"/>
          <w:sz w:val="22"/>
        </w:rPr>
        <w:t>21</w:t>
      </w:r>
      <w:r w:rsidR="00F740E1" w:rsidRPr="00482FE1">
        <w:rPr>
          <w:rFonts w:hint="eastAsia"/>
          <w:color w:val="000000"/>
          <w:sz w:val="22"/>
        </w:rPr>
        <w:t>年</w:t>
      </w:r>
      <w:r w:rsidR="006B110C">
        <w:rPr>
          <w:color w:val="000000"/>
          <w:sz w:val="22"/>
        </w:rPr>
        <w:t>3</w:t>
      </w:r>
      <w:r w:rsidR="004303E9" w:rsidRPr="00482FE1">
        <w:rPr>
          <w:rFonts w:hint="eastAsia"/>
          <w:color w:val="000000"/>
          <w:sz w:val="22"/>
        </w:rPr>
        <w:t>月</w:t>
      </w:r>
      <w:r w:rsidR="006B110C">
        <w:rPr>
          <w:color w:val="000000"/>
          <w:sz w:val="22"/>
        </w:rPr>
        <w:t>20</w:t>
      </w:r>
      <w:r w:rsidR="004303E9" w:rsidRPr="00482FE1">
        <w:rPr>
          <w:rFonts w:hint="eastAsia"/>
          <w:color w:val="000000"/>
          <w:sz w:val="22"/>
        </w:rPr>
        <w:t>日</w:t>
      </w:r>
      <w:r w:rsidRPr="00482FE1">
        <w:rPr>
          <w:rFonts w:hint="eastAsia"/>
          <w:color w:val="000000"/>
          <w:sz w:val="22"/>
        </w:rPr>
        <w:t>至清算款划出日前一日的存款利息亦属基金份额持有人所有，该部分利息将由基金管理人以自有资金先行垫付，实际结息金额与垫付金额的尾差由基金管理人承担，基金管理人垫付资金到账日起孳生的利息归基金管理人所有。</w:t>
      </w:r>
    </w:p>
    <w:p w:rsidR="00940326" w:rsidRPr="00482FE1" w:rsidRDefault="00940326" w:rsidP="00940326">
      <w:pPr>
        <w:pStyle w:val="a3"/>
        <w:adjustRightInd w:val="0"/>
        <w:snapToGrid w:val="0"/>
        <w:spacing w:before="0" w:beforeAutospacing="0" w:after="0" w:afterAutospacing="0" w:line="360" w:lineRule="auto"/>
        <w:ind w:firstLineChars="200" w:firstLine="440"/>
        <w:rPr>
          <w:color w:val="000000"/>
          <w:sz w:val="22"/>
        </w:rPr>
      </w:pP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color w:val="000000"/>
        </w:rPr>
        <w:t>6</w:t>
      </w:r>
      <w:r w:rsidRPr="00482FE1">
        <w:rPr>
          <w:rFonts w:hint="eastAsia"/>
          <w:color w:val="000000"/>
        </w:rPr>
        <w:t>、</w:t>
      </w:r>
      <w:r w:rsidR="00AD5C40" w:rsidRPr="00482FE1">
        <w:rPr>
          <w:rFonts w:hint="eastAsia"/>
          <w:color w:val="000000"/>
        </w:rPr>
        <w:t>基金财产清算报告的告知安排</w:t>
      </w:r>
    </w:p>
    <w:p w:rsidR="00AD5C40" w:rsidRPr="00482FE1" w:rsidRDefault="00AD5C40" w:rsidP="002A0146">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本清算报告已经基金托管人复核，在经会计师事务所审计、律师事务所出具法律意见书后，报中国证监会备案并向基金份额持有人公告。</w:t>
      </w:r>
    </w:p>
    <w:p w:rsidR="002A0146" w:rsidRPr="00482FE1" w:rsidRDefault="002A0146" w:rsidP="002A0146">
      <w:pPr>
        <w:pStyle w:val="a3"/>
        <w:adjustRightInd w:val="0"/>
        <w:snapToGrid w:val="0"/>
        <w:spacing w:before="0" w:beforeAutospacing="0" w:after="0" w:afterAutospacing="0" w:line="360" w:lineRule="auto"/>
        <w:ind w:firstLineChars="200" w:firstLine="480"/>
        <w:rPr>
          <w:color w:val="000000"/>
        </w:rPr>
      </w:pP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六、</w:t>
      </w:r>
      <w:r w:rsidR="00AD5C40" w:rsidRPr="00482FE1">
        <w:rPr>
          <w:rFonts w:hint="eastAsia"/>
          <w:color w:val="000000"/>
        </w:rPr>
        <w:t>备查文件目录</w:t>
      </w: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color w:val="000000"/>
        </w:rPr>
        <w:t>1</w:t>
      </w:r>
      <w:r w:rsidRPr="00482FE1">
        <w:rPr>
          <w:rFonts w:hint="eastAsia"/>
          <w:color w:val="000000"/>
        </w:rPr>
        <w:t>、</w:t>
      </w:r>
      <w:r w:rsidR="00AD5C40" w:rsidRPr="00482FE1">
        <w:rPr>
          <w:rFonts w:hint="eastAsia"/>
          <w:color w:val="000000"/>
        </w:rPr>
        <w:t>备查文件目录</w:t>
      </w:r>
    </w:p>
    <w:p w:rsidR="00AD5C40" w:rsidRPr="00482FE1" w:rsidRDefault="00A53F81" w:rsidP="0034282B">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（1）</w:t>
      </w:r>
      <w:r w:rsidR="00AD5C40" w:rsidRPr="00482FE1">
        <w:rPr>
          <w:rFonts w:hint="eastAsia"/>
          <w:color w:val="000000"/>
        </w:rPr>
        <w:t>《</w:t>
      </w:r>
      <w:r w:rsidR="00F56628" w:rsidRPr="00F56628">
        <w:rPr>
          <w:rFonts w:hint="eastAsia"/>
          <w:color w:val="000000"/>
        </w:rPr>
        <w:t>中欧</w:t>
      </w:r>
      <w:r w:rsidR="00EB746C">
        <w:rPr>
          <w:rFonts w:hint="eastAsia"/>
          <w:color w:val="000000"/>
        </w:rPr>
        <w:t>强瑞多策略定期开放债券型</w:t>
      </w:r>
      <w:r w:rsidR="00F56628" w:rsidRPr="00F56628">
        <w:rPr>
          <w:rFonts w:hint="eastAsia"/>
          <w:color w:val="000000"/>
        </w:rPr>
        <w:t>证券投资基金</w:t>
      </w:r>
      <w:r w:rsidR="0034282B" w:rsidRPr="0034282B">
        <w:rPr>
          <w:rFonts w:hint="eastAsia"/>
          <w:color w:val="000000"/>
        </w:rPr>
        <w:t>2021年1月1日至2021年3月</w:t>
      </w:r>
      <w:r w:rsidR="0010399E" w:rsidRPr="0034282B">
        <w:rPr>
          <w:rFonts w:hint="eastAsia"/>
          <w:color w:val="000000"/>
        </w:rPr>
        <w:t>1</w:t>
      </w:r>
      <w:r w:rsidR="0010399E">
        <w:rPr>
          <w:color w:val="000000"/>
        </w:rPr>
        <w:t>9</w:t>
      </w:r>
      <w:r w:rsidR="0034282B" w:rsidRPr="0034282B">
        <w:rPr>
          <w:rFonts w:hint="eastAsia"/>
          <w:color w:val="000000"/>
        </w:rPr>
        <w:t>日(基金最后运作日)止期间的财务报表及审计报告</w:t>
      </w:r>
      <w:r w:rsidR="00AD5C40" w:rsidRPr="00482FE1">
        <w:rPr>
          <w:rFonts w:hint="eastAsia"/>
          <w:color w:val="000000"/>
        </w:rPr>
        <w:t>》</w:t>
      </w: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（2）</w:t>
      </w:r>
      <w:r w:rsidR="000C4C62" w:rsidRPr="00482FE1">
        <w:rPr>
          <w:rFonts w:hint="eastAsia"/>
          <w:color w:val="000000"/>
        </w:rPr>
        <w:t>上海市</w:t>
      </w:r>
      <w:r w:rsidR="00AD5C40" w:rsidRPr="00482FE1">
        <w:rPr>
          <w:rFonts w:hint="eastAsia"/>
          <w:color w:val="000000"/>
        </w:rPr>
        <w:t>通力律师事务所关于《</w:t>
      </w:r>
      <w:r w:rsidR="00F56628" w:rsidRPr="0081092F">
        <w:rPr>
          <w:rFonts w:hint="eastAsia"/>
          <w:color w:val="000000"/>
        </w:rPr>
        <w:t>中欧</w:t>
      </w:r>
      <w:r w:rsidR="00EB746C">
        <w:rPr>
          <w:rFonts w:hint="eastAsia"/>
          <w:color w:val="000000"/>
        </w:rPr>
        <w:t>强瑞多策略定期开放债券型</w:t>
      </w:r>
      <w:r w:rsidR="00F56628" w:rsidRPr="0081092F">
        <w:rPr>
          <w:rFonts w:hint="eastAsia"/>
          <w:color w:val="000000"/>
        </w:rPr>
        <w:t>证券投资基金</w:t>
      </w:r>
      <w:r w:rsidR="00AD5C40" w:rsidRPr="00482FE1">
        <w:rPr>
          <w:rFonts w:hint="eastAsia"/>
          <w:color w:val="000000"/>
        </w:rPr>
        <w:t>清算报告》的法律意见</w:t>
      </w: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color w:val="000000"/>
        </w:rPr>
        <w:t>2</w:t>
      </w:r>
      <w:r w:rsidRPr="00482FE1">
        <w:rPr>
          <w:rFonts w:hint="eastAsia"/>
          <w:color w:val="000000"/>
        </w:rPr>
        <w:t>、</w:t>
      </w:r>
      <w:r w:rsidR="00AD5C40" w:rsidRPr="00482FE1">
        <w:rPr>
          <w:rFonts w:hint="eastAsia"/>
          <w:color w:val="000000"/>
        </w:rPr>
        <w:t>存放地点</w:t>
      </w:r>
    </w:p>
    <w:p w:rsidR="00AD5C40" w:rsidRPr="00482FE1" w:rsidRDefault="00AD5C40" w:rsidP="002A0146">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本基金管理人</w:t>
      </w:r>
      <w:r w:rsidR="00A53F81" w:rsidRPr="00482FE1">
        <w:rPr>
          <w:rFonts w:hint="eastAsia"/>
          <w:color w:val="000000"/>
        </w:rPr>
        <w:t>中欧</w:t>
      </w:r>
      <w:r w:rsidRPr="00482FE1">
        <w:rPr>
          <w:rFonts w:hint="eastAsia"/>
          <w:color w:val="000000"/>
        </w:rPr>
        <w:t>基金管理有限公司办公地点——</w:t>
      </w:r>
      <w:r w:rsidR="00A53F81" w:rsidRPr="00482FE1">
        <w:rPr>
          <w:rFonts w:hint="eastAsia"/>
          <w:color w:val="000000"/>
        </w:rPr>
        <w:t>中国（上海）自由贸易试验区陆家嘴环路333号5层</w:t>
      </w:r>
      <w:r w:rsidRPr="00482FE1">
        <w:rPr>
          <w:rFonts w:hint="eastAsia"/>
          <w:color w:val="000000"/>
        </w:rPr>
        <w:t>。</w:t>
      </w:r>
    </w:p>
    <w:p w:rsidR="00AD5C40" w:rsidRPr="00482FE1" w:rsidRDefault="00A53F81" w:rsidP="002A0146">
      <w:pPr>
        <w:pStyle w:val="a3"/>
        <w:adjustRightInd w:val="0"/>
        <w:snapToGrid w:val="0"/>
        <w:spacing w:before="0" w:beforeAutospacing="0" w:after="0" w:afterAutospacing="0" w:line="360" w:lineRule="auto"/>
        <w:ind w:firstLineChars="200" w:firstLine="480"/>
        <w:rPr>
          <w:color w:val="000000"/>
        </w:rPr>
      </w:pPr>
      <w:r w:rsidRPr="00482FE1">
        <w:rPr>
          <w:color w:val="000000"/>
        </w:rPr>
        <w:t>3</w:t>
      </w:r>
      <w:r w:rsidRPr="00482FE1">
        <w:rPr>
          <w:rFonts w:hint="eastAsia"/>
          <w:color w:val="000000"/>
        </w:rPr>
        <w:t>、</w:t>
      </w:r>
      <w:r w:rsidR="00AD5C40" w:rsidRPr="00482FE1">
        <w:rPr>
          <w:rFonts w:hint="eastAsia"/>
          <w:color w:val="000000"/>
        </w:rPr>
        <w:t>查阅方式</w:t>
      </w:r>
    </w:p>
    <w:p w:rsidR="00AD5C40" w:rsidRPr="00482FE1" w:rsidRDefault="00AD5C40" w:rsidP="002A0146">
      <w:pPr>
        <w:pStyle w:val="a3"/>
        <w:adjustRightInd w:val="0"/>
        <w:snapToGrid w:val="0"/>
        <w:spacing w:before="0" w:beforeAutospacing="0" w:after="0" w:afterAutospacing="0" w:line="360" w:lineRule="auto"/>
        <w:ind w:firstLineChars="200" w:firstLine="480"/>
        <w:rPr>
          <w:color w:val="000000"/>
        </w:rPr>
      </w:pPr>
      <w:r w:rsidRPr="00482FE1">
        <w:rPr>
          <w:rFonts w:hint="eastAsia"/>
          <w:color w:val="000000"/>
        </w:rPr>
        <w:t>投资者可在营业时间内至基金管理人的办公场所免费查阅。</w:t>
      </w:r>
    </w:p>
    <w:p w:rsidR="00EE6ADC" w:rsidRPr="00482FE1" w:rsidRDefault="00EE6ADC" w:rsidP="002A0146">
      <w:pPr>
        <w:pStyle w:val="a3"/>
        <w:adjustRightInd w:val="0"/>
        <w:snapToGrid w:val="0"/>
        <w:spacing w:before="0" w:beforeAutospacing="0" w:after="0" w:afterAutospacing="0" w:line="360" w:lineRule="auto"/>
        <w:ind w:firstLineChars="200" w:firstLine="480"/>
        <w:jc w:val="right"/>
        <w:rPr>
          <w:color w:val="000000"/>
        </w:rPr>
      </w:pPr>
    </w:p>
    <w:p w:rsidR="00AD5C40" w:rsidRPr="00482FE1" w:rsidRDefault="00F56628" w:rsidP="002A0146">
      <w:pPr>
        <w:pStyle w:val="a3"/>
        <w:adjustRightInd w:val="0"/>
        <w:snapToGrid w:val="0"/>
        <w:spacing w:before="0" w:beforeAutospacing="0" w:after="0" w:afterAutospacing="0" w:line="360" w:lineRule="auto"/>
        <w:ind w:firstLineChars="200" w:firstLine="480"/>
        <w:jc w:val="right"/>
        <w:rPr>
          <w:color w:val="000000"/>
        </w:rPr>
      </w:pPr>
      <w:r w:rsidRPr="0081092F">
        <w:rPr>
          <w:rFonts w:hint="eastAsia"/>
          <w:color w:val="000000"/>
        </w:rPr>
        <w:t>中欧</w:t>
      </w:r>
      <w:r w:rsidR="00EB746C">
        <w:rPr>
          <w:rFonts w:hint="eastAsia"/>
          <w:color w:val="000000"/>
        </w:rPr>
        <w:t>强瑞多策略定期开放债券型</w:t>
      </w:r>
      <w:r w:rsidRPr="0081092F">
        <w:rPr>
          <w:rFonts w:hint="eastAsia"/>
          <w:color w:val="000000"/>
        </w:rPr>
        <w:t>证券投资基金</w:t>
      </w:r>
      <w:r w:rsidR="00AD5C40" w:rsidRPr="00482FE1">
        <w:rPr>
          <w:rFonts w:hint="eastAsia"/>
          <w:color w:val="000000"/>
        </w:rPr>
        <w:t>财产清算小组</w:t>
      </w:r>
    </w:p>
    <w:p w:rsidR="00B168D9" w:rsidRPr="00482FE1" w:rsidRDefault="004303E9" w:rsidP="002A0146">
      <w:pPr>
        <w:pStyle w:val="a3"/>
        <w:adjustRightInd w:val="0"/>
        <w:snapToGrid w:val="0"/>
        <w:spacing w:before="0" w:beforeAutospacing="0" w:after="0" w:afterAutospacing="0" w:line="360" w:lineRule="auto"/>
        <w:ind w:firstLineChars="200" w:firstLine="480"/>
        <w:jc w:val="right"/>
        <w:rPr>
          <w:color w:val="000000"/>
        </w:rPr>
      </w:pPr>
      <w:r w:rsidRPr="00482FE1">
        <w:rPr>
          <w:rFonts w:hint="eastAsia"/>
          <w:color w:val="000000"/>
        </w:rPr>
        <w:t>二〇</w:t>
      </w:r>
      <w:r w:rsidR="004422D9">
        <w:rPr>
          <w:rFonts w:hint="eastAsia"/>
          <w:color w:val="000000"/>
        </w:rPr>
        <w:t>二一</w:t>
      </w:r>
      <w:r w:rsidRPr="00482FE1">
        <w:rPr>
          <w:rFonts w:hint="eastAsia"/>
          <w:color w:val="000000"/>
        </w:rPr>
        <w:t>年</w:t>
      </w:r>
      <w:r w:rsidR="00FE2601">
        <w:rPr>
          <w:rFonts w:hint="eastAsia"/>
          <w:color w:val="000000"/>
        </w:rPr>
        <w:t>四</w:t>
      </w:r>
      <w:r w:rsidRPr="00482FE1">
        <w:rPr>
          <w:rFonts w:hint="eastAsia"/>
          <w:color w:val="000000"/>
        </w:rPr>
        <w:t>月</w:t>
      </w:r>
      <w:r w:rsidR="00FE2601">
        <w:rPr>
          <w:rFonts w:hint="eastAsia"/>
          <w:color w:val="000000"/>
        </w:rPr>
        <w:t>七</w:t>
      </w:r>
      <w:r w:rsidR="0014621F" w:rsidRPr="00482FE1">
        <w:rPr>
          <w:rFonts w:hint="eastAsia"/>
          <w:color w:val="000000"/>
        </w:rPr>
        <w:t>日</w:t>
      </w:r>
    </w:p>
    <w:sectPr w:rsidR="00B168D9" w:rsidRPr="00482FE1" w:rsidSect="00904F9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ED8" w16cex:dateUtc="2021-04-13T03:28:00Z"/>
  <w16cex:commentExtensible w16cex:durableId="24214015" w16cex:dateUtc="2021-04-14T02:19:00Z"/>
  <w16cex:commentExtensible w16cex:durableId="24214032" w16cex:dateUtc="2021-04-14T02:19:00Z"/>
  <w16cex:commentExtensible w16cex:durableId="24205983" w16cex:dateUtc="2021-04-13T09:55:00Z"/>
  <w16cex:commentExtensible w16cex:durableId="24205B99" w16cex:dateUtc="2021-04-13T10:04:00Z"/>
  <w16cex:commentExtensible w16cex:durableId="242140BE" w16cex:dateUtc="2021-04-14T02:21:00Z"/>
  <w16cex:commentExtensible w16cex:durableId="24214132" w16cex:dateUtc="2021-04-14T02:23:00Z"/>
  <w16cex:commentExtensible w16cex:durableId="2420619B" w16cex:dateUtc="2021-04-13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0A7B6" w16cid:durableId="241FFED8"/>
  <w16cid:commentId w16cid:paraId="13D56C55" w16cid:durableId="241FE5A0"/>
  <w16cid:commentId w16cid:paraId="1313A52C" w16cid:durableId="241FE5A1"/>
  <w16cid:commentId w16cid:paraId="154CAF6E" w16cid:durableId="24214015"/>
  <w16cid:commentId w16cid:paraId="0F8E52D4" w16cid:durableId="24214032"/>
  <w16cid:commentId w16cid:paraId="05EED0C0" w16cid:durableId="24205983"/>
  <w16cid:commentId w16cid:paraId="6A83D9BA" w16cid:durableId="24205B99"/>
  <w16cid:commentId w16cid:paraId="2AF41A0E" w16cid:durableId="242140BE"/>
  <w16cid:commentId w16cid:paraId="0C41A5E8" w16cid:durableId="24214132"/>
  <w16cid:commentId w16cid:paraId="7938F2F8" w16cid:durableId="242061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579" w:rsidRDefault="00DC0579" w:rsidP="00BF3BD3">
      <w:r>
        <w:separator/>
      </w:r>
    </w:p>
  </w:endnote>
  <w:endnote w:type="continuationSeparator" w:id="0">
    <w:p w:rsidR="00DC0579" w:rsidRDefault="00DC0579" w:rsidP="00BF3B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579" w:rsidRDefault="00DC0579" w:rsidP="00BF3BD3">
      <w:r>
        <w:separator/>
      </w:r>
    </w:p>
  </w:footnote>
  <w:footnote w:type="continuationSeparator" w:id="0">
    <w:p w:rsidR="00DC0579" w:rsidRDefault="00DC0579" w:rsidP="00BF3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54BEB"/>
    <w:multiLevelType w:val="hybridMultilevel"/>
    <w:tmpl w:val="62A007EC"/>
    <w:lvl w:ilvl="0" w:tplc="0000000A">
      <w:start w:val="1"/>
      <w:numFmt w:val="bullet"/>
      <w:lvlText w:val=""/>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717F7024"/>
    <w:multiLevelType w:val="hybridMultilevel"/>
    <w:tmpl w:val="E806B610"/>
    <w:lvl w:ilvl="0" w:tplc="BCCC59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5C40"/>
    <w:rsid w:val="00002A1D"/>
    <w:rsid w:val="00002F9F"/>
    <w:rsid w:val="000049C9"/>
    <w:rsid w:val="00007785"/>
    <w:rsid w:val="00015B60"/>
    <w:rsid w:val="00021CEC"/>
    <w:rsid w:val="000239E5"/>
    <w:rsid w:val="00023BBB"/>
    <w:rsid w:val="00030917"/>
    <w:rsid w:val="00035294"/>
    <w:rsid w:val="00042E31"/>
    <w:rsid w:val="00046226"/>
    <w:rsid w:val="00046C45"/>
    <w:rsid w:val="0005532E"/>
    <w:rsid w:val="00057198"/>
    <w:rsid w:val="00064C49"/>
    <w:rsid w:val="0007755B"/>
    <w:rsid w:val="000A11C3"/>
    <w:rsid w:val="000B336E"/>
    <w:rsid w:val="000C4C62"/>
    <w:rsid w:val="000C4E50"/>
    <w:rsid w:val="000D7BA9"/>
    <w:rsid w:val="000E7CDE"/>
    <w:rsid w:val="000F0C30"/>
    <w:rsid w:val="000F40DC"/>
    <w:rsid w:val="000F521B"/>
    <w:rsid w:val="000F546B"/>
    <w:rsid w:val="00103157"/>
    <w:rsid w:val="0010399E"/>
    <w:rsid w:val="00104AF0"/>
    <w:rsid w:val="00113638"/>
    <w:rsid w:val="00115D2C"/>
    <w:rsid w:val="00116566"/>
    <w:rsid w:val="00127DBD"/>
    <w:rsid w:val="00127EEF"/>
    <w:rsid w:val="00132A41"/>
    <w:rsid w:val="00137835"/>
    <w:rsid w:val="001428EF"/>
    <w:rsid w:val="0014621F"/>
    <w:rsid w:val="00147A75"/>
    <w:rsid w:val="0015064E"/>
    <w:rsid w:val="00150A93"/>
    <w:rsid w:val="0015468A"/>
    <w:rsid w:val="001566C5"/>
    <w:rsid w:val="0016537C"/>
    <w:rsid w:val="001726C3"/>
    <w:rsid w:val="001877F2"/>
    <w:rsid w:val="001972D4"/>
    <w:rsid w:val="001A58FB"/>
    <w:rsid w:val="001C63E3"/>
    <w:rsid w:val="001C7B6F"/>
    <w:rsid w:val="001D3B88"/>
    <w:rsid w:val="001E0BA1"/>
    <w:rsid w:val="001E0F83"/>
    <w:rsid w:val="001E3F96"/>
    <w:rsid w:val="00200B4A"/>
    <w:rsid w:val="00204D54"/>
    <w:rsid w:val="002059C8"/>
    <w:rsid w:val="0021738D"/>
    <w:rsid w:val="00224CE7"/>
    <w:rsid w:val="00227BCD"/>
    <w:rsid w:val="00235BFE"/>
    <w:rsid w:val="00241F70"/>
    <w:rsid w:val="002434D1"/>
    <w:rsid w:val="00247CD6"/>
    <w:rsid w:val="002504D5"/>
    <w:rsid w:val="00262EF5"/>
    <w:rsid w:val="00263735"/>
    <w:rsid w:val="002822F1"/>
    <w:rsid w:val="00285E2A"/>
    <w:rsid w:val="00285FDD"/>
    <w:rsid w:val="00286660"/>
    <w:rsid w:val="002919FF"/>
    <w:rsid w:val="00295700"/>
    <w:rsid w:val="00295B71"/>
    <w:rsid w:val="002A0146"/>
    <w:rsid w:val="002A7AD0"/>
    <w:rsid w:val="002B1B4B"/>
    <w:rsid w:val="002B2E85"/>
    <w:rsid w:val="002B596A"/>
    <w:rsid w:val="002C0F47"/>
    <w:rsid w:val="002C1DE1"/>
    <w:rsid w:val="002D7E53"/>
    <w:rsid w:val="002E34EB"/>
    <w:rsid w:val="002E563C"/>
    <w:rsid w:val="002F0F80"/>
    <w:rsid w:val="00321254"/>
    <w:rsid w:val="0032615D"/>
    <w:rsid w:val="00330B7C"/>
    <w:rsid w:val="003353AF"/>
    <w:rsid w:val="0034282B"/>
    <w:rsid w:val="00347FCB"/>
    <w:rsid w:val="0035483F"/>
    <w:rsid w:val="00354B70"/>
    <w:rsid w:val="0037223D"/>
    <w:rsid w:val="00377077"/>
    <w:rsid w:val="00383D43"/>
    <w:rsid w:val="003849D7"/>
    <w:rsid w:val="00384AAD"/>
    <w:rsid w:val="00384B55"/>
    <w:rsid w:val="00385CA4"/>
    <w:rsid w:val="0039037A"/>
    <w:rsid w:val="00392F36"/>
    <w:rsid w:val="003A013F"/>
    <w:rsid w:val="003C7D0D"/>
    <w:rsid w:val="003D16AF"/>
    <w:rsid w:val="003D7D55"/>
    <w:rsid w:val="00400A3B"/>
    <w:rsid w:val="00404891"/>
    <w:rsid w:val="0040555F"/>
    <w:rsid w:val="004075EE"/>
    <w:rsid w:val="004126EE"/>
    <w:rsid w:val="00415E7A"/>
    <w:rsid w:val="00421827"/>
    <w:rsid w:val="0042416F"/>
    <w:rsid w:val="004259A3"/>
    <w:rsid w:val="0042621E"/>
    <w:rsid w:val="004303E9"/>
    <w:rsid w:val="00430C14"/>
    <w:rsid w:val="004355BC"/>
    <w:rsid w:val="004422D9"/>
    <w:rsid w:val="00443232"/>
    <w:rsid w:val="0044330A"/>
    <w:rsid w:val="0045337C"/>
    <w:rsid w:val="004566BB"/>
    <w:rsid w:val="004604B6"/>
    <w:rsid w:val="00462853"/>
    <w:rsid w:val="00463804"/>
    <w:rsid w:val="0047693F"/>
    <w:rsid w:val="004773CA"/>
    <w:rsid w:val="0048008D"/>
    <w:rsid w:val="00480848"/>
    <w:rsid w:val="00482FE1"/>
    <w:rsid w:val="004942B4"/>
    <w:rsid w:val="004A19E6"/>
    <w:rsid w:val="004B7BF5"/>
    <w:rsid w:val="004C71E2"/>
    <w:rsid w:val="004D1F88"/>
    <w:rsid w:val="004D302D"/>
    <w:rsid w:val="004D7FF2"/>
    <w:rsid w:val="004F5367"/>
    <w:rsid w:val="005011E6"/>
    <w:rsid w:val="00502249"/>
    <w:rsid w:val="00506C30"/>
    <w:rsid w:val="00513EB5"/>
    <w:rsid w:val="0052041D"/>
    <w:rsid w:val="00531FE3"/>
    <w:rsid w:val="005416D5"/>
    <w:rsid w:val="005457DA"/>
    <w:rsid w:val="00551FD5"/>
    <w:rsid w:val="00566699"/>
    <w:rsid w:val="00571972"/>
    <w:rsid w:val="00572886"/>
    <w:rsid w:val="00576A20"/>
    <w:rsid w:val="0058772F"/>
    <w:rsid w:val="005937AF"/>
    <w:rsid w:val="005964F7"/>
    <w:rsid w:val="00596CB9"/>
    <w:rsid w:val="005976D2"/>
    <w:rsid w:val="005A32A4"/>
    <w:rsid w:val="005B3E4C"/>
    <w:rsid w:val="005C29CE"/>
    <w:rsid w:val="005C6917"/>
    <w:rsid w:val="005D0F22"/>
    <w:rsid w:val="005D163B"/>
    <w:rsid w:val="005D3C87"/>
    <w:rsid w:val="005D660E"/>
    <w:rsid w:val="005F3489"/>
    <w:rsid w:val="005F3F6A"/>
    <w:rsid w:val="00601496"/>
    <w:rsid w:val="0061025E"/>
    <w:rsid w:val="006117FF"/>
    <w:rsid w:val="00611F8B"/>
    <w:rsid w:val="00621513"/>
    <w:rsid w:val="00621A19"/>
    <w:rsid w:val="00624616"/>
    <w:rsid w:val="0063325E"/>
    <w:rsid w:val="00636AD5"/>
    <w:rsid w:val="00636B8D"/>
    <w:rsid w:val="006502B1"/>
    <w:rsid w:val="006574A3"/>
    <w:rsid w:val="00657C48"/>
    <w:rsid w:val="006704E4"/>
    <w:rsid w:val="00672954"/>
    <w:rsid w:val="00673D4B"/>
    <w:rsid w:val="006745A2"/>
    <w:rsid w:val="00676022"/>
    <w:rsid w:val="00677AEB"/>
    <w:rsid w:val="00690AFA"/>
    <w:rsid w:val="00692192"/>
    <w:rsid w:val="006A4BF7"/>
    <w:rsid w:val="006B110C"/>
    <w:rsid w:val="006B1144"/>
    <w:rsid w:val="006B2A58"/>
    <w:rsid w:val="006C75D6"/>
    <w:rsid w:val="006D0860"/>
    <w:rsid w:val="006D33A2"/>
    <w:rsid w:val="006E2A33"/>
    <w:rsid w:val="006E5002"/>
    <w:rsid w:val="006E50F0"/>
    <w:rsid w:val="006F211E"/>
    <w:rsid w:val="006F7ACA"/>
    <w:rsid w:val="00712EF7"/>
    <w:rsid w:val="00725F8B"/>
    <w:rsid w:val="0073250F"/>
    <w:rsid w:val="0073349E"/>
    <w:rsid w:val="0073505B"/>
    <w:rsid w:val="00737292"/>
    <w:rsid w:val="00747A2C"/>
    <w:rsid w:val="00751E81"/>
    <w:rsid w:val="00763312"/>
    <w:rsid w:val="007663A6"/>
    <w:rsid w:val="0077497D"/>
    <w:rsid w:val="00783473"/>
    <w:rsid w:val="007837F1"/>
    <w:rsid w:val="00784F32"/>
    <w:rsid w:val="007B48CC"/>
    <w:rsid w:val="007C3ADD"/>
    <w:rsid w:val="007C6043"/>
    <w:rsid w:val="007D2516"/>
    <w:rsid w:val="007F0672"/>
    <w:rsid w:val="007F0E0F"/>
    <w:rsid w:val="008009B2"/>
    <w:rsid w:val="00800A5F"/>
    <w:rsid w:val="00802872"/>
    <w:rsid w:val="008044F5"/>
    <w:rsid w:val="008049D9"/>
    <w:rsid w:val="00810300"/>
    <w:rsid w:val="0081092F"/>
    <w:rsid w:val="00832324"/>
    <w:rsid w:val="00835F01"/>
    <w:rsid w:val="008427C7"/>
    <w:rsid w:val="00846EB0"/>
    <w:rsid w:val="00847482"/>
    <w:rsid w:val="00851235"/>
    <w:rsid w:val="008563B1"/>
    <w:rsid w:val="0086027E"/>
    <w:rsid w:val="00860E52"/>
    <w:rsid w:val="00865FA1"/>
    <w:rsid w:val="00867D0A"/>
    <w:rsid w:val="00871851"/>
    <w:rsid w:val="00873014"/>
    <w:rsid w:val="008730F0"/>
    <w:rsid w:val="00890701"/>
    <w:rsid w:val="00890D55"/>
    <w:rsid w:val="0089792D"/>
    <w:rsid w:val="008A5FE0"/>
    <w:rsid w:val="008B1F1F"/>
    <w:rsid w:val="008B28E4"/>
    <w:rsid w:val="008B3D0A"/>
    <w:rsid w:val="008B4DA3"/>
    <w:rsid w:val="008D14A7"/>
    <w:rsid w:val="008D2384"/>
    <w:rsid w:val="008E0BA3"/>
    <w:rsid w:val="008E2C00"/>
    <w:rsid w:val="008E5583"/>
    <w:rsid w:val="008E70E6"/>
    <w:rsid w:val="008F4AF4"/>
    <w:rsid w:val="00904F90"/>
    <w:rsid w:val="00905B18"/>
    <w:rsid w:val="00905C2E"/>
    <w:rsid w:val="00906EC7"/>
    <w:rsid w:val="00940326"/>
    <w:rsid w:val="009469BA"/>
    <w:rsid w:val="009516D0"/>
    <w:rsid w:val="00955504"/>
    <w:rsid w:val="009670AA"/>
    <w:rsid w:val="009733C6"/>
    <w:rsid w:val="009847DB"/>
    <w:rsid w:val="00986899"/>
    <w:rsid w:val="00996B23"/>
    <w:rsid w:val="00996DCA"/>
    <w:rsid w:val="009A1B74"/>
    <w:rsid w:val="009A5A84"/>
    <w:rsid w:val="009C2467"/>
    <w:rsid w:val="009C29D8"/>
    <w:rsid w:val="009D3DE6"/>
    <w:rsid w:val="009D6C86"/>
    <w:rsid w:val="009E0A5B"/>
    <w:rsid w:val="009E1206"/>
    <w:rsid w:val="009E4281"/>
    <w:rsid w:val="009F08B2"/>
    <w:rsid w:val="009F47FA"/>
    <w:rsid w:val="009F5219"/>
    <w:rsid w:val="00A03770"/>
    <w:rsid w:val="00A03B3A"/>
    <w:rsid w:val="00A06140"/>
    <w:rsid w:val="00A10044"/>
    <w:rsid w:val="00A10A78"/>
    <w:rsid w:val="00A257B6"/>
    <w:rsid w:val="00A273E6"/>
    <w:rsid w:val="00A41BAB"/>
    <w:rsid w:val="00A42109"/>
    <w:rsid w:val="00A43137"/>
    <w:rsid w:val="00A438D9"/>
    <w:rsid w:val="00A455DF"/>
    <w:rsid w:val="00A52F52"/>
    <w:rsid w:val="00A53F81"/>
    <w:rsid w:val="00A6775C"/>
    <w:rsid w:val="00A73630"/>
    <w:rsid w:val="00A73B7C"/>
    <w:rsid w:val="00A74BC5"/>
    <w:rsid w:val="00A76C06"/>
    <w:rsid w:val="00A813CB"/>
    <w:rsid w:val="00A911F5"/>
    <w:rsid w:val="00A94901"/>
    <w:rsid w:val="00A95743"/>
    <w:rsid w:val="00A95F17"/>
    <w:rsid w:val="00AA2B89"/>
    <w:rsid w:val="00AB1B9B"/>
    <w:rsid w:val="00AB71BC"/>
    <w:rsid w:val="00AC2825"/>
    <w:rsid w:val="00AC2C75"/>
    <w:rsid w:val="00AC453A"/>
    <w:rsid w:val="00AC543A"/>
    <w:rsid w:val="00AD3D13"/>
    <w:rsid w:val="00AD499A"/>
    <w:rsid w:val="00AD568B"/>
    <w:rsid w:val="00AD5C40"/>
    <w:rsid w:val="00AD6D09"/>
    <w:rsid w:val="00AE08F1"/>
    <w:rsid w:val="00AF5710"/>
    <w:rsid w:val="00B033B8"/>
    <w:rsid w:val="00B05077"/>
    <w:rsid w:val="00B168D9"/>
    <w:rsid w:val="00B24335"/>
    <w:rsid w:val="00B25646"/>
    <w:rsid w:val="00B27FDE"/>
    <w:rsid w:val="00B325F0"/>
    <w:rsid w:val="00B3510D"/>
    <w:rsid w:val="00B35748"/>
    <w:rsid w:val="00B458E4"/>
    <w:rsid w:val="00B46532"/>
    <w:rsid w:val="00B5453B"/>
    <w:rsid w:val="00B63A20"/>
    <w:rsid w:val="00B65702"/>
    <w:rsid w:val="00B718BB"/>
    <w:rsid w:val="00B9131D"/>
    <w:rsid w:val="00BA2B2D"/>
    <w:rsid w:val="00BA4182"/>
    <w:rsid w:val="00BB2FBC"/>
    <w:rsid w:val="00BB6A3A"/>
    <w:rsid w:val="00BD2E9B"/>
    <w:rsid w:val="00BD4EFF"/>
    <w:rsid w:val="00BD7456"/>
    <w:rsid w:val="00BF0BDC"/>
    <w:rsid w:val="00BF3BD3"/>
    <w:rsid w:val="00C00AA5"/>
    <w:rsid w:val="00C04AF2"/>
    <w:rsid w:val="00C109E2"/>
    <w:rsid w:val="00C11285"/>
    <w:rsid w:val="00C11E2A"/>
    <w:rsid w:val="00C20094"/>
    <w:rsid w:val="00C237E1"/>
    <w:rsid w:val="00C24C5C"/>
    <w:rsid w:val="00C26FFA"/>
    <w:rsid w:val="00C27BEE"/>
    <w:rsid w:val="00C345EF"/>
    <w:rsid w:val="00C40348"/>
    <w:rsid w:val="00C43ED0"/>
    <w:rsid w:val="00C53056"/>
    <w:rsid w:val="00C55EE0"/>
    <w:rsid w:val="00C56C87"/>
    <w:rsid w:val="00C61789"/>
    <w:rsid w:val="00C63CF3"/>
    <w:rsid w:val="00C64E8E"/>
    <w:rsid w:val="00C65944"/>
    <w:rsid w:val="00C66C8C"/>
    <w:rsid w:val="00C6796D"/>
    <w:rsid w:val="00C87130"/>
    <w:rsid w:val="00C9552F"/>
    <w:rsid w:val="00CA1BE0"/>
    <w:rsid w:val="00CA49E9"/>
    <w:rsid w:val="00CA7456"/>
    <w:rsid w:val="00CA7564"/>
    <w:rsid w:val="00CB09EE"/>
    <w:rsid w:val="00CB6984"/>
    <w:rsid w:val="00CB7D11"/>
    <w:rsid w:val="00CC404B"/>
    <w:rsid w:val="00CC5BCD"/>
    <w:rsid w:val="00CC60A2"/>
    <w:rsid w:val="00CD0D1A"/>
    <w:rsid w:val="00CE57E8"/>
    <w:rsid w:val="00CF1EC2"/>
    <w:rsid w:val="00CF331F"/>
    <w:rsid w:val="00CF43D2"/>
    <w:rsid w:val="00D02A4D"/>
    <w:rsid w:val="00D171DD"/>
    <w:rsid w:val="00D179C3"/>
    <w:rsid w:val="00D22EB8"/>
    <w:rsid w:val="00D32B26"/>
    <w:rsid w:val="00D40D34"/>
    <w:rsid w:val="00D52AAC"/>
    <w:rsid w:val="00D655D7"/>
    <w:rsid w:val="00D65A30"/>
    <w:rsid w:val="00D673F1"/>
    <w:rsid w:val="00D750AE"/>
    <w:rsid w:val="00D86E98"/>
    <w:rsid w:val="00D87841"/>
    <w:rsid w:val="00D9636E"/>
    <w:rsid w:val="00D96FEC"/>
    <w:rsid w:val="00DA5D25"/>
    <w:rsid w:val="00DB6038"/>
    <w:rsid w:val="00DC006E"/>
    <w:rsid w:val="00DC0579"/>
    <w:rsid w:val="00DD0373"/>
    <w:rsid w:val="00DD7DB8"/>
    <w:rsid w:val="00DF29EA"/>
    <w:rsid w:val="00DF37F3"/>
    <w:rsid w:val="00E00B4A"/>
    <w:rsid w:val="00E024A6"/>
    <w:rsid w:val="00E06BC4"/>
    <w:rsid w:val="00E12647"/>
    <w:rsid w:val="00E17741"/>
    <w:rsid w:val="00E22D43"/>
    <w:rsid w:val="00E2617C"/>
    <w:rsid w:val="00E377DD"/>
    <w:rsid w:val="00E45360"/>
    <w:rsid w:val="00E47B86"/>
    <w:rsid w:val="00E645FD"/>
    <w:rsid w:val="00E70D64"/>
    <w:rsid w:val="00E725B6"/>
    <w:rsid w:val="00E80F56"/>
    <w:rsid w:val="00E96C80"/>
    <w:rsid w:val="00EA4BBC"/>
    <w:rsid w:val="00EB15FE"/>
    <w:rsid w:val="00EB3289"/>
    <w:rsid w:val="00EB746C"/>
    <w:rsid w:val="00EC0ADB"/>
    <w:rsid w:val="00EC276C"/>
    <w:rsid w:val="00EC27AB"/>
    <w:rsid w:val="00EC557B"/>
    <w:rsid w:val="00ED4180"/>
    <w:rsid w:val="00ED5A18"/>
    <w:rsid w:val="00EE6ADC"/>
    <w:rsid w:val="00EF3394"/>
    <w:rsid w:val="00EF3C7C"/>
    <w:rsid w:val="00EF450E"/>
    <w:rsid w:val="00F058EB"/>
    <w:rsid w:val="00F10969"/>
    <w:rsid w:val="00F12B07"/>
    <w:rsid w:val="00F15095"/>
    <w:rsid w:val="00F20196"/>
    <w:rsid w:val="00F22CE9"/>
    <w:rsid w:val="00F36FD9"/>
    <w:rsid w:val="00F42B91"/>
    <w:rsid w:val="00F47507"/>
    <w:rsid w:val="00F52144"/>
    <w:rsid w:val="00F56628"/>
    <w:rsid w:val="00F66390"/>
    <w:rsid w:val="00F675B4"/>
    <w:rsid w:val="00F70730"/>
    <w:rsid w:val="00F71A32"/>
    <w:rsid w:val="00F740E1"/>
    <w:rsid w:val="00F85FC1"/>
    <w:rsid w:val="00F861CD"/>
    <w:rsid w:val="00F86869"/>
    <w:rsid w:val="00F9054E"/>
    <w:rsid w:val="00F911EF"/>
    <w:rsid w:val="00F95756"/>
    <w:rsid w:val="00F9769D"/>
    <w:rsid w:val="00FA1D10"/>
    <w:rsid w:val="00FA4A6B"/>
    <w:rsid w:val="00FA54DD"/>
    <w:rsid w:val="00FB7DA2"/>
    <w:rsid w:val="00FC30A3"/>
    <w:rsid w:val="00FC58BF"/>
    <w:rsid w:val="00FC6E3D"/>
    <w:rsid w:val="00FC775B"/>
    <w:rsid w:val="00FD0C2D"/>
    <w:rsid w:val="00FD0D3E"/>
    <w:rsid w:val="00FD6653"/>
    <w:rsid w:val="00FE2601"/>
    <w:rsid w:val="00FF18DE"/>
    <w:rsid w:val="00FF3F18"/>
    <w:rsid w:val="00FF50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D5C4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D5C40"/>
    <w:rPr>
      <w:sz w:val="18"/>
      <w:szCs w:val="18"/>
    </w:rPr>
  </w:style>
  <w:style w:type="character" w:customStyle="1" w:styleId="Char">
    <w:name w:val="批注框文本 Char"/>
    <w:basedOn w:val="a0"/>
    <w:link w:val="a4"/>
    <w:uiPriority w:val="99"/>
    <w:semiHidden/>
    <w:rsid w:val="00AD5C40"/>
    <w:rPr>
      <w:sz w:val="18"/>
      <w:szCs w:val="18"/>
    </w:rPr>
  </w:style>
  <w:style w:type="paragraph" w:styleId="a5">
    <w:name w:val="header"/>
    <w:basedOn w:val="a"/>
    <w:link w:val="Char0"/>
    <w:uiPriority w:val="99"/>
    <w:unhideWhenUsed/>
    <w:rsid w:val="00BF3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BD3"/>
    <w:rPr>
      <w:sz w:val="18"/>
      <w:szCs w:val="18"/>
    </w:rPr>
  </w:style>
  <w:style w:type="paragraph" w:styleId="a6">
    <w:name w:val="footer"/>
    <w:basedOn w:val="a"/>
    <w:link w:val="Char1"/>
    <w:uiPriority w:val="99"/>
    <w:unhideWhenUsed/>
    <w:rsid w:val="00BF3BD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BD3"/>
    <w:rPr>
      <w:sz w:val="18"/>
      <w:szCs w:val="18"/>
    </w:rPr>
  </w:style>
  <w:style w:type="paragraph" w:styleId="a7">
    <w:name w:val="List Paragraph"/>
    <w:basedOn w:val="a"/>
    <w:uiPriority w:val="34"/>
    <w:qFormat/>
    <w:rsid w:val="00B325F0"/>
    <w:pPr>
      <w:ind w:firstLineChars="200" w:firstLine="420"/>
    </w:pPr>
  </w:style>
  <w:style w:type="character" w:styleId="a8">
    <w:name w:val="annotation reference"/>
    <w:basedOn w:val="a0"/>
    <w:uiPriority w:val="99"/>
    <w:semiHidden/>
    <w:unhideWhenUsed/>
    <w:rsid w:val="00A53F81"/>
    <w:rPr>
      <w:sz w:val="21"/>
      <w:szCs w:val="21"/>
    </w:rPr>
  </w:style>
  <w:style w:type="paragraph" w:styleId="a9">
    <w:name w:val="annotation text"/>
    <w:basedOn w:val="a"/>
    <w:link w:val="Char2"/>
    <w:uiPriority w:val="99"/>
    <w:semiHidden/>
    <w:unhideWhenUsed/>
    <w:rsid w:val="00A53F81"/>
    <w:pPr>
      <w:jc w:val="left"/>
    </w:pPr>
  </w:style>
  <w:style w:type="character" w:customStyle="1" w:styleId="Char2">
    <w:name w:val="批注文字 Char"/>
    <w:basedOn w:val="a0"/>
    <w:link w:val="a9"/>
    <w:uiPriority w:val="99"/>
    <w:semiHidden/>
    <w:rsid w:val="00A53F81"/>
  </w:style>
  <w:style w:type="paragraph" w:styleId="aa">
    <w:name w:val="annotation subject"/>
    <w:basedOn w:val="a9"/>
    <w:next w:val="a9"/>
    <w:link w:val="Char3"/>
    <w:uiPriority w:val="99"/>
    <w:semiHidden/>
    <w:unhideWhenUsed/>
    <w:rsid w:val="00A53F81"/>
    <w:rPr>
      <w:b/>
      <w:bCs/>
    </w:rPr>
  </w:style>
  <w:style w:type="character" w:customStyle="1" w:styleId="Char3">
    <w:name w:val="批注主题 Char"/>
    <w:basedOn w:val="Char2"/>
    <w:link w:val="aa"/>
    <w:uiPriority w:val="99"/>
    <w:semiHidden/>
    <w:rsid w:val="00A53F81"/>
    <w:rPr>
      <w:b/>
      <w:bCs/>
    </w:rPr>
  </w:style>
  <w:style w:type="paragraph" w:styleId="ab">
    <w:name w:val="Revision"/>
    <w:hidden/>
    <w:uiPriority w:val="99"/>
    <w:semiHidden/>
    <w:rsid w:val="002D7E53"/>
  </w:style>
  <w:style w:type="paragraph" w:customStyle="1" w:styleId="Default">
    <w:name w:val="Default"/>
    <w:rsid w:val="00CC404B"/>
    <w:pPr>
      <w:widowControl w:val="0"/>
      <w:autoSpaceDE w:val="0"/>
      <w:autoSpaceDN w:val="0"/>
      <w:adjustRightInd w:val="0"/>
    </w:pPr>
    <w:rPr>
      <w:rFonts w:ascii="黑体" w:hAnsi="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5581274">
      <w:bodyDiv w:val="1"/>
      <w:marLeft w:val="0"/>
      <w:marRight w:val="0"/>
      <w:marTop w:val="0"/>
      <w:marBottom w:val="0"/>
      <w:divBdr>
        <w:top w:val="none" w:sz="0" w:space="0" w:color="auto"/>
        <w:left w:val="none" w:sz="0" w:space="0" w:color="auto"/>
        <w:bottom w:val="none" w:sz="0" w:space="0" w:color="auto"/>
        <w:right w:val="none" w:sz="0" w:space="0" w:color="auto"/>
      </w:divBdr>
    </w:div>
    <w:div w:id="286856779">
      <w:bodyDiv w:val="1"/>
      <w:marLeft w:val="0"/>
      <w:marRight w:val="0"/>
      <w:marTop w:val="0"/>
      <w:marBottom w:val="0"/>
      <w:divBdr>
        <w:top w:val="none" w:sz="0" w:space="0" w:color="auto"/>
        <w:left w:val="none" w:sz="0" w:space="0" w:color="auto"/>
        <w:bottom w:val="none" w:sz="0" w:space="0" w:color="auto"/>
        <w:right w:val="none" w:sz="0" w:space="0" w:color="auto"/>
      </w:divBdr>
    </w:div>
    <w:div w:id="490171394">
      <w:bodyDiv w:val="1"/>
      <w:marLeft w:val="0"/>
      <w:marRight w:val="0"/>
      <w:marTop w:val="0"/>
      <w:marBottom w:val="0"/>
      <w:divBdr>
        <w:top w:val="none" w:sz="0" w:space="0" w:color="auto"/>
        <w:left w:val="none" w:sz="0" w:space="0" w:color="auto"/>
        <w:bottom w:val="none" w:sz="0" w:space="0" w:color="auto"/>
        <w:right w:val="none" w:sz="0" w:space="0" w:color="auto"/>
      </w:divBdr>
    </w:div>
    <w:div w:id="644238608">
      <w:bodyDiv w:val="1"/>
      <w:marLeft w:val="0"/>
      <w:marRight w:val="0"/>
      <w:marTop w:val="0"/>
      <w:marBottom w:val="0"/>
      <w:divBdr>
        <w:top w:val="none" w:sz="0" w:space="0" w:color="auto"/>
        <w:left w:val="none" w:sz="0" w:space="0" w:color="auto"/>
        <w:bottom w:val="none" w:sz="0" w:space="0" w:color="auto"/>
        <w:right w:val="none" w:sz="0" w:space="0" w:color="auto"/>
      </w:divBdr>
    </w:div>
    <w:div w:id="644818000">
      <w:bodyDiv w:val="1"/>
      <w:marLeft w:val="0"/>
      <w:marRight w:val="0"/>
      <w:marTop w:val="0"/>
      <w:marBottom w:val="0"/>
      <w:divBdr>
        <w:top w:val="none" w:sz="0" w:space="0" w:color="auto"/>
        <w:left w:val="none" w:sz="0" w:space="0" w:color="auto"/>
        <w:bottom w:val="none" w:sz="0" w:space="0" w:color="auto"/>
        <w:right w:val="none" w:sz="0" w:space="0" w:color="auto"/>
      </w:divBdr>
    </w:div>
    <w:div w:id="731082419">
      <w:bodyDiv w:val="1"/>
      <w:marLeft w:val="0"/>
      <w:marRight w:val="0"/>
      <w:marTop w:val="0"/>
      <w:marBottom w:val="0"/>
      <w:divBdr>
        <w:top w:val="none" w:sz="0" w:space="0" w:color="auto"/>
        <w:left w:val="none" w:sz="0" w:space="0" w:color="auto"/>
        <w:bottom w:val="none" w:sz="0" w:space="0" w:color="auto"/>
        <w:right w:val="none" w:sz="0" w:space="0" w:color="auto"/>
      </w:divBdr>
    </w:div>
    <w:div w:id="928659604">
      <w:bodyDiv w:val="1"/>
      <w:marLeft w:val="0"/>
      <w:marRight w:val="0"/>
      <w:marTop w:val="0"/>
      <w:marBottom w:val="0"/>
      <w:divBdr>
        <w:top w:val="none" w:sz="0" w:space="0" w:color="auto"/>
        <w:left w:val="none" w:sz="0" w:space="0" w:color="auto"/>
        <w:bottom w:val="none" w:sz="0" w:space="0" w:color="auto"/>
        <w:right w:val="none" w:sz="0" w:space="0" w:color="auto"/>
      </w:divBdr>
    </w:div>
    <w:div w:id="990523240">
      <w:bodyDiv w:val="1"/>
      <w:marLeft w:val="0"/>
      <w:marRight w:val="0"/>
      <w:marTop w:val="0"/>
      <w:marBottom w:val="0"/>
      <w:divBdr>
        <w:top w:val="none" w:sz="0" w:space="0" w:color="auto"/>
        <w:left w:val="none" w:sz="0" w:space="0" w:color="auto"/>
        <w:bottom w:val="none" w:sz="0" w:space="0" w:color="auto"/>
        <w:right w:val="none" w:sz="0" w:space="0" w:color="auto"/>
      </w:divBdr>
    </w:div>
    <w:div w:id="1080100108">
      <w:bodyDiv w:val="1"/>
      <w:marLeft w:val="0"/>
      <w:marRight w:val="0"/>
      <w:marTop w:val="0"/>
      <w:marBottom w:val="0"/>
      <w:divBdr>
        <w:top w:val="none" w:sz="0" w:space="0" w:color="auto"/>
        <w:left w:val="none" w:sz="0" w:space="0" w:color="auto"/>
        <w:bottom w:val="none" w:sz="0" w:space="0" w:color="auto"/>
        <w:right w:val="none" w:sz="0" w:space="0" w:color="auto"/>
      </w:divBdr>
    </w:div>
    <w:div w:id="1233783038">
      <w:bodyDiv w:val="1"/>
      <w:marLeft w:val="0"/>
      <w:marRight w:val="0"/>
      <w:marTop w:val="0"/>
      <w:marBottom w:val="0"/>
      <w:divBdr>
        <w:top w:val="none" w:sz="0" w:space="0" w:color="auto"/>
        <w:left w:val="none" w:sz="0" w:space="0" w:color="auto"/>
        <w:bottom w:val="none" w:sz="0" w:space="0" w:color="auto"/>
        <w:right w:val="none" w:sz="0" w:space="0" w:color="auto"/>
      </w:divBdr>
    </w:div>
    <w:div w:id="1295717157">
      <w:bodyDiv w:val="1"/>
      <w:marLeft w:val="0"/>
      <w:marRight w:val="0"/>
      <w:marTop w:val="0"/>
      <w:marBottom w:val="0"/>
      <w:divBdr>
        <w:top w:val="none" w:sz="0" w:space="0" w:color="auto"/>
        <w:left w:val="none" w:sz="0" w:space="0" w:color="auto"/>
        <w:bottom w:val="none" w:sz="0" w:space="0" w:color="auto"/>
        <w:right w:val="none" w:sz="0" w:space="0" w:color="auto"/>
      </w:divBdr>
    </w:div>
    <w:div w:id="1675454186">
      <w:bodyDiv w:val="1"/>
      <w:marLeft w:val="0"/>
      <w:marRight w:val="0"/>
      <w:marTop w:val="0"/>
      <w:marBottom w:val="0"/>
      <w:divBdr>
        <w:top w:val="none" w:sz="0" w:space="0" w:color="auto"/>
        <w:left w:val="none" w:sz="0" w:space="0" w:color="auto"/>
        <w:bottom w:val="none" w:sz="0" w:space="0" w:color="auto"/>
        <w:right w:val="none" w:sz="0" w:space="0" w:color="auto"/>
      </w:divBdr>
    </w:div>
    <w:div w:id="1781342549">
      <w:bodyDiv w:val="1"/>
      <w:marLeft w:val="0"/>
      <w:marRight w:val="0"/>
      <w:marTop w:val="0"/>
      <w:marBottom w:val="0"/>
      <w:divBdr>
        <w:top w:val="none" w:sz="0" w:space="0" w:color="auto"/>
        <w:left w:val="none" w:sz="0" w:space="0" w:color="auto"/>
        <w:bottom w:val="none" w:sz="0" w:space="0" w:color="auto"/>
        <w:right w:val="none" w:sz="0" w:space="0" w:color="auto"/>
      </w:divBdr>
    </w:div>
    <w:div w:id="1990206677">
      <w:bodyDiv w:val="1"/>
      <w:marLeft w:val="0"/>
      <w:marRight w:val="0"/>
      <w:marTop w:val="0"/>
      <w:marBottom w:val="0"/>
      <w:divBdr>
        <w:top w:val="none" w:sz="0" w:space="0" w:color="auto"/>
        <w:left w:val="none" w:sz="0" w:space="0" w:color="auto"/>
        <w:bottom w:val="none" w:sz="0" w:space="0" w:color="auto"/>
        <w:right w:val="none" w:sz="0" w:space="0" w:color="auto"/>
      </w:divBdr>
      <w:divsChild>
        <w:div w:id="655761690">
          <w:marLeft w:val="0"/>
          <w:marRight w:val="0"/>
          <w:marTop w:val="0"/>
          <w:marBottom w:val="0"/>
          <w:divBdr>
            <w:top w:val="none" w:sz="0" w:space="0" w:color="auto"/>
            <w:left w:val="none" w:sz="0" w:space="0" w:color="auto"/>
            <w:bottom w:val="none" w:sz="0" w:space="0" w:color="auto"/>
            <w:right w:val="none" w:sz="0" w:space="0" w:color="auto"/>
          </w:divBdr>
          <w:divsChild>
            <w:div w:id="1893223500">
              <w:marLeft w:val="0"/>
              <w:marRight w:val="0"/>
              <w:marTop w:val="0"/>
              <w:marBottom w:val="0"/>
              <w:divBdr>
                <w:top w:val="none" w:sz="0" w:space="0" w:color="auto"/>
                <w:left w:val="none" w:sz="0" w:space="0" w:color="auto"/>
                <w:bottom w:val="none" w:sz="0" w:space="0" w:color="auto"/>
                <w:right w:val="none" w:sz="0" w:space="0" w:color="auto"/>
              </w:divBdr>
            </w:div>
          </w:divsChild>
        </w:div>
        <w:div w:id="1428384278">
          <w:marLeft w:val="0"/>
          <w:marRight w:val="0"/>
          <w:marTop w:val="0"/>
          <w:marBottom w:val="0"/>
          <w:divBdr>
            <w:top w:val="none" w:sz="0" w:space="0" w:color="auto"/>
            <w:left w:val="none" w:sz="0" w:space="0" w:color="auto"/>
            <w:bottom w:val="none" w:sz="0" w:space="0" w:color="auto"/>
            <w:right w:val="none" w:sz="0" w:space="0" w:color="auto"/>
          </w:divBdr>
          <w:divsChild>
            <w:div w:id="1812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734">
      <w:bodyDiv w:val="1"/>
      <w:marLeft w:val="0"/>
      <w:marRight w:val="0"/>
      <w:marTop w:val="0"/>
      <w:marBottom w:val="0"/>
      <w:divBdr>
        <w:top w:val="none" w:sz="0" w:space="0" w:color="auto"/>
        <w:left w:val="none" w:sz="0" w:space="0" w:color="auto"/>
        <w:bottom w:val="none" w:sz="0" w:space="0" w:color="auto"/>
        <w:right w:val="none" w:sz="0" w:space="0" w:color="auto"/>
      </w:divBdr>
    </w:div>
    <w:div w:id="20803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3670-55EE-4754-951E-DCAF9465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4227</Characters>
  <Application>Microsoft Office Word</Application>
  <DocSecurity>4</DocSecurity>
  <Lines>35</Lines>
  <Paragraphs>9</Paragraphs>
  <ScaleCrop>false</ScaleCrop>
  <Company>Microsoft</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ZhongXun</dc:creator>
  <cp:lastModifiedBy>ZHONGM</cp:lastModifiedBy>
  <cp:revision>2</cp:revision>
  <dcterms:created xsi:type="dcterms:W3CDTF">2021-04-22T16:10:00Z</dcterms:created>
  <dcterms:modified xsi:type="dcterms:W3CDTF">2021-04-22T16:10:00Z</dcterms:modified>
</cp:coreProperties>
</file>