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95959">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0C6CE6" w:rsidRDefault="00CA76B7" w:rsidP="00B5339C">
      <w:pPr>
        <w:pStyle w:val="a3"/>
        <w:spacing w:line="360" w:lineRule="auto"/>
        <w:ind w:leftChars="-500" w:left="-1050" w:rightChars="-500" w:right="-1050"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7A7AEE" w:rsidRPr="007A7AEE">
        <w:rPr>
          <w:rFonts w:ascii="Times New Roman" w:cs="Times New Roman" w:hint="eastAsia"/>
          <w:color w:val="000000"/>
        </w:rPr>
        <w:t>深圳市正弦电气股份有限公司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7A7AEE" w:rsidRPr="007A7AEE">
        <w:rPr>
          <w:rFonts w:ascii="Times New Roman" w:cs="Times New Roman" w:hint="eastAsia"/>
          <w:color w:val="000000"/>
        </w:rPr>
        <w:t>正弦电气</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7A7AEE" w:rsidRPr="007A7AEE">
        <w:rPr>
          <w:rFonts w:ascii="Times New Roman" w:cs="Times New Roman" w:hint="eastAsia"/>
          <w:color w:val="000000"/>
        </w:rPr>
        <w:t>15.95</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Default="00CA76B7" w:rsidP="00B5339C">
      <w:pPr>
        <w:pStyle w:val="a3"/>
        <w:spacing w:line="360" w:lineRule="auto"/>
        <w:ind w:leftChars="-500" w:left="-1050" w:rightChars="-500" w:right="-1050" w:firstLine="502"/>
        <w:rPr>
          <w:rFonts w:ascii="Times New Roman" w:cs="Times New Roman"/>
          <w:color w:val="000000"/>
        </w:rPr>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FD0F2A" w:rsidRPr="00DF1D68">
        <w:rPr>
          <w:rFonts w:ascii="Times New Roman" w:cs="Times New Roman" w:hint="eastAsia"/>
          <w:color w:val="000000"/>
        </w:rPr>
        <w:t>4</w:t>
      </w:r>
      <w:r w:rsidRPr="00DF1D68">
        <w:rPr>
          <w:rFonts w:ascii="Times New Roman" w:cs="Times New Roman" w:hint="eastAsia"/>
          <w:color w:val="000000"/>
        </w:rPr>
        <w:t>月</w:t>
      </w:r>
      <w:r w:rsidR="000C6CE6" w:rsidRPr="000C6CE6">
        <w:rPr>
          <w:rFonts w:ascii="Times New Roman" w:cs="Times New Roman" w:hint="eastAsia"/>
          <w:color w:val="000000"/>
        </w:rPr>
        <w:t>2</w:t>
      </w:r>
      <w:r w:rsidR="007A7AEE">
        <w:rPr>
          <w:rFonts w:ascii="Times New Roman" w:cs="Times New Roman" w:hint="eastAsia"/>
          <w:color w:val="000000"/>
        </w:rPr>
        <w:t>1</w:t>
      </w:r>
      <w:r w:rsidRPr="00DF1D68">
        <w:rPr>
          <w:rFonts w:ascii="Times New Roman" w:cs="Times New Roman" w:hint="eastAsia"/>
          <w:color w:val="000000"/>
        </w:rPr>
        <w:t>日发布的《</w:t>
      </w:r>
      <w:r w:rsidR="00A56D03" w:rsidRPr="00A56D03">
        <w:rPr>
          <w:rFonts w:ascii="Times New Roman" w:cs="Times New Roman" w:hint="eastAsia"/>
          <w:color w:val="000000"/>
        </w:rPr>
        <w:t>深圳市正弦电气股份有限公司首次公开发行股票并在科创板上市网下初步配售结果及网上中签结果公告</w:t>
      </w:r>
      <w:r w:rsidRPr="00DF1D68">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087" w:type="pct"/>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6"/>
        <w:gridCol w:w="1102"/>
        <w:gridCol w:w="1984"/>
        <w:gridCol w:w="1573"/>
      </w:tblGrid>
      <w:tr w:rsidR="00882169" w:rsidRPr="002A58D6" w:rsidTr="00F40F4A">
        <w:trPr>
          <w:trHeight w:val="570"/>
          <w:jc w:val="center"/>
        </w:trPr>
        <w:tc>
          <w:tcPr>
            <w:tcW w:w="2755" w:type="pct"/>
            <w:shd w:val="clear" w:color="auto" w:fill="auto"/>
            <w:noWrap/>
            <w:vAlign w:val="center"/>
            <w:hideMark/>
          </w:tcPr>
          <w:p w:rsidR="00882169" w:rsidRPr="002A58D6" w:rsidRDefault="00882169"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31" w:type="pct"/>
            <w:shd w:val="clear" w:color="auto" w:fill="auto"/>
            <w:noWrap/>
            <w:vAlign w:val="center"/>
            <w:hideMark/>
          </w:tcPr>
          <w:p w:rsidR="00882169" w:rsidRPr="002A58D6" w:rsidRDefault="00882169"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882169" w:rsidRPr="002A58D6" w:rsidRDefault="00882169"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56" w:type="pct"/>
            <w:shd w:val="clear" w:color="auto" w:fill="auto"/>
            <w:noWrap/>
            <w:vAlign w:val="center"/>
            <w:hideMark/>
          </w:tcPr>
          <w:p w:rsidR="00882169" w:rsidRPr="002A58D6" w:rsidRDefault="00882169"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882169" w:rsidRPr="002A58D6" w:rsidRDefault="00882169"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758" w:type="pct"/>
          </w:tcPr>
          <w:p w:rsidR="00882169" w:rsidRPr="002A58D6" w:rsidRDefault="00F40F4A" w:rsidP="00F40F4A">
            <w:pPr>
              <w:widowControl/>
              <w:rPr>
                <w:rFonts w:ascii="Times New Roman" w:hAnsi="Times New Roman"/>
                <w:b/>
                <w:bCs/>
                <w:color w:val="000000"/>
                <w:kern w:val="0"/>
                <w:sz w:val="22"/>
              </w:rPr>
            </w:pPr>
            <w:r w:rsidRPr="005F4528">
              <w:rPr>
                <w:rFonts w:ascii="Times New Roman" w:hAnsi="Times New Roman"/>
                <w:b/>
                <w:bCs/>
                <w:color w:val="000000"/>
                <w:kern w:val="0"/>
                <w:sz w:val="22"/>
              </w:rPr>
              <w:t>相应新股配售经纪佣金（元）</w:t>
            </w:r>
          </w:p>
        </w:tc>
      </w:tr>
      <w:tr w:rsidR="00F40F4A" w:rsidRPr="002A58D6" w:rsidTr="00F40F4A">
        <w:trPr>
          <w:trHeight w:val="267"/>
          <w:jc w:val="center"/>
        </w:trPr>
        <w:tc>
          <w:tcPr>
            <w:tcW w:w="2755" w:type="pct"/>
            <w:tcBorders>
              <w:top w:val="single" w:sz="4" w:space="0" w:color="000000"/>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华安精致生活混合型证券投资基金</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single" w:sz="4" w:space="0" w:color="000000"/>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single" w:sz="4" w:space="0" w:color="000000"/>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华安沪深300量化增强证券投资基金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华安成长先锋混合型证券投资基金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华安中证全指证券公司指数型证券投资基金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华安中证银行指数型证券投资基金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华安中证电子50交易型开放式指数证券投资基金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华安优势企业混合型证券投资基金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华安新兴消费混合型证券投资基金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华安汇嘉精选混合型证券投资基金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华安沪深300交易型开放式指数证券投资基金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华安聚优精选混合型证券投资基金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上证180交易型开放式指数证券投资基金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华安添瑞6个月持有期混合型证券投资基金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华安现代生活混合型证券投资基金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华安医疗创新混合型证券投资基金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华安科技创新混合型证券投资基金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华安优质生活混合型证券投资基金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华安汇智精选两年持有期混合型证券投资基金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华安稳健回报混合型证券投资基金</w:t>
            </w:r>
          </w:p>
        </w:tc>
        <w:tc>
          <w:tcPr>
            <w:tcW w:w="531"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single" w:sz="4" w:space="0" w:color="auto"/>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华安成长创新混合型证券投资基金</w:t>
            </w:r>
          </w:p>
        </w:tc>
        <w:tc>
          <w:tcPr>
            <w:tcW w:w="531"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single" w:sz="4" w:space="0" w:color="auto"/>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华安安进灵活配置混合型发起式证券投资基金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华安科创主题3年封闭运作灵活配置混合型证券投资基金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lastRenderedPageBreak/>
              <w:t>华安智能生活混合型证券投资基金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华安低碳生活混合型证券投资基金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华安双核驱动混合型证券投资基金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华安安康灵活配置混合型证券投资基金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华安添颐混合型发起式证券投资基金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华安睿明两年定期开放灵活配置混合型证券投资基金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华安研究精选混合型证券投资基金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华安红利精选混合型证券投资基金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华安幸福生活混合型证券投资基金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华安文体健康主题灵活配置混合型证券投资基金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华安沪港深机会灵活配置混合型证券投资基金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华安沪港深通精选灵活配置混合型证券投资基金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华安新瑞利灵活配置混合型证券投资基金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华安新丰利灵活配置混合型证券投资基金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华安新泰利灵活配置混合型证券投资基金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华安新恒利灵活配置混合型证券投资基金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华安沪港深外延增长灵活配置混合型证券投资基金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华安策略优选混合型证券投资基金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华安中小盘成长混合型证券投资基金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华安逆向策略混合型证券投资基金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华安行业轮动混合型证券投资基金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华安升级主题混合型证券投资基金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华安宏利混合型证券投资基金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华安生态优先混合型证券投资基金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华安科技动力混合型证券投资基金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华安核心优选混合型证券投资基金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华安安信消费服务混合型证券投资基金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华安国企改革主题灵活配置混合型证券投资基金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华安新优选灵活配置混合型证券投资基金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华安媒体互联网混合型证券投资基金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华安新回报灵活配置混合型证券投资基金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华安智能装备主题股票型证券投资基金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华安新丝路主题股票型证券投资基金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华安新动力灵活配置混合型证券投资基金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华安物联网主题股票型证券投资基金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华安安顺灵活配置混合型证券投资基金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华安安享灵活配置混合型证券投资基金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nil"/>
              <w:left w:val="single" w:sz="4" w:space="0" w:color="000000"/>
              <w:bottom w:val="single" w:sz="4" w:space="0" w:color="auto"/>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华安新活力灵活配置混合型证券投资基金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single" w:sz="4" w:space="0" w:color="000000"/>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华安MSCI中国A股指数增强型证券投资基金</w:t>
            </w:r>
          </w:p>
        </w:tc>
        <w:tc>
          <w:tcPr>
            <w:tcW w:w="531"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nil"/>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nil"/>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hint="eastAsia"/>
                <w:sz w:val="22"/>
              </w:rPr>
            </w:pPr>
            <w:r w:rsidRPr="00882169">
              <w:rPr>
                <w:rFonts w:ascii="宋体" w:hAnsi="宋体" w:hint="eastAsia"/>
                <w:sz w:val="22"/>
              </w:rPr>
              <w:t>华安宝利配置证券投资基金</w:t>
            </w:r>
          </w:p>
        </w:tc>
        <w:tc>
          <w:tcPr>
            <w:tcW w:w="531"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single" w:sz="4" w:space="0" w:color="auto"/>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sz w:val="22"/>
              </w:rPr>
            </w:pPr>
            <w:r w:rsidRPr="00F40F4A">
              <w:rPr>
                <w:rFonts w:ascii="Arial" w:hAnsi="Arial" w:cs="Arial"/>
                <w:sz w:val="22"/>
              </w:rPr>
              <w:t>129.75</w:t>
            </w:r>
          </w:p>
        </w:tc>
      </w:tr>
      <w:tr w:rsidR="00F40F4A" w:rsidRPr="002A58D6" w:rsidTr="00F40F4A">
        <w:trPr>
          <w:trHeight w:val="267"/>
          <w:jc w:val="center"/>
        </w:trPr>
        <w:tc>
          <w:tcPr>
            <w:tcW w:w="2755"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882169" w:rsidRDefault="00F40F4A" w:rsidP="00F40F4A">
            <w:pPr>
              <w:jc w:val="center"/>
              <w:rPr>
                <w:rFonts w:ascii="宋体" w:hAnsi="宋体"/>
                <w:sz w:val="22"/>
              </w:rPr>
            </w:pPr>
            <w:r w:rsidRPr="00882169">
              <w:rPr>
                <w:rFonts w:ascii="宋体" w:hAnsi="宋体" w:hint="eastAsia"/>
                <w:sz w:val="22"/>
              </w:rPr>
              <w:t>华安创新证券投资基金</w:t>
            </w:r>
          </w:p>
        </w:tc>
        <w:tc>
          <w:tcPr>
            <w:tcW w:w="531"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1627</w:t>
            </w:r>
          </w:p>
        </w:tc>
        <w:tc>
          <w:tcPr>
            <w:tcW w:w="956" w:type="pct"/>
            <w:tcBorders>
              <w:top w:val="single" w:sz="4" w:space="0" w:color="auto"/>
              <w:left w:val="single" w:sz="4" w:space="0" w:color="000000"/>
              <w:bottom w:val="single" w:sz="4" w:space="0" w:color="000000"/>
              <w:right w:val="single" w:sz="4" w:space="0" w:color="000000"/>
            </w:tcBorders>
            <w:shd w:val="clear" w:color="auto" w:fill="auto"/>
            <w:noWrap/>
          </w:tcPr>
          <w:p w:rsidR="00F40F4A" w:rsidRPr="00F40F4A" w:rsidRDefault="00F40F4A" w:rsidP="00F40F4A">
            <w:pPr>
              <w:jc w:val="center"/>
              <w:rPr>
                <w:rFonts w:ascii="Arial" w:hAnsi="Arial" w:cs="Arial"/>
                <w:sz w:val="22"/>
              </w:rPr>
            </w:pPr>
            <w:r w:rsidRPr="00F40F4A">
              <w:rPr>
                <w:rFonts w:ascii="Arial" w:hAnsi="Arial" w:cs="Arial"/>
                <w:sz w:val="22"/>
              </w:rPr>
              <w:t>25950.65</w:t>
            </w:r>
          </w:p>
        </w:tc>
        <w:tc>
          <w:tcPr>
            <w:tcW w:w="758" w:type="pct"/>
            <w:tcBorders>
              <w:top w:val="single" w:sz="4" w:space="0" w:color="auto"/>
              <w:left w:val="single" w:sz="4" w:space="0" w:color="000000"/>
              <w:bottom w:val="single" w:sz="4" w:space="0" w:color="000000"/>
              <w:right w:val="single" w:sz="4" w:space="0" w:color="000000"/>
            </w:tcBorders>
          </w:tcPr>
          <w:p w:rsidR="00F40F4A" w:rsidRPr="00F40F4A" w:rsidRDefault="00F40F4A" w:rsidP="00F40F4A">
            <w:pPr>
              <w:jc w:val="center"/>
              <w:rPr>
                <w:rFonts w:ascii="Arial" w:hAnsi="Arial" w:cs="Arial"/>
                <w:color w:val="000000"/>
                <w:sz w:val="22"/>
              </w:rPr>
            </w:pPr>
            <w:r w:rsidRPr="00F40F4A">
              <w:rPr>
                <w:rFonts w:ascii="Arial" w:hAnsi="Arial" w:cs="Arial"/>
                <w:sz w:val="22"/>
              </w:rPr>
              <w:t>129.75</w:t>
            </w:r>
          </w:p>
        </w:tc>
      </w:tr>
    </w:tbl>
    <w:p w:rsidR="00BD447A" w:rsidRPr="00882169" w:rsidRDefault="00882169" w:rsidP="00B5339C">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Default="00104F0B" w:rsidP="00B5339C">
      <w:pPr>
        <w:pStyle w:val="a3"/>
        <w:spacing w:after="251" w:line="360" w:lineRule="auto"/>
        <w:ind w:leftChars="-500" w:left="-1050" w:rightChars="-500" w:right="-1050" w:firstLine="502"/>
      </w:pPr>
      <w:r w:rsidRPr="000B7834">
        <w:lastRenderedPageBreak/>
        <w:t>投资</w:t>
      </w:r>
      <w:r>
        <w:rPr>
          <w:rFonts w:hint="eastAsia"/>
        </w:rPr>
        <w:t>者</w:t>
      </w:r>
      <w:r w:rsidRPr="000B7834">
        <w:t>可以登录本</w:t>
      </w:r>
      <w:r>
        <w:rPr>
          <w:rFonts w:hint="eastAsia"/>
        </w:rPr>
        <w:t>公司</w:t>
      </w:r>
      <w:r w:rsidRPr="000B7834">
        <w:t>网站（</w:t>
      </w:r>
      <w:r w:rsidRPr="0097222C">
        <w:t>www.huaan.com.cn</w:t>
      </w:r>
      <w:r w:rsidRPr="000B7834">
        <w:t>）或拨打本</w:t>
      </w:r>
      <w:r>
        <w:rPr>
          <w:rFonts w:hint="eastAsia"/>
        </w:rPr>
        <w:t>公司</w:t>
      </w:r>
      <w:r w:rsidRPr="000B7834">
        <w:t>客户服务电话(</w:t>
      </w:r>
      <w:r w:rsidRPr="0097222C">
        <w:t>40088-50099</w:t>
      </w:r>
      <w:r w:rsidRPr="000B7834">
        <w:t>)，咨询</w:t>
      </w:r>
      <w:r>
        <w:rPr>
          <w:rFonts w:hint="eastAsia"/>
        </w:rPr>
        <w:t>相关情况</w:t>
      </w:r>
      <w:r w:rsidRPr="000B7834">
        <w:t>。</w:t>
      </w:r>
    </w:p>
    <w:p w:rsidR="00104F0B" w:rsidRPr="000B7834" w:rsidRDefault="00104F0B" w:rsidP="00B5339C">
      <w:pPr>
        <w:pStyle w:val="a3"/>
        <w:spacing w:after="251" w:line="360" w:lineRule="auto"/>
        <w:ind w:leftChars="-500" w:left="-1050" w:rightChars="-500" w:right="-1050" w:firstLine="502"/>
      </w:pPr>
      <w:r w:rsidRPr="000B7834">
        <w:rPr>
          <w:rFonts w:hint="eastAsia"/>
        </w:rPr>
        <w:t>风险提示：</w:t>
      </w:r>
    </w:p>
    <w:p w:rsidR="00070805" w:rsidRDefault="00104F0B" w:rsidP="00B5339C">
      <w:pPr>
        <w:spacing w:line="360" w:lineRule="auto"/>
        <w:ind w:leftChars="-500" w:left="-1050" w:rightChars="-500" w:right="-1050"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B5339C">
      <w:pPr>
        <w:spacing w:line="360" w:lineRule="auto"/>
        <w:ind w:leftChars="-500" w:left="-1050" w:rightChars="-500" w:right="-1050" w:firstLineChars="200" w:firstLine="480"/>
        <w:rPr>
          <w:rFonts w:ascii="宋体" w:hAnsi="宋体" w:hint="eastAsia"/>
          <w:sz w:val="24"/>
          <w:szCs w:val="24"/>
        </w:rPr>
      </w:pPr>
    </w:p>
    <w:p w:rsidR="004B2584" w:rsidRPr="0039294C" w:rsidRDefault="004B2584" w:rsidP="00B5339C">
      <w:pPr>
        <w:pStyle w:val="a3"/>
        <w:spacing w:before="0" w:beforeAutospacing="0" w:after="251" w:afterAutospacing="0" w:line="360" w:lineRule="auto"/>
        <w:ind w:leftChars="-500" w:left="-1050" w:rightChars="-500" w:right="-1050" w:firstLine="502"/>
        <w:jc w:val="both"/>
        <w:rPr>
          <w:rFonts w:ascii="Times New Roman" w:hAnsi="Times New Roman" w:cs="Times New Roman"/>
          <w:color w:val="000000"/>
        </w:rPr>
      </w:pPr>
      <w:r w:rsidRPr="0039294C">
        <w:rPr>
          <w:rFonts w:ascii="Times New Roman" w:cs="Times New Roman"/>
          <w:color w:val="000000"/>
        </w:rPr>
        <w:t>特此公告。</w:t>
      </w:r>
    </w:p>
    <w:p w:rsidR="00070805" w:rsidRDefault="00070805" w:rsidP="00B5339C">
      <w:pPr>
        <w:pStyle w:val="a3"/>
        <w:spacing w:before="0" w:beforeAutospacing="0" w:after="251" w:afterAutospacing="0" w:line="360" w:lineRule="auto"/>
        <w:ind w:leftChars="-500" w:left="-1050" w:rightChars="-500" w:right="-1050" w:firstLine="502"/>
        <w:jc w:val="right"/>
        <w:rPr>
          <w:rFonts w:ascii="Times New Roman" w:cs="Times New Roman"/>
          <w:color w:val="000000"/>
        </w:rPr>
      </w:pPr>
    </w:p>
    <w:p w:rsidR="004B2584" w:rsidRPr="0039294C" w:rsidRDefault="004B2584" w:rsidP="00B5339C">
      <w:pPr>
        <w:pStyle w:val="a3"/>
        <w:spacing w:before="0" w:beforeAutospacing="0" w:after="251" w:afterAutospacing="0" w:line="360" w:lineRule="auto"/>
        <w:ind w:leftChars="-500" w:left="-1050" w:rightChars="-500" w:right="-1050"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B3E64" w:rsidP="00B5339C">
      <w:pPr>
        <w:pStyle w:val="a3"/>
        <w:spacing w:before="0" w:beforeAutospacing="0" w:after="251" w:afterAutospacing="0" w:line="360" w:lineRule="auto"/>
        <w:ind w:leftChars="-500" w:left="-1050" w:rightChars="-500" w:right="-1050" w:firstLine="502"/>
        <w:jc w:val="right"/>
        <w:rPr>
          <w:rFonts w:ascii="Times New Roman" w:hAnsi="Times New Roman" w:cs="Times New Roman"/>
          <w:color w:val="000000"/>
        </w:rPr>
      </w:pPr>
      <w:r w:rsidRPr="007D48CA">
        <w:rPr>
          <w:rFonts w:ascii="Times New Roman" w:cs="Times New Roman"/>
          <w:color w:val="000000"/>
        </w:rPr>
        <w:t>202</w:t>
      </w:r>
      <w:r w:rsidR="003F72E4" w:rsidRPr="007D48CA">
        <w:rPr>
          <w:rFonts w:ascii="Times New Roman" w:cs="Times New Roman" w:hint="eastAsia"/>
          <w:color w:val="000000"/>
        </w:rPr>
        <w:t>1</w:t>
      </w:r>
      <w:r w:rsidR="00637472" w:rsidRPr="007D48CA">
        <w:rPr>
          <w:rFonts w:ascii="Times New Roman" w:cs="Times New Roman" w:hint="eastAsia"/>
          <w:color w:val="000000"/>
        </w:rPr>
        <w:t>年</w:t>
      </w:r>
      <w:r w:rsidR="00011BEB">
        <w:rPr>
          <w:rFonts w:ascii="Times New Roman" w:cs="Times New Roman" w:hint="eastAsia"/>
          <w:color w:val="000000"/>
        </w:rPr>
        <w:t>4</w:t>
      </w:r>
      <w:r w:rsidR="00637472" w:rsidRPr="007D48CA">
        <w:rPr>
          <w:rFonts w:ascii="Times New Roman" w:cs="Times New Roman" w:hint="eastAsia"/>
          <w:color w:val="000000"/>
        </w:rPr>
        <w:t>月</w:t>
      </w:r>
      <w:r w:rsidR="00A121E5">
        <w:rPr>
          <w:rFonts w:ascii="Times New Roman" w:cs="Times New Roman" w:hint="eastAsia"/>
          <w:color w:val="000000"/>
        </w:rPr>
        <w:t>2</w:t>
      </w:r>
      <w:r w:rsidR="00F238BC">
        <w:rPr>
          <w:rFonts w:ascii="Times New Roman" w:hAnsi="Times New Roman" w:cs="Times New Roman" w:hint="eastAsia"/>
          <w:color w:val="000000"/>
        </w:rPr>
        <w:t>2</w:t>
      </w:r>
      <w:r w:rsidR="003F72E4" w:rsidRPr="007D48CA">
        <w:rPr>
          <w:rFonts w:ascii="Times New Roman" w:hAnsi="Times New Roman" w:cs="Times New Roman" w:hint="eastAsia"/>
          <w:color w:val="000000"/>
        </w:rPr>
        <w:t>日</w:t>
      </w:r>
    </w:p>
    <w:p w:rsidR="008A1440" w:rsidRPr="0039294C" w:rsidRDefault="008A1440" w:rsidP="0039294C">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DE" w:rsidRDefault="00BC69DE" w:rsidP="00FE661C">
      <w:r>
        <w:separator/>
      </w:r>
    </w:p>
  </w:endnote>
  <w:endnote w:type="continuationSeparator" w:id="0">
    <w:p w:rsidR="00BC69DE" w:rsidRDefault="00BC69DE"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DE" w:rsidRDefault="00BC69DE" w:rsidP="00FE661C">
      <w:r>
        <w:separator/>
      </w:r>
    </w:p>
  </w:footnote>
  <w:footnote w:type="continuationSeparator" w:id="0">
    <w:p w:rsidR="00BC69DE" w:rsidRDefault="00BC69DE"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32E4A"/>
    <w:rsid w:val="00055031"/>
    <w:rsid w:val="00070805"/>
    <w:rsid w:val="00083D61"/>
    <w:rsid w:val="000C6844"/>
    <w:rsid w:val="000C6CE6"/>
    <w:rsid w:val="000D5D48"/>
    <w:rsid w:val="00104F0B"/>
    <w:rsid w:val="00124BBA"/>
    <w:rsid w:val="00155103"/>
    <w:rsid w:val="0016312A"/>
    <w:rsid w:val="001847CA"/>
    <w:rsid w:val="00193833"/>
    <w:rsid w:val="00195959"/>
    <w:rsid w:val="001B294E"/>
    <w:rsid w:val="001E1007"/>
    <w:rsid w:val="00252046"/>
    <w:rsid w:val="00252732"/>
    <w:rsid w:val="00257291"/>
    <w:rsid w:val="0026491F"/>
    <w:rsid w:val="002A58D6"/>
    <w:rsid w:val="002B0FBA"/>
    <w:rsid w:val="002C7FEC"/>
    <w:rsid w:val="002D5B5B"/>
    <w:rsid w:val="00327118"/>
    <w:rsid w:val="00353543"/>
    <w:rsid w:val="003618B8"/>
    <w:rsid w:val="003670E6"/>
    <w:rsid w:val="00381868"/>
    <w:rsid w:val="0039294C"/>
    <w:rsid w:val="003C4010"/>
    <w:rsid w:val="003F72E4"/>
    <w:rsid w:val="00425AC8"/>
    <w:rsid w:val="00436797"/>
    <w:rsid w:val="00456B94"/>
    <w:rsid w:val="0046620F"/>
    <w:rsid w:val="004B2584"/>
    <w:rsid w:val="004D118C"/>
    <w:rsid w:val="004D3F25"/>
    <w:rsid w:val="005636D5"/>
    <w:rsid w:val="00570FF5"/>
    <w:rsid w:val="00580533"/>
    <w:rsid w:val="00586CD0"/>
    <w:rsid w:val="005870E2"/>
    <w:rsid w:val="005A15DB"/>
    <w:rsid w:val="005B38F3"/>
    <w:rsid w:val="005C073E"/>
    <w:rsid w:val="005D0475"/>
    <w:rsid w:val="0061516D"/>
    <w:rsid w:val="00637437"/>
    <w:rsid w:val="00637472"/>
    <w:rsid w:val="0066254E"/>
    <w:rsid w:val="00672E17"/>
    <w:rsid w:val="006A7EDD"/>
    <w:rsid w:val="006B19D9"/>
    <w:rsid w:val="006D2D90"/>
    <w:rsid w:val="006E6D64"/>
    <w:rsid w:val="00705BDA"/>
    <w:rsid w:val="00731D5A"/>
    <w:rsid w:val="00764B5C"/>
    <w:rsid w:val="007868F2"/>
    <w:rsid w:val="007A7AEE"/>
    <w:rsid w:val="007D48CA"/>
    <w:rsid w:val="007E498B"/>
    <w:rsid w:val="0080593E"/>
    <w:rsid w:val="00821B6E"/>
    <w:rsid w:val="00831BB2"/>
    <w:rsid w:val="00840E80"/>
    <w:rsid w:val="00882169"/>
    <w:rsid w:val="008844A1"/>
    <w:rsid w:val="008A1440"/>
    <w:rsid w:val="008C052A"/>
    <w:rsid w:val="008C6A82"/>
    <w:rsid w:val="00902B76"/>
    <w:rsid w:val="009715B0"/>
    <w:rsid w:val="0099036E"/>
    <w:rsid w:val="009A3127"/>
    <w:rsid w:val="009B4745"/>
    <w:rsid w:val="009B68B7"/>
    <w:rsid w:val="009D430D"/>
    <w:rsid w:val="00A07985"/>
    <w:rsid w:val="00A07DA7"/>
    <w:rsid w:val="00A121E5"/>
    <w:rsid w:val="00A26743"/>
    <w:rsid w:val="00A3628B"/>
    <w:rsid w:val="00A40552"/>
    <w:rsid w:val="00A54DD1"/>
    <w:rsid w:val="00A56D03"/>
    <w:rsid w:val="00A63B6D"/>
    <w:rsid w:val="00A84599"/>
    <w:rsid w:val="00A8729A"/>
    <w:rsid w:val="00B07A06"/>
    <w:rsid w:val="00B5339C"/>
    <w:rsid w:val="00B71D1B"/>
    <w:rsid w:val="00B8449C"/>
    <w:rsid w:val="00BB6EC5"/>
    <w:rsid w:val="00BC69DE"/>
    <w:rsid w:val="00BD447A"/>
    <w:rsid w:val="00BF3823"/>
    <w:rsid w:val="00C74E54"/>
    <w:rsid w:val="00C94EC0"/>
    <w:rsid w:val="00CA76B7"/>
    <w:rsid w:val="00CB1FD0"/>
    <w:rsid w:val="00CB3E64"/>
    <w:rsid w:val="00CF5D9D"/>
    <w:rsid w:val="00D00D12"/>
    <w:rsid w:val="00D03017"/>
    <w:rsid w:val="00D51481"/>
    <w:rsid w:val="00D53D15"/>
    <w:rsid w:val="00D819A2"/>
    <w:rsid w:val="00DA7C06"/>
    <w:rsid w:val="00DF1D68"/>
    <w:rsid w:val="00DF7725"/>
    <w:rsid w:val="00E22CAA"/>
    <w:rsid w:val="00EB60D7"/>
    <w:rsid w:val="00ED1199"/>
    <w:rsid w:val="00EE733B"/>
    <w:rsid w:val="00F238BC"/>
    <w:rsid w:val="00F30868"/>
    <w:rsid w:val="00F40F4A"/>
    <w:rsid w:val="00F55038"/>
    <w:rsid w:val="00F61F9A"/>
    <w:rsid w:val="00F84556"/>
    <w:rsid w:val="00F95F6D"/>
    <w:rsid w:val="00FC648C"/>
    <w:rsid w:val="00FD0F2A"/>
    <w:rsid w:val="00FE6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2739</Characters>
  <Application>Microsoft Office Word</Application>
  <DocSecurity>4</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2021-04-21T16:25:00Z</dcterms:created>
  <dcterms:modified xsi:type="dcterms:W3CDTF">2021-04-21T16:25:00Z</dcterms:modified>
</cp:coreProperties>
</file>