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1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42015C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E2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="00211643" w:rsidRPr="002116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  <w:lang w:bidi="th-TH"/>
              </w:rPr>
              <w:t>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  <w:r w:rsidR="00211643" w:rsidRPr="00A95B7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  <w:lang w:bidi="th-TH"/>
              </w:rPr>
              <w:t>注</w:t>
            </w:r>
            <w:bookmarkStart w:id="1" w:name="_GoBack"/>
            <w:bookmarkEnd w:id="1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04389D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E4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E032B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4C142A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68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04389D" w:rsidRDefault="0004389D" w:rsidP="00ED263A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04389D" w:rsidRDefault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04389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4C142A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9D" w:rsidRPr="0004389D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04389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4C142A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9D" w:rsidRPr="0004389D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04389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4C142A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9D" w:rsidRPr="0004389D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04389D" w:rsidRPr="008B293D" w:rsidTr="0004389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4C142A" w:rsidRDefault="0004389D" w:rsidP="0004389D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9D" w:rsidRPr="0004389D" w:rsidRDefault="0004389D" w:rsidP="0004389D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9D" w:rsidRPr="00B501D4" w:rsidRDefault="0004389D" w:rsidP="0004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89D" w:rsidRDefault="0004389D" w:rsidP="0004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40C" w:rsidRPr="00CD125D" w:rsidRDefault="00CA440C" w:rsidP="009C0925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 w:val="18"/>
          <w:szCs w:val="24"/>
        </w:rPr>
      </w:pP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注：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自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2</w:t>
      </w:r>
      <w:r w:rsidR="009C0925">
        <w:rPr>
          <w:rFonts w:ascii="Times New Roman" w:eastAsia="宋体" w:hAnsi="Times New Roman" w:cs="Times New Roman"/>
          <w:color w:val="000000" w:themeColor="text1"/>
          <w:sz w:val="18"/>
          <w:szCs w:val="24"/>
        </w:rPr>
        <w:t>021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年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4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月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6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日起，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中小企业板交易型开放式指数基金更名为“中小企业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100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交易型开放式指数基金”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，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华夏中小企业板交易型开放式指数基金发起式联接基金更名为“华夏中小企业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100</w:t>
      </w:r>
      <w:r w:rsidR="009C0925" w:rsidRP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交易型开放式指数基金发起式联接基金”</w:t>
      </w:r>
      <w:r w:rsidR="009C0925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。</w:t>
      </w:r>
    </w:p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6761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04389D">
        <w:rPr>
          <w:rFonts w:ascii="Times New Roman" w:eastAsia="宋体" w:hAnsi="Times New Roman" w:cs="Times New Roman" w:hint="eastAsia"/>
          <w:color w:val="000000"/>
          <w:sz w:val="24"/>
        </w:rPr>
        <w:t>四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4C142A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2C74FD">
        <w:pPr>
          <w:pStyle w:val="a4"/>
          <w:jc w:val="center"/>
        </w:pPr>
        <w:r w:rsidRPr="002C74FD">
          <w:fldChar w:fldCharType="begin"/>
        </w:r>
        <w:r w:rsidR="00CA440C">
          <w:instrText>PAGE   \* MERGEFORMAT</w:instrText>
        </w:r>
        <w:r w:rsidRPr="002C74FD">
          <w:fldChar w:fldCharType="separate"/>
        </w:r>
        <w:r w:rsidR="003C545A" w:rsidRPr="003C545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2C74FD">
        <w:pPr>
          <w:pStyle w:val="a4"/>
          <w:jc w:val="center"/>
        </w:pPr>
        <w:r w:rsidRPr="002C74FD">
          <w:fldChar w:fldCharType="begin"/>
        </w:r>
        <w:r w:rsidR="00CA440C">
          <w:instrText>PAGE   \* MERGEFORMAT</w:instrText>
        </w:r>
        <w:r w:rsidRPr="002C74FD">
          <w:fldChar w:fldCharType="separate"/>
        </w:r>
        <w:r w:rsidR="003C545A" w:rsidRPr="003C545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2C74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10245" type="#_x0000_t136" style="position:absolute;left:0;text-align:left;margin-left:0;margin-top:0;width:396pt;height:68.4pt;rotation:315;z-index:251658240;mso-position-horizontal:center;mso-position-horizontal-relative:margin;mso-position-vertical:center;mso-position-vertical-relative:margin" fillcolor="#ccc" stroked="f">
          <v:fill opacity="46531f"/>
          <v:shadow color="#868686"/>
          <v:textpath style="font-family:&quot;Arial&quot;;font-size:30pt;v-text-kern:t" trim="t" fitpath="t" string="华夏基金管理有限公司&#10;2021-04-08&amp;xiongt&amp;xiongting"/>
          <o:lock v:ext="edit" aspectratio="t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FD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45A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2AB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2EB8"/>
    <w:rsid w:val="00DB6F0A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E9BD-A748-4E5B-A4B3-DBA0504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4</DocSecurity>
  <Lines>31</Lines>
  <Paragraphs>8</Paragraphs>
  <ScaleCrop>false</ScaleCrop>
  <Company>chinaamc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