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EC" w:rsidRDefault="00782E76">
      <w:pPr>
        <w:autoSpaceDE w:val="0"/>
        <w:autoSpaceDN w:val="0"/>
        <w:adjustRightInd w:val="0"/>
        <w:snapToGrid w:val="0"/>
        <w:spacing w:line="360" w:lineRule="auto"/>
        <w:jc w:val="center"/>
        <w:outlineLvl w:val="0"/>
        <w:rPr>
          <w:rFonts w:ascii="宋体" w:hAnsi="宋体"/>
          <w:b/>
          <w:color w:val="000000"/>
          <w:kern w:val="0"/>
          <w:sz w:val="32"/>
          <w:szCs w:val="32"/>
        </w:rPr>
      </w:pPr>
      <w:r>
        <w:rPr>
          <w:rFonts w:ascii="宋体" w:hAnsi="宋体" w:hint="eastAsia"/>
          <w:b/>
          <w:color w:val="000000"/>
          <w:kern w:val="0"/>
          <w:sz w:val="32"/>
          <w:szCs w:val="32"/>
        </w:rPr>
        <w:t>关于</w:t>
      </w:r>
      <w:r>
        <w:rPr>
          <w:rFonts w:ascii="宋体" w:hAnsi="宋体" w:hint="eastAsia"/>
          <w:b/>
          <w:color w:val="000000"/>
          <w:kern w:val="0"/>
          <w:sz w:val="32"/>
          <w:szCs w:val="32"/>
        </w:rPr>
        <w:t>财通证券资产管理有限公司</w:t>
      </w:r>
      <w:r>
        <w:rPr>
          <w:rFonts w:ascii="宋体" w:hAnsi="宋体" w:hint="eastAsia"/>
          <w:b/>
          <w:color w:val="000000"/>
          <w:kern w:val="0"/>
          <w:sz w:val="32"/>
          <w:szCs w:val="32"/>
        </w:rPr>
        <w:t>旗下</w:t>
      </w:r>
      <w:r>
        <w:rPr>
          <w:rFonts w:ascii="宋体" w:hAnsi="宋体" w:hint="eastAsia"/>
          <w:b/>
          <w:color w:val="000000"/>
          <w:kern w:val="0"/>
          <w:sz w:val="32"/>
          <w:szCs w:val="32"/>
        </w:rPr>
        <w:t>11</w:t>
      </w:r>
      <w:r>
        <w:rPr>
          <w:rFonts w:ascii="宋体" w:hAnsi="宋体" w:hint="eastAsia"/>
          <w:b/>
          <w:color w:val="000000"/>
          <w:kern w:val="0"/>
          <w:sz w:val="32"/>
          <w:szCs w:val="32"/>
        </w:rPr>
        <w:t>只</w:t>
      </w:r>
      <w:r>
        <w:rPr>
          <w:rFonts w:ascii="宋体" w:hAnsi="宋体" w:hint="eastAsia"/>
          <w:b/>
          <w:color w:val="000000"/>
          <w:kern w:val="0"/>
          <w:sz w:val="32"/>
          <w:szCs w:val="32"/>
        </w:rPr>
        <w:t>基金增加侧袋机制并</w:t>
      </w:r>
      <w:r>
        <w:rPr>
          <w:rFonts w:ascii="宋体" w:hAnsi="宋体" w:hint="eastAsia"/>
          <w:b/>
          <w:color w:val="000000"/>
          <w:kern w:val="0"/>
          <w:sz w:val="32"/>
          <w:szCs w:val="32"/>
        </w:rPr>
        <w:t>修改</w:t>
      </w:r>
      <w:r>
        <w:rPr>
          <w:rFonts w:ascii="宋体" w:hAnsi="宋体" w:hint="eastAsia"/>
          <w:b/>
          <w:color w:val="000000"/>
          <w:kern w:val="0"/>
          <w:sz w:val="32"/>
          <w:szCs w:val="32"/>
        </w:rPr>
        <w:t>相应法律文件的公告</w:t>
      </w:r>
    </w:p>
    <w:p w:rsidR="006202EC" w:rsidRDefault="006202EC">
      <w:pPr>
        <w:autoSpaceDE w:val="0"/>
        <w:autoSpaceDN w:val="0"/>
        <w:adjustRightInd w:val="0"/>
        <w:snapToGrid w:val="0"/>
        <w:spacing w:line="560" w:lineRule="exact"/>
        <w:rPr>
          <w:rFonts w:ascii="仿宋" w:eastAsia="仿宋" w:hAnsi="仿宋" w:cs="仿宋"/>
          <w:b/>
          <w:bCs/>
          <w:color w:val="000000"/>
          <w:kern w:val="0"/>
          <w:sz w:val="32"/>
          <w:szCs w:val="32"/>
        </w:rPr>
      </w:pPr>
    </w:p>
    <w:p w:rsidR="006202EC" w:rsidRDefault="00782E76">
      <w:pPr>
        <w:autoSpaceDE w:val="0"/>
        <w:autoSpaceDN w:val="0"/>
        <w:adjustRightInd w:val="0"/>
        <w:snapToGrid w:val="0"/>
        <w:spacing w:line="560" w:lineRule="exact"/>
        <w:ind w:firstLineChars="200" w:firstLine="560"/>
        <w:outlineLvl w:val="0"/>
        <w:rPr>
          <w:rFonts w:ascii="仿宋" w:eastAsia="仿宋" w:hAnsi="仿宋" w:cs="仿宋"/>
          <w:sz w:val="28"/>
          <w:szCs w:val="28"/>
        </w:rPr>
      </w:pPr>
      <w:r>
        <w:rPr>
          <w:rFonts w:ascii="仿宋" w:eastAsia="仿宋" w:hAnsi="仿宋" w:cs="仿宋" w:hint="eastAsia"/>
          <w:kern w:val="0"/>
          <w:sz w:val="28"/>
          <w:szCs w:val="28"/>
        </w:rPr>
        <w:t>根据</w:t>
      </w:r>
      <w:r>
        <w:rPr>
          <w:rFonts w:ascii="仿宋" w:eastAsia="仿宋" w:hAnsi="仿宋" w:cs="仿宋" w:hint="eastAsia"/>
          <w:sz w:val="28"/>
          <w:szCs w:val="28"/>
        </w:rPr>
        <w:t>《公开募集证券投资基金侧袋机制指引（试行）》的有关规定，财通证券资产管理有限公司（以下简称“本公司”）经与各基金的基金托管人协商一致，对旗下</w:t>
      </w:r>
      <w:r>
        <w:rPr>
          <w:rFonts w:ascii="仿宋" w:eastAsia="仿宋" w:hAnsi="仿宋" w:cs="仿宋" w:hint="eastAsia"/>
          <w:sz w:val="28"/>
          <w:szCs w:val="28"/>
        </w:rPr>
        <w:t>11</w:t>
      </w:r>
      <w:r>
        <w:rPr>
          <w:rFonts w:ascii="仿宋" w:eastAsia="仿宋" w:hAnsi="仿宋" w:cs="仿宋" w:hint="eastAsia"/>
          <w:sz w:val="28"/>
          <w:szCs w:val="28"/>
        </w:rPr>
        <w:t>只公募基金的基金合同、托管协议、招募说明书及基金产品资料概要中的侧袋机制相关条款进行修订，并根据法律法规要求报监管机构备案。</w:t>
      </w:r>
    </w:p>
    <w:p w:rsidR="006202EC" w:rsidRDefault="00782E76">
      <w:pPr>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本次基金合同和托管协议修订的内容系因相关法</w:t>
      </w:r>
      <w:bookmarkStart w:id="0" w:name="_GoBack"/>
      <w:bookmarkEnd w:id="0"/>
      <w:r>
        <w:rPr>
          <w:rFonts w:ascii="仿宋" w:eastAsia="仿宋" w:hAnsi="仿宋" w:cs="仿宋" w:hint="eastAsia"/>
          <w:sz w:val="28"/>
          <w:szCs w:val="28"/>
        </w:rPr>
        <w:t>规发生变动而应当进行的必要修改，对原有基金份额持有人的利益无实质不利影响。本公司已就修改内容履行了规定的程序，符合相关法律法规及基金合同的规定，无需召开基金份额持有人大会。</w:t>
      </w:r>
    </w:p>
    <w:p w:rsidR="006202EC" w:rsidRDefault="00782E76" w:rsidP="00782E76">
      <w:pPr>
        <w:snapToGrid w:val="0"/>
        <w:spacing w:line="560" w:lineRule="exact"/>
        <w:ind w:firstLineChars="200" w:firstLine="560"/>
        <w:jc w:val="left"/>
        <w:rPr>
          <w:rFonts w:ascii="仿宋" w:eastAsia="仿宋" w:hAnsi="仿宋" w:cs="仿宋"/>
          <w:b/>
          <w:bCs/>
          <w:sz w:val="28"/>
          <w:szCs w:val="28"/>
        </w:rPr>
      </w:pPr>
      <w:r>
        <w:rPr>
          <w:rFonts w:ascii="仿宋" w:eastAsia="仿宋" w:hAnsi="仿宋" w:cs="仿宋" w:hint="eastAsia"/>
          <w:b/>
          <w:bCs/>
          <w:sz w:val="28"/>
          <w:szCs w:val="28"/>
        </w:rPr>
        <w:t>一、本次修订的基金范围</w:t>
      </w:r>
    </w:p>
    <w:p w:rsidR="006202EC" w:rsidRDefault="00782E76">
      <w:pPr>
        <w:snapToGrid w:val="0"/>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本次拟修改法律文件的</w:t>
      </w:r>
      <w:r>
        <w:rPr>
          <w:rFonts w:ascii="仿宋" w:eastAsia="仿宋" w:hAnsi="仿宋" w:cs="仿宋" w:hint="eastAsia"/>
          <w:sz w:val="28"/>
          <w:szCs w:val="28"/>
        </w:rPr>
        <w:t>11</w:t>
      </w:r>
      <w:r>
        <w:rPr>
          <w:rFonts w:ascii="仿宋" w:eastAsia="仿宋" w:hAnsi="仿宋" w:cs="仿宋" w:hint="eastAsia"/>
          <w:sz w:val="28"/>
          <w:szCs w:val="28"/>
        </w:rPr>
        <w:t>只基金如下表所示：</w:t>
      </w:r>
    </w:p>
    <w:tbl>
      <w:tblPr>
        <w:tblStyle w:val="ab"/>
        <w:tblW w:w="0" w:type="auto"/>
        <w:tblLook w:val="04A0"/>
      </w:tblPr>
      <w:tblGrid>
        <w:gridCol w:w="1834"/>
        <w:gridCol w:w="6688"/>
      </w:tblGrid>
      <w:tr w:rsidR="006202EC">
        <w:tc>
          <w:tcPr>
            <w:tcW w:w="1834" w:type="dxa"/>
            <w:vAlign w:val="center"/>
          </w:tcPr>
          <w:p w:rsidR="006202EC" w:rsidRDefault="00782E76">
            <w:pPr>
              <w:snapToGrid w:val="0"/>
              <w:spacing w:line="560" w:lineRule="exact"/>
              <w:jc w:val="center"/>
              <w:rPr>
                <w:rFonts w:ascii="仿宋" w:eastAsia="仿宋" w:hAnsi="仿宋" w:cs="仿宋"/>
                <w:b/>
                <w:bCs/>
                <w:sz w:val="28"/>
                <w:szCs w:val="28"/>
              </w:rPr>
            </w:pPr>
            <w:r>
              <w:rPr>
                <w:rFonts w:ascii="仿宋" w:eastAsia="仿宋" w:hAnsi="仿宋" w:cs="仿宋" w:hint="eastAsia"/>
                <w:b/>
                <w:bCs/>
                <w:sz w:val="28"/>
                <w:szCs w:val="28"/>
              </w:rPr>
              <w:t>基金代码</w:t>
            </w:r>
          </w:p>
        </w:tc>
        <w:tc>
          <w:tcPr>
            <w:tcW w:w="6688" w:type="dxa"/>
            <w:vAlign w:val="center"/>
          </w:tcPr>
          <w:p w:rsidR="006202EC" w:rsidRDefault="00782E76">
            <w:pPr>
              <w:snapToGrid w:val="0"/>
              <w:spacing w:line="560" w:lineRule="exact"/>
              <w:jc w:val="center"/>
              <w:rPr>
                <w:rFonts w:ascii="仿宋" w:eastAsia="仿宋" w:hAnsi="仿宋" w:cs="仿宋"/>
                <w:b/>
                <w:bCs/>
                <w:sz w:val="28"/>
                <w:szCs w:val="28"/>
              </w:rPr>
            </w:pPr>
            <w:r>
              <w:rPr>
                <w:rFonts w:ascii="仿宋" w:eastAsia="仿宋" w:hAnsi="仿宋" w:cs="仿宋" w:hint="eastAsia"/>
                <w:b/>
                <w:bCs/>
                <w:sz w:val="28"/>
                <w:szCs w:val="28"/>
              </w:rPr>
              <w:t>基</w:t>
            </w:r>
            <w:r>
              <w:rPr>
                <w:rFonts w:ascii="仿宋" w:eastAsia="仿宋" w:hAnsi="仿宋" w:cs="仿宋" w:hint="eastAsia"/>
                <w:b/>
                <w:bCs/>
                <w:sz w:val="28"/>
                <w:szCs w:val="28"/>
              </w:rPr>
              <w:t xml:space="preserve"> </w:t>
            </w:r>
            <w:r>
              <w:rPr>
                <w:rFonts w:ascii="仿宋" w:eastAsia="仿宋" w:hAnsi="仿宋" w:cs="仿宋" w:hint="eastAsia"/>
                <w:b/>
                <w:bCs/>
                <w:sz w:val="28"/>
                <w:szCs w:val="28"/>
              </w:rPr>
              <w:t>金</w:t>
            </w:r>
            <w:r>
              <w:rPr>
                <w:rFonts w:ascii="仿宋" w:eastAsia="仿宋" w:hAnsi="仿宋" w:cs="仿宋" w:hint="eastAsia"/>
                <w:b/>
                <w:bCs/>
                <w:sz w:val="28"/>
                <w:szCs w:val="28"/>
              </w:rPr>
              <w:t xml:space="preserve"> </w:t>
            </w:r>
            <w:r>
              <w:rPr>
                <w:rFonts w:ascii="仿宋" w:eastAsia="仿宋" w:hAnsi="仿宋" w:cs="仿宋" w:hint="eastAsia"/>
                <w:b/>
                <w:bCs/>
                <w:sz w:val="28"/>
                <w:szCs w:val="28"/>
              </w:rPr>
              <w:t>名</w:t>
            </w:r>
            <w:r>
              <w:rPr>
                <w:rFonts w:ascii="仿宋" w:eastAsia="仿宋" w:hAnsi="仿宋" w:cs="仿宋" w:hint="eastAsia"/>
                <w:b/>
                <w:bCs/>
                <w:sz w:val="28"/>
                <w:szCs w:val="28"/>
              </w:rPr>
              <w:t xml:space="preserve"> </w:t>
            </w:r>
            <w:r>
              <w:rPr>
                <w:rFonts w:ascii="仿宋" w:eastAsia="仿宋" w:hAnsi="仿宋" w:cs="仿宋" w:hint="eastAsia"/>
                <w:b/>
                <w:bCs/>
                <w:sz w:val="28"/>
                <w:szCs w:val="28"/>
              </w:rPr>
              <w:t>称</w:t>
            </w:r>
          </w:p>
        </w:tc>
      </w:tr>
      <w:tr w:rsidR="006202EC">
        <w:trPr>
          <w:trHeight w:val="571"/>
        </w:trPr>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005684</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财通资管鸿睿</w:t>
            </w:r>
            <w:r>
              <w:rPr>
                <w:rFonts w:ascii="仿宋" w:eastAsia="仿宋" w:hAnsi="仿宋" w:cs="仿宋"/>
                <w:sz w:val="28"/>
                <w:szCs w:val="28"/>
              </w:rPr>
              <w:t>12</w:t>
            </w:r>
            <w:r>
              <w:rPr>
                <w:rFonts w:ascii="仿宋" w:eastAsia="仿宋" w:hAnsi="仿宋" w:cs="仿宋"/>
                <w:sz w:val="28"/>
                <w:szCs w:val="28"/>
              </w:rPr>
              <w:t>个月定期开放债券型证券投资基金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006799</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财通资管鸿运中短债债券型证券投资基金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002901</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财通资管积极收益债券型发起式证券投资基金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008766</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财通资管鸿盛</w:t>
            </w:r>
            <w:r>
              <w:rPr>
                <w:rFonts w:ascii="仿宋" w:eastAsia="仿宋" w:hAnsi="仿宋" w:cs="仿宋"/>
                <w:sz w:val="28"/>
                <w:szCs w:val="28"/>
              </w:rPr>
              <w:t>12</w:t>
            </w:r>
            <w:r>
              <w:rPr>
                <w:rFonts w:ascii="仿宋" w:eastAsia="仿宋" w:hAnsi="仿宋" w:cs="仿宋"/>
                <w:sz w:val="28"/>
                <w:szCs w:val="28"/>
              </w:rPr>
              <w:t>个月定期开放债券型证券投资基金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007913</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财通资管丰和两年定期开放债券型证券投资基金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006542</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财通资管鸿利中短债债券型证券投资基金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005307</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财通资管鸿达纯债债券型证券投资基金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006360</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财通资管鸿益中短债债券型证券投资基金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007915</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财通资管鸿福短债债券型证券投资基金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lastRenderedPageBreak/>
              <w:t>005731</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财通资管睿智</w:t>
            </w:r>
            <w:r>
              <w:rPr>
                <w:rFonts w:ascii="仿宋" w:eastAsia="仿宋" w:hAnsi="仿宋" w:cs="仿宋"/>
                <w:sz w:val="28"/>
                <w:szCs w:val="28"/>
              </w:rPr>
              <w:t>6</w:t>
            </w:r>
            <w:r>
              <w:rPr>
                <w:rFonts w:ascii="仿宋" w:eastAsia="仿宋" w:hAnsi="仿宋" w:cs="仿宋"/>
                <w:sz w:val="28"/>
                <w:szCs w:val="28"/>
              </w:rPr>
              <w:t>个月定期开放债券型发起式证券投资基金</w:t>
            </w:r>
          </w:p>
        </w:tc>
      </w:tr>
      <w:tr w:rsidR="006202EC">
        <w:tc>
          <w:tcPr>
            <w:tcW w:w="1834"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hint="eastAsia"/>
                <w:sz w:val="28"/>
                <w:szCs w:val="28"/>
              </w:rPr>
              <w:t>009552</w:t>
            </w:r>
          </w:p>
        </w:tc>
        <w:tc>
          <w:tcPr>
            <w:tcW w:w="6688" w:type="dxa"/>
            <w:vAlign w:val="center"/>
          </w:tcPr>
          <w:p w:rsidR="006202EC" w:rsidRDefault="00782E76">
            <w:pPr>
              <w:snapToGrid w:val="0"/>
              <w:spacing w:line="560" w:lineRule="exact"/>
              <w:jc w:val="center"/>
              <w:rPr>
                <w:rFonts w:ascii="仿宋" w:eastAsia="仿宋" w:hAnsi="仿宋" w:cs="仿宋"/>
                <w:sz w:val="28"/>
                <w:szCs w:val="28"/>
              </w:rPr>
            </w:pPr>
            <w:r>
              <w:rPr>
                <w:rFonts w:ascii="仿宋" w:eastAsia="仿宋" w:hAnsi="仿宋" w:cs="仿宋"/>
                <w:sz w:val="28"/>
                <w:szCs w:val="28"/>
              </w:rPr>
              <w:t>财通资管丰乾</w:t>
            </w:r>
            <w:r>
              <w:rPr>
                <w:rFonts w:ascii="仿宋" w:eastAsia="仿宋" w:hAnsi="仿宋" w:cs="仿宋"/>
                <w:sz w:val="28"/>
                <w:szCs w:val="28"/>
              </w:rPr>
              <w:t>39</w:t>
            </w:r>
            <w:r>
              <w:rPr>
                <w:rFonts w:ascii="仿宋" w:eastAsia="仿宋" w:hAnsi="仿宋" w:cs="仿宋"/>
                <w:sz w:val="28"/>
                <w:szCs w:val="28"/>
              </w:rPr>
              <w:t>个月定期开放债券型证券投资基金</w:t>
            </w:r>
          </w:p>
        </w:tc>
      </w:tr>
    </w:tbl>
    <w:p w:rsidR="006202EC" w:rsidRDefault="00782E76">
      <w:pPr>
        <w:numPr>
          <w:ilvl w:val="0"/>
          <w:numId w:val="1"/>
        </w:numPr>
        <w:snapToGrid w:val="0"/>
        <w:spacing w:line="560" w:lineRule="exact"/>
        <w:ind w:firstLine="640"/>
        <w:jc w:val="left"/>
        <w:rPr>
          <w:rFonts w:ascii="仿宋" w:eastAsia="仿宋" w:hAnsi="仿宋" w:cs="仿宋"/>
          <w:b/>
          <w:bCs/>
          <w:sz w:val="28"/>
          <w:szCs w:val="28"/>
        </w:rPr>
      </w:pPr>
      <w:r>
        <w:rPr>
          <w:rFonts w:ascii="仿宋" w:eastAsia="仿宋" w:hAnsi="仿宋" w:cs="仿宋" w:hint="eastAsia"/>
          <w:b/>
          <w:bCs/>
          <w:sz w:val="28"/>
          <w:szCs w:val="28"/>
        </w:rPr>
        <w:t>增加侧袋机制的主要修订条款</w:t>
      </w:r>
    </w:p>
    <w:p w:rsidR="006202EC" w:rsidRDefault="00782E76">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在基金合同的“释义”、“基金份额的申购与赎回”、“基金份额持有人大会”、“基金的投资”、“基金资产估值”、“基金费用与税收”、“基金的收益与分配”、“基金的信息披露”等章节增加侧袋机制相关内容。</w:t>
      </w:r>
    </w:p>
    <w:p w:rsidR="006202EC" w:rsidRDefault="00782E76">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托管协议、招募说明书、基金产品资料概要涉及到上述修改内容的进行相应更新，在招募说明书中补充“侧袋机制”相关章节，并在基金招募说明书、基金产品资料概要中增加启用侧袋机制的风险揭示内容。</w:t>
      </w:r>
    </w:p>
    <w:p w:rsidR="006202EC" w:rsidRDefault="00782E76">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涉及上述修改的具体内容详见相关法律文件。</w:t>
      </w:r>
    </w:p>
    <w:p w:rsidR="006202EC" w:rsidRDefault="00782E76">
      <w:pPr>
        <w:numPr>
          <w:ilvl w:val="0"/>
          <w:numId w:val="1"/>
        </w:numPr>
        <w:snapToGrid w:val="0"/>
        <w:spacing w:line="560" w:lineRule="exact"/>
        <w:ind w:firstLine="640"/>
        <w:jc w:val="left"/>
        <w:rPr>
          <w:rFonts w:ascii="仿宋" w:eastAsia="仿宋" w:hAnsi="仿宋" w:cs="仿宋"/>
          <w:b/>
          <w:bCs/>
          <w:sz w:val="28"/>
          <w:szCs w:val="28"/>
        </w:rPr>
      </w:pPr>
      <w:r>
        <w:rPr>
          <w:rFonts w:ascii="仿宋" w:eastAsia="仿宋" w:hAnsi="仿宋" w:cs="仿宋" w:hint="eastAsia"/>
          <w:b/>
          <w:bCs/>
          <w:sz w:val="28"/>
          <w:szCs w:val="28"/>
        </w:rPr>
        <w:t>重要提示</w:t>
      </w:r>
    </w:p>
    <w:p w:rsidR="006202EC" w:rsidRDefault="00782E76">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上述基金修订后的基金合同和托管协议等相关法律文件自本公告发布之日起生效。本公司将于公告当日，将修订后的基金合同、托管协议以及更新的招募说明书、基金产品资料概要在本公司网站（</w:t>
      </w:r>
      <w:r>
        <w:rPr>
          <w:rFonts w:ascii="仿宋" w:eastAsia="仿宋" w:hAnsi="仿宋" w:cs="仿宋" w:hint="eastAsia"/>
          <w:sz w:val="28"/>
          <w:szCs w:val="28"/>
        </w:rPr>
        <w:t>www.ctzg.com</w:t>
      </w:r>
      <w:r>
        <w:rPr>
          <w:rFonts w:ascii="仿宋" w:eastAsia="仿宋" w:hAnsi="仿宋" w:cs="仿宋" w:hint="eastAsia"/>
          <w:sz w:val="28"/>
          <w:szCs w:val="28"/>
        </w:rPr>
        <w:t>）和中国证监会规定网站披露，供投资者查阅。如有疑问可拨打本公司客服电话（</w:t>
      </w:r>
      <w:r>
        <w:rPr>
          <w:rFonts w:ascii="仿宋" w:eastAsia="仿宋" w:hAnsi="仿宋" w:cs="仿宋" w:hint="eastAsia"/>
          <w:sz w:val="28"/>
          <w:szCs w:val="28"/>
        </w:rPr>
        <w:t>95336</w:t>
      </w:r>
      <w:r>
        <w:rPr>
          <w:rFonts w:ascii="仿宋" w:eastAsia="仿宋" w:hAnsi="仿宋" w:cs="仿宋" w:hint="eastAsia"/>
          <w:sz w:val="28"/>
          <w:szCs w:val="28"/>
        </w:rPr>
        <w:t>）咨询。</w:t>
      </w:r>
    </w:p>
    <w:p w:rsidR="006202EC" w:rsidRDefault="00782E76">
      <w:pPr>
        <w:snapToGrid w:val="0"/>
        <w:spacing w:line="560" w:lineRule="exact"/>
        <w:ind w:firstLine="640"/>
        <w:jc w:val="left"/>
        <w:rPr>
          <w:rFonts w:ascii="仿宋" w:eastAsia="仿宋" w:hAnsi="仿宋" w:cs="仿宋"/>
          <w:b/>
          <w:bCs/>
          <w:sz w:val="28"/>
          <w:szCs w:val="28"/>
        </w:rPr>
      </w:pPr>
      <w:r>
        <w:rPr>
          <w:rFonts w:ascii="仿宋" w:eastAsia="仿宋" w:hAnsi="仿宋" w:cs="仿宋" w:hint="eastAsia"/>
          <w:b/>
          <w:bCs/>
          <w:sz w:val="28"/>
          <w:szCs w:val="28"/>
        </w:rPr>
        <w:t>四、风险提示</w:t>
      </w:r>
    </w:p>
    <w:p w:rsidR="006202EC" w:rsidRDefault="00782E76">
      <w:pPr>
        <w:snapToGrid w:val="0"/>
        <w:spacing w:line="560" w:lineRule="exact"/>
        <w:ind w:firstLine="640"/>
        <w:jc w:val="left"/>
        <w:rPr>
          <w:rFonts w:ascii="仿宋" w:eastAsia="仿宋" w:hAnsi="仿宋" w:cs="仿宋"/>
          <w:sz w:val="28"/>
          <w:szCs w:val="28"/>
        </w:rPr>
      </w:pPr>
      <w:r>
        <w:rPr>
          <w:rFonts w:ascii="仿宋" w:eastAsia="仿宋" w:hAnsi="仿宋" w:cs="仿宋"/>
          <w:sz w:val="28"/>
          <w:szCs w:val="28"/>
        </w:rPr>
        <w:t>本</w:t>
      </w:r>
      <w:r>
        <w:rPr>
          <w:rFonts w:ascii="仿宋" w:eastAsia="仿宋" w:hAnsi="仿宋" w:cs="仿宋" w:hint="eastAsia"/>
          <w:sz w:val="28"/>
          <w:szCs w:val="28"/>
        </w:rPr>
        <w:t>公司</w:t>
      </w:r>
      <w:r>
        <w:rPr>
          <w:rFonts w:ascii="仿宋" w:eastAsia="仿宋" w:hAnsi="仿宋" w:cs="仿宋"/>
          <w:sz w:val="28"/>
          <w:szCs w:val="28"/>
        </w:rPr>
        <w:t>承诺以诚实信用、勤勉尽责的原则管理和运用基金资产，但不保证基金一定盈利，也不保证最低收益。</w:t>
      </w:r>
      <w:r>
        <w:rPr>
          <w:rFonts w:ascii="仿宋" w:eastAsia="仿宋" w:hAnsi="仿宋" w:cs="仿宋" w:hint="eastAsia"/>
          <w:sz w:val="28"/>
          <w:szCs w:val="28"/>
        </w:rPr>
        <w:t>本公司提醒投资者，投资者投资基金前应认真阅读本基金的基金合同、招募说明书等文件。敬请投资者注意投资风险。基金的过往</w:t>
      </w:r>
      <w:r>
        <w:rPr>
          <w:rFonts w:ascii="仿宋" w:eastAsia="仿宋" w:hAnsi="仿宋" w:cs="仿宋" w:hint="eastAsia"/>
          <w:sz w:val="28"/>
          <w:szCs w:val="28"/>
        </w:rPr>
        <w:t>业绩不预示未来表现，基金管理人管理的其他基金的业绩并不构成基金业绩表现的保证</w:t>
      </w:r>
      <w:r>
        <w:rPr>
          <w:rFonts w:ascii="仿宋" w:eastAsia="仿宋" w:hAnsi="仿宋" w:cs="仿宋"/>
          <w:sz w:val="28"/>
          <w:szCs w:val="28"/>
        </w:rPr>
        <w:t>。</w:t>
      </w:r>
    </w:p>
    <w:p w:rsidR="006202EC" w:rsidRDefault="006202EC">
      <w:pPr>
        <w:snapToGrid w:val="0"/>
        <w:spacing w:line="560" w:lineRule="exact"/>
        <w:ind w:firstLine="640"/>
        <w:jc w:val="left"/>
        <w:rPr>
          <w:rFonts w:ascii="仿宋" w:eastAsia="仿宋" w:hAnsi="仿宋" w:cs="仿宋"/>
          <w:sz w:val="28"/>
          <w:szCs w:val="28"/>
        </w:rPr>
      </w:pPr>
    </w:p>
    <w:p w:rsidR="006202EC" w:rsidRDefault="00782E76">
      <w:pPr>
        <w:snapToGrid w:val="0"/>
        <w:spacing w:line="560" w:lineRule="exact"/>
        <w:ind w:firstLine="640"/>
        <w:jc w:val="left"/>
        <w:rPr>
          <w:rFonts w:ascii="仿宋" w:eastAsia="仿宋" w:hAnsi="仿宋" w:cs="仿宋"/>
          <w:sz w:val="28"/>
          <w:szCs w:val="28"/>
        </w:rPr>
      </w:pPr>
      <w:r>
        <w:rPr>
          <w:rFonts w:ascii="仿宋" w:eastAsia="仿宋" w:hAnsi="仿宋" w:cs="仿宋" w:hint="eastAsia"/>
          <w:sz w:val="28"/>
          <w:szCs w:val="28"/>
        </w:rPr>
        <w:t>特此公告。</w:t>
      </w:r>
    </w:p>
    <w:p w:rsidR="006202EC" w:rsidRDefault="006202EC">
      <w:pPr>
        <w:snapToGrid w:val="0"/>
        <w:spacing w:line="560" w:lineRule="exact"/>
        <w:jc w:val="left"/>
        <w:rPr>
          <w:rFonts w:ascii="仿宋" w:eastAsia="仿宋" w:hAnsi="仿宋" w:cs="仿宋"/>
          <w:sz w:val="28"/>
          <w:szCs w:val="28"/>
        </w:rPr>
      </w:pPr>
    </w:p>
    <w:p w:rsidR="006202EC" w:rsidRDefault="006202EC">
      <w:pPr>
        <w:snapToGrid w:val="0"/>
        <w:spacing w:line="560" w:lineRule="exact"/>
        <w:jc w:val="left"/>
        <w:rPr>
          <w:rFonts w:ascii="仿宋" w:eastAsia="仿宋" w:hAnsi="仿宋" w:cs="仿宋"/>
          <w:sz w:val="28"/>
          <w:szCs w:val="28"/>
        </w:rPr>
      </w:pPr>
    </w:p>
    <w:p w:rsidR="006202EC" w:rsidRDefault="006202EC">
      <w:pPr>
        <w:snapToGrid w:val="0"/>
        <w:spacing w:line="560" w:lineRule="exact"/>
        <w:jc w:val="left"/>
        <w:rPr>
          <w:rFonts w:ascii="仿宋" w:eastAsia="仿宋" w:hAnsi="仿宋" w:cs="仿宋"/>
          <w:sz w:val="28"/>
          <w:szCs w:val="28"/>
        </w:rPr>
      </w:pPr>
    </w:p>
    <w:p w:rsidR="006202EC" w:rsidRDefault="00782E76">
      <w:pPr>
        <w:snapToGrid w:val="0"/>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财通证券资产管理有限公司</w:t>
      </w:r>
    </w:p>
    <w:p w:rsidR="006202EC" w:rsidRDefault="00782E76">
      <w:pPr>
        <w:snapToGrid w:val="0"/>
        <w:spacing w:line="560" w:lineRule="exact"/>
        <w:ind w:firstLineChars="200" w:firstLine="560"/>
        <w:jc w:val="right"/>
        <w:rPr>
          <w:rFonts w:ascii="宋体" w:hAnsi="宋体"/>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w:t>
      </w:r>
    </w:p>
    <w:sectPr w:rsidR="006202EC" w:rsidSect="006202EC">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2EC" w:rsidRDefault="006202EC" w:rsidP="006202EC">
      <w:r>
        <w:separator/>
      </w:r>
    </w:p>
  </w:endnote>
  <w:endnote w:type="continuationSeparator" w:id="0">
    <w:p w:rsidR="006202EC" w:rsidRDefault="006202EC" w:rsidP="00620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707207"/>
    </w:sdtPr>
    <w:sdtContent>
      <w:p w:rsidR="006202EC" w:rsidRDefault="006202EC">
        <w:pPr>
          <w:pStyle w:val="a7"/>
          <w:jc w:val="center"/>
        </w:pPr>
        <w:r>
          <w:fldChar w:fldCharType="begin"/>
        </w:r>
        <w:r w:rsidR="00782E76">
          <w:instrText>PAGE   \* MERGEFORMAT</w:instrText>
        </w:r>
        <w:r>
          <w:fldChar w:fldCharType="separate"/>
        </w:r>
        <w:r w:rsidR="00782E76" w:rsidRPr="00782E76">
          <w:rPr>
            <w:noProof/>
            <w:lang w:val="zh-CN"/>
          </w:rPr>
          <w:t>1</w:t>
        </w:r>
        <w:r>
          <w:fldChar w:fldCharType="end"/>
        </w:r>
      </w:p>
    </w:sdtContent>
  </w:sdt>
  <w:p w:rsidR="006202EC" w:rsidRDefault="006202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2EC" w:rsidRDefault="006202EC" w:rsidP="006202EC">
      <w:r>
        <w:separator/>
      </w:r>
    </w:p>
  </w:footnote>
  <w:footnote w:type="continuationSeparator" w:id="0">
    <w:p w:rsidR="006202EC" w:rsidRDefault="006202EC" w:rsidP="00620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4F42CD"/>
    <w:multiLevelType w:val="singleLevel"/>
    <w:tmpl w:val="B64F42CD"/>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15D7"/>
    <w:rsid w:val="00012848"/>
    <w:rsid w:val="00021C02"/>
    <w:rsid w:val="00022B7C"/>
    <w:rsid w:val="00023675"/>
    <w:rsid w:val="00026343"/>
    <w:rsid w:val="00026D35"/>
    <w:rsid w:val="00031FB6"/>
    <w:rsid w:val="00032067"/>
    <w:rsid w:val="00034A71"/>
    <w:rsid w:val="00042650"/>
    <w:rsid w:val="00045CA9"/>
    <w:rsid w:val="00046BF2"/>
    <w:rsid w:val="000474FB"/>
    <w:rsid w:val="0005132D"/>
    <w:rsid w:val="000613FF"/>
    <w:rsid w:val="00064F98"/>
    <w:rsid w:val="00065E44"/>
    <w:rsid w:val="000738CA"/>
    <w:rsid w:val="00077097"/>
    <w:rsid w:val="00077B4B"/>
    <w:rsid w:val="00084374"/>
    <w:rsid w:val="00091E5C"/>
    <w:rsid w:val="00093AAD"/>
    <w:rsid w:val="000B2EC1"/>
    <w:rsid w:val="000B6B4D"/>
    <w:rsid w:val="000C193F"/>
    <w:rsid w:val="000C5971"/>
    <w:rsid w:val="000D1C5E"/>
    <w:rsid w:val="000E033E"/>
    <w:rsid w:val="000F1D16"/>
    <w:rsid w:val="000F5216"/>
    <w:rsid w:val="001034A9"/>
    <w:rsid w:val="00103D42"/>
    <w:rsid w:val="00106975"/>
    <w:rsid w:val="00106FB3"/>
    <w:rsid w:val="00111265"/>
    <w:rsid w:val="00111622"/>
    <w:rsid w:val="00117CAE"/>
    <w:rsid w:val="00120601"/>
    <w:rsid w:val="001260F9"/>
    <w:rsid w:val="00130DA1"/>
    <w:rsid w:val="00135B9E"/>
    <w:rsid w:val="0014633B"/>
    <w:rsid w:val="001465B5"/>
    <w:rsid w:val="00150C68"/>
    <w:rsid w:val="0015172B"/>
    <w:rsid w:val="00154194"/>
    <w:rsid w:val="00160F81"/>
    <w:rsid w:val="00167E97"/>
    <w:rsid w:val="001728FC"/>
    <w:rsid w:val="001748D3"/>
    <w:rsid w:val="00174CF7"/>
    <w:rsid w:val="0018197E"/>
    <w:rsid w:val="00183F3D"/>
    <w:rsid w:val="00184E40"/>
    <w:rsid w:val="00193262"/>
    <w:rsid w:val="001945DC"/>
    <w:rsid w:val="00194E6E"/>
    <w:rsid w:val="001955F0"/>
    <w:rsid w:val="001A121B"/>
    <w:rsid w:val="001A1E55"/>
    <w:rsid w:val="001A2349"/>
    <w:rsid w:val="001B1B21"/>
    <w:rsid w:val="001B56AC"/>
    <w:rsid w:val="001B68CC"/>
    <w:rsid w:val="001C11BA"/>
    <w:rsid w:val="001C2EBA"/>
    <w:rsid w:val="001C53F6"/>
    <w:rsid w:val="001C5EFA"/>
    <w:rsid w:val="001D2CB2"/>
    <w:rsid w:val="001D34FE"/>
    <w:rsid w:val="001D7310"/>
    <w:rsid w:val="001D74AD"/>
    <w:rsid w:val="001E0A9C"/>
    <w:rsid w:val="001E4EB7"/>
    <w:rsid w:val="001E60AE"/>
    <w:rsid w:val="001F7693"/>
    <w:rsid w:val="002032FF"/>
    <w:rsid w:val="00205647"/>
    <w:rsid w:val="00206B30"/>
    <w:rsid w:val="00211770"/>
    <w:rsid w:val="00211792"/>
    <w:rsid w:val="00213C9B"/>
    <w:rsid w:val="00214C2D"/>
    <w:rsid w:val="00223CBF"/>
    <w:rsid w:val="00223F4C"/>
    <w:rsid w:val="002419D1"/>
    <w:rsid w:val="0025452B"/>
    <w:rsid w:val="00256BEC"/>
    <w:rsid w:val="00261C98"/>
    <w:rsid w:val="00267CCE"/>
    <w:rsid w:val="002739D6"/>
    <w:rsid w:val="00276DD6"/>
    <w:rsid w:val="00276EC7"/>
    <w:rsid w:val="00277755"/>
    <w:rsid w:val="002821D0"/>
    <w:rsid w:val="002823F0"/>
    <w:rsid w:val="002833D0"/>
    <w:rsid w:val="0028421F"/>
    <w:rsid w:val="002844FC"/>
    <w:rsid w:val="0029122D"/>
    <w:rsid w:val="00295E3E"/>
    <w:rsid w:val="002966D9"/>
    <w:rsid w:val="0029753D"/>
    <w:rsid w:val="00297E44"/>
    <w:rsid w:val="002A3950"/>
    <w:rsid w:val="002A5296"/>
    <w:rsid w:val="002B0222"/>
    <w:rsid w:val="002C50FD"/>
    <w:rsid w:val="002C7014"/>
    <w:rsid w:val="002D02CF"/>
    <w:rsid w:val="002D07F2"/>
    <w:rsid w:val="002D2B79"/>
    <w:rsid w:val="002D56D1"/>
    <w:rsid w:val="002F3F79"/>
    <w:rsid w:val="00300930"/>
    <w:rsid w:val="00302DE7"/>
    <w:rsid w:val="00303487"/>
    <w:rsid w:val="00303DD2"/>
    <w:rsid w:val="00307E9C"/>
    <w:rsid w:val="00323FE3"/>
    <w:rsid w:val="00324038"/>
    <w:rsid w:val="00326227"/>
    <w:rsid w:val="00330B4C"/>
    <w:rsid w:val="003311C8"/>
    <w:rsid w:val="00336C65"/>
    <w:rsid w:val="00340185"/>
    <w:rsid w:val="00344403"/>
    <w:rsid w:val="0034468E"/>
    <w:rsid w:val="00357D2D"/>
    <w:rsid w:val="00360CDD"/>
    <w:rsid w:val="00363F6E"/>
    <w:rsid w:val="003721B2"/>
    <w:rsid w:val="0037353A"/>
    <w:rsid w:val="00374340"/>
    <w:rsid w:val="00377810"/>
    <w:rsid w:val="003806A1"/>
    <w:rsid w:val="0038070F"/>
    <w:rsid w:val="00384B97"/>
    <w:rsid w:val="003A02B6"/>
    <w:rsid w:val="003A30B0"/>
    <w:rsid w:val="003B0CC6"/>
    <w:rsid w:val="003B4E77"/>
    <w:rsid w:val="003C0FBB"/>
    <w:rsid w:val="003C6A2C"/>
    <w:rsid w:val="003C7736"/>
    <w:rsid w:val="003D1644"/>
    <w:rsid w:val="003D1809"/>
    <w:rsid w:val="003E24C7"/>
    <w:rsid w:val="003E6749"/>
    <w:rsid w:val="003E6A2B"/>
    <w:rsid w:val="003F0AAA"/>
    <w:rsid w:val="003F68EF"/>
    <w:rsid w:val="004048CA"/>
    <w:rsid w:val="0041154B"/>
    <w:rsid w:val="00413DCE"/>
    <w:rsid w:val="0042051D"/>
    <w:rsid w:val="00424BE8"/>
    <w:rsid w:val="00425C76"/>
    <w:rsid w:val="00430026"/>
    <w:rsid w:val="00432FAC"/>
    <w:rsid w:val="00434578"/>
    <w:rsid w:val="00441F4D"/>
    <w:rsid w:val="004450B4"/>
    <w:rsid w:val="00447800"/>
    <w:rsid w:val="0045453C"/>
    <w:rsid w:val="00455299"/>
    <w:rsid w:val="00456C0A"/>
    <w:rsid w:val="00460C32"/>
    <w:rsid w:val="00464589"/>
    <w:rsid w:val="00471BA4"/>
    <w:rsid w:val="00471E64"/>
    <w:rsid w:val="004760B5"/>
    <w:rsid w:val="004763AB"/>
    <w:rsid w:val="00477C7C"/>
    <w:rsid w:val="00483C98"/>
    <w:rsid w:val="004902DF"/>
    <w:rsid w:val="0049111E"/>
    <w:rsid w:val="004969DB"/>
    <w:rsid w:val="004976B8"/>
    <w:rsid w:val="004976DA"/>
    <w:rsid w:val="004977F2"/>
    <w:rsid w:val="004A6CB1"/>
    <w:rsid w:val="004B014E"/>
    <w:rsid w:val="004B082E"/>
    <w:rsid w:val="004B2713"/>
    <w:rsid w:val="004B7275"/>
    <w:rsid w:val="004B7CF3"/>
    <w:rsid w:val="004D1AD3"/>
    <w:rsid w:val="004D2F55"/>
    <w:rsid w:val="004D44D2"/>
    <w:rsid w:val="004D6C6B"/>
    <w:rsid w:val="004D7491"/>
    <w:rsid w:val="004E323D"/>
    <w:rsid w:val="004F6AEC"/>
    <w:rsid w:val="00501201"/>
    <w:rsid w:val="00501C93"/>
    <w:rsid w:val="005020FD"/>
    <w:rsid w:val="00507D96"/>
    <w:rsid w:val="005105F4"/>
    <w:rsid w:val="00515D0B"/>
    <w:rsid w:val="00517514"/>
    <w:rsid w:val="00530527"/>
    <w:rsid w:val="0053156F"/>
    <w:rsid w:val="00532D03"/>
    <w:rsid w:val="005333A2"/>
    <w:rsid w:val="00535D1C"/>
    <w:rsid w:val="00536B94"/>
    <w:rsid w:val="0054198A"/>
    <w:rsid w:val="00541EC9"/>
    <w:rsid w:val="0054235E"/>
    <w:rsid w:val="00546BB0"/>
    <w:rsid w:val="00546DD6"/>
    <w:rsid w:val="00547AA9"/>
    <w:rsid w:val="00551870"/>
    <w:rsid w:val="00556FC3"/>
    <w:rsid w:val="0056278D"/>
    <w:rsid w:val="00563862"/>
    <w:rsid w:val="00566022"/>
    <w:rsid w:val="00575C0B"/>
    <w:rsid w:val="005764C9"/>
    <w:rsid w:val="00577A69"/>
    <w:rsid w:val="00580881"/>
    <w:rsid w:val="00590D20"/>
    <w:rsid w:val="00591D8A"/>
    <w:rsid w:val="005931D4"/>
    <w:rsid w:val="005A0CBF"/>
    <w:rsid w:val="005A4A56"/>
    <w:rsid w:val="005C0266"/>
    <w:rsid w:val="005C1B19"/>
    <w:rsid w:val="005C2932"/>
    <w:rsid w:val="005C389A"/>
    <w:rsid w:val="005D03AD"/>
    <w:rsid w:val="005D1B23"/>
    <w:rsid w:val="005D3653"/>
    <w:rsid w:val="005D4343"/>
    <w:rsid w:val="005E0344"/>
    <w:rsid w:val="005E3949"/>
    <w:rsid w:val="005E3974"/>
    <w:rsid w:val="005F4499"/>
    <w:rsid w:val="005F4C05"/>
    <w:rsid w:val="00602122"/>
    <w:rsid w:val="0060403D"/>
    <w:rsid w:val="00611468"/>
    <w:rsid w:val="00611D25"/>
    <w:rsid w:val="006202EC"/>
    <w:rsid w:val="0062052C"/>
    <w:rsid w:val="00633218"/>
    <w:rsid w:val="0063381B"/>
    <w:rsid w:val="00634230"/>
    <w:rsid w:val="0063439C"/>
    <w:rsid w:val="0064015D"/>
    <w:rsid w:val="00642050"/>
    <w:rsid w:val="00643DCE"/>
    <w:rsid w:val="00650022"/>
    <w:rsid w:val="0065499E"/>
    <w:rsid w:val="00655A99"/>
    <w:rsid w:val="00655F1D"/>
    <w:rsid w:val="006624BD"/>
    <w:rsid w:val="00666162"/>
    <w:rsid w:val="0067379C"/>
    <w:rsid w:val="00675651"/>
    <w:rsid w:val="00682495"/>
    <w:rsid w:val="00683279"/>
    <w:rsid w:val="00683EEB"/>
    <w:rsid w:val="0069008B"/>
    <w:rsid w:val="0069055D"/>
    <w:rsid w:val="00693D35"/>
    <w:rsid w:val="006A1380"/>
    <w:rsid w:val="006A1499"/>
    <w:rsid w:val="006A2798"/>
    <w:rsid w:val="006A58C9"/>
    <w:rsid w:val="006A79A0"/>
    <w:rsid w:val="006A7ACC"/>
    <w:rsid w:val="006B0527"/>
    <w:rsid w:val="006B124B"/>
    <w:rsid w:val="006C2831"/>
    <w:rsid w:val="006C2E70"/>
    <w:rsid w:val="006C351E"/>
    <w:rsid w:val="006C3AAB"/>
    <w:rsid w:val="006C581F"/>
    <w:rsid w:val="006C68EA"/>
    <w:rsid w:val="006D0E8E"/>
    <w:rsid w:val="006D11C5"/>
    <w:rsid w:val="006D3951"/>
    <w:rsid w:val="006D7985"/>
    <w:rsid w:val="006E2B8F"/>
    <w:rsid w:val="006E76FC"/>
    <w:rsid w:val="006F0BAE"/>
    <w:rsid w:val="006F4D21"/>
    <w:rsid w:val="0070049A"/>
    <w:rsid w:val="007058E4"/>
    <w:rsid w:val="00706A75"/>
    <w:rsid w:val="0070780E"/>
    <w:rsid w:val="0071123C"/>
    <w:rsid w:val="007137D2"/>
    <w:rsid w:val="00733419"/>
    <w:rsid w:val="00737FDA"/>
    <w:rsid w:val="00740634"/>
    <w:rsid w:val="00741B60"/>
    <w:rsid w:val="007521D2"/>
    <w:rsid w:val="007674E8"/>
    <w:rsid w:val="00767E89"/>
    <w:rsid w:val="00770295"/>
    <w:rsid w:val="00775C9F"/>
    <w:rsid w:val="00775E14"/>
    <w:rsid w:val="00776A8E"/>
    <w:rsid w:val="00782E76"/>
    <w:rsid w:val="00782F8F"/>
    <w:rsid w:val="007902EE"/>
    <w:rsid w:val="00794D9C"/>
    <w:rsid w:val="00796588"/>
    <w:rsid w:val="007A1512"/>
    <w:rsid w:val="007A34B6"/>
    <w:rsid w:val="007A4B28"/>
    <w:rsid w:val="007B3D09"/>
    <w:rsid w:val="007B56CB"/>
    <w:rsid w:val="007C4F68"/>
    <w:rsid w:val="007D22CB"/>
    <w:rsid w:val="007D6532"/>
    <w:rsid w:val="007E60D3"/>
    <w:rsid w:val="007E6FAC"/>
    <w:rsid w:val="007F26F5"/>
    <w:rsid w:val="007F6AC1"/>
    <w:rsid w:val="007F763C"/>
    <w:rsid w:val="00800C49"/>
    <w:rsid w:val="00801175"/>
    <w:rsid w:val="00802BD9"/>
    <w:rsid w:val="00817957"/>
    <w:rsid w:val="008228F4"/>
    <w:rsid w:val="00831C8E"/>
    <w:rsid w:val="00832017"/>
    <w:rsid w:val="00835CCB"/>
    <w:rsid w:val="0083642D"/>
    <w:rsid w:val="00842A73"/>
    <w:rsid w:val="008438DB"/>
    <w:rsid w:val="0084446A"/>
    <w:rsid w:val="00846757"/>
    <w:rsid w:val="00860939"/>
    <w:rsid w:val="00876F20"/>
    <w:rsid w:val="008812C0"/>
    <w:rsid w:val="00882D8B"/>
    <w:rsid w:val="008834FE"/>
    <w:rsid w:val="008838BB"/>
    <w:rsid w:val="008878C6"/>
    <w:rsid w:val="0089039A"/>
    <w:rsid w:val="008905ED"/>
    <w:rsid w:val="008A156F"/>
    <w:rsid w:val="008A5085"/>
    <w:rsid w:val="008B1951"/>
    <w:rsid w:val="008B4378"/>
    <w:rsid w:val="008B73A8"/>
    <w:rsid w:val="008C04ED"/>
    <w:rsid w:val="008C17F5"/>
    <w:rsid w:val="008C1971"/>
    <w:rsid w:val="008C1C08"/>
    <w:rsid w:val="008D0F5E"/>
    <w:rsid w:val="008D102C"/>
    <w:rsid w:val="008D6A5A"/>
    <w:rsid w:val="008D7F25"/>
    <w:rsid w:val="008E5888"/>
    <w:rsid w:val="008F042D"/>
    <w:rsid w:val="008F37BD"/>
    <w:rsid w:val="008F6800"/>
    <w:rsid w:val="009015EE"/>
    <w:rsid w:val="00906153"/>
    <w:rsid w:val="00906E04"/>
    <w:rsid w:val="009114D9"/>
    <w:rsid w:val="00911E8E"/>
    <w:rsid w:val="0091694A"/>
    <w:rsid w:val="00921734"/>
    <w:rsid w:val="0092285F"/>
    <w:rsid w:val="0092398E"/>
    <w:rsid w:val="0092456B"/>
    <w:rsid w:val="0092533F"/>
    <w:rsid w:val="009256BA"/>
    <w:rsid w:val="00926F08"/>
    <w:rsid w:val="00930522"/>
    <w:rsid w:val="009340C8"/>
    <w:rsid w:val="00936EA9"/>
    <w:rsid w:val="00937B6C"/>
    <w:rsid w:val="00942225"/>
    <w:rsid w:val="009427A6"/>
    <w:rsid w:val="00943DF2"/>
    <w:rsid w:val="0094486D"/>
    <w:rsid w:val="00944D46"/>
    <w:rsid w:val="00945846"/>
    <w:rsid w:val="00953F49"/>
    <w:rsid w:val="00966966"/>
    <w:rsid w:val="00967098"/>
    <w:rsid w:val="00970DB1"/>
    <w:rsid w:val="00972128"/>
    <w:rsid w:val="00973299"/>
    <w:rsid w:val="0098087D"/>
    <w:rsid w:val="009848F8"/>
    <w:rsid w:val="00985C7B"/>
    <w:rsid w:val="00987D86"/>
    <w:rsid w:val="009976C4"/>
    <w:rsid w:val="009A1D32"/>
    <w:rsid w:val="009A6BFC"/>
    <w:rsid w:val="009B0CDA"/>
    <w:rsid w:val="009B195B"/>
    <w:rsid w:val="009B5E11"/>
    <w:rsid w:val="009B6580"/>
    <w:rsid w:val="009B6DC6"/>
    <w:rsid w:val="009C028F"/>
    <w:rsid w:val="009C151A"/>
    <w:rsid w:val="009C6DCD"/>
    <w:rsid w:val="009D24C0"/>
    <w:rsid w:val="009D29A2"/>
    <w:rsid w:val="009D56F8"/>
    <w:rsid w:val="009D5B92"/>
    <w:rsid w:val="009E0850"/>
    <w:rsid w:val="009E13AC"/>
    <w:rsid w:val="009F2DA7"/>
    <w:rsid w:val="009F3F45"/>
    <w:rsid w:val="00A0215E"/>
    <w:rsid w:val="00A04271"/>
    <w:rsid w:val="00A0578B"/>
    <w:rsid w:val="00A06276"/>
    <w:rsid w:val="00A07A35"/>
    <w:rsid w:val="00A1356E"/>
    <w:rsid w:val="00A15442"/>
    <w:rsid w:val="00A2378D"/>
    <w:rsid w:val="00A238C3"/>
    <w:rsid w:val="00A32A58"/>
    <w:rsid w:val="00A3336B"/>
    <w:rsid w:val="00A34577"/>
    <w:rsid w:val="00A35A8A"/>
    <w:rsid w:val="00A40C40"/>
    <w:rsid w:val="00A41457"/>
    <w:rsid w:val="00A420B9"/>
    <w:rsid w:val="00A44A24"/>
    <w:rsid w:val="00A5454E"/>
    <w:rsid w:val="00A54865"/>
    <w:rsid w:val="00A568E2"/>
    <w:rsid w:val="00A60CB4"/>
    <w:rsid w:val="00A63217"/>
    <w:rsid w:val="00A63CFE"/>
    <w:rsid w:val="00A64E93"/>
    <w:rsid w:val="00A66D83"/>
    <w:rsid w:val="00A73F1B"/>
    <w:rsid w:val="00A77739"/>
    <w:rsid w:val="00A8221F"/>
    <w:rsid w:val="00A87D19"/>
    <w:rsid w:val="00A9064D"/>
    <w:rsid w:val="00A91029"/>
    <w:rsid w:val="00A91EBA"/>
    <w:rsid w:val="00A92376"/>
    <w:rsid w:val="00A93693"/>
    <w:rsid w:val="00A95D77"/>
    <w:rsid w:val="00AA1D0D"/>
    <w:rsid w:val="00AA4DD0"/>
    <w:rsid w:val="00AA57F2"/>
    <w:rsid w:val="00AA58F2"/>
    <w:rsid w:val="00AA6567"/>
    <w:rsid w:val="00AA746A"/>
    <w:rsid w:val="00AB301B"/>
    <w:rsid w:val="00AB38A9"/>
    <w:rsid w:val="00AC5968"/>
    <w:rsid w:val="00AD1B45"/>
    <w:rsid w:val="00AD1D80"/>
    <w:rsid w:val="00AD6CFA"/>
    <w:rsid w:val="00AF139B"/>
    <w:rsid w:val="00AF2E16"/>
    <w:rsid w:val="00AF6FA0"/>
    <w:rsid w:val="00B01C90"/>
    <w:rsid w:val="00B02D09"/>
    <w:rsid w:val="00B14D51"/>
    <w:rsid w:val="00B205BA"/>
    <w:rsid w:val="00B21FFD"/>
    <w:rsid w:val="00B254DB"/>
    <w:rsid w:val="00B2551D"/>
    <w:rsid w:val="00B432F0"/>
    <w:rsid w:val="00B45E71"/>
    <w:rsid w:val="00B46D73"/>
    <w:rsid w:val="00B52756"/>
    <w:rsid w:val="00B56144"/>
    <w:rsid w:val="00B561C0"/>
    <w:rsid w:val="00B56E79"/>
    <w:rsid w:val="00B57E0F"/>
    <w:rsid w:val="00B637D6"/>
    <w:rsid w:val="00B72777"/>
    <w:rsid w:val="00B75E57"/>
    <w:rsid w:val="00B76670"/>
    <w:rsid w:val="00B76D70"/>
    <w:rsid w:val="00B80441"/>
    <w:rsid w:val="00B81FB6"/>
    <w:rsid w:val="00B830B4"/>
    <w:rsid w:val="00B8579E"/>
    <w:rsid w:val="00B87D05"/>
    <w:rsid w:val="00B92871"/>
    <w:rsid w:val="00B95A19"/>
    <w:rsid w:val="00B95CD2"/>
    <w:rsid w:val="00BA648A"/>
    <w:rsid w:val="00BA722B"/>
    <w:rsid w:val="00BA776E"/>
    <w:rsid w:val="00BB1419"/>
    <w:rsid w:val="00BB29EA"/>
    <w:rsid w:val="00BB456E"/>
    <w:rsid w:val="00BC12D0"/>
    <w:rsid w:val="00BC5DA0"/>
    <w:rsid w:val="00BD69A3"/>
    <w:rsid w:val="00BD7083"/>
    <w:rsid w:val="00BD70E7"/>
    <w:rsid w:val="00BE0378"/>
    <w:rsid w:val="00BE1C9E"/>
    <w:rsid w:val="00BE1DA5"/>
    <w:rsid w:val="00BE41AE"/>
    <w:rsid w:val="00BE4C06"/>
    <w:rsid w:val="00BF331E"/>
    <w:rsid w:val="00BF44A6"/>
    <w:rsid w:val="00BF47D2"/>
    <w:rsid w:val="00C006F9"/>
    <w:rsid w:val="00C024B3"/>
    <w:rsid w:val="00C12B4F"/>
    <w:rsid w:val="00C14C4D"/>
    <w:rsid w:val="00C172B4"/>
    <w:rsid w:val="00C20499"/>
    <w:rsid w:val="00C212DC"/>
    <w:rsid w:val="00C323E7"/>
    <w:rsid w:val="00C32F3F"/>
    <w:rsid w:val="00C3532A"/>
    <w:rsid w:val="00C35517"/>
    <w:rsid w:val="00C35752"/>
    <w:rsid w:val="00C37839"/>
    <w:rsid w:val="00C505AC"/>
    <w:rsid w:val="00C50C54"/>
    <w:rsid w:val="00C50DEA"/>
    <w:rsid w:val="00C54002"/>
    <w:rsid w:val="00C57247"/>
    <w:rsid w:val="00C650E3"/>
    <w:rsid w:val="00C66397"/>
    <w:rsid w:val="00C674F3"/>
    <w:rsid w:val="00C721CD"/>
    <w:rsid w:val="00C74E9C"/>
    <w:rsid w:val="00C76CB7"/>
    <w:rsid w:val="00C872BD"/>
    <w:rsid w:val="00C92474"/>
    <w:rsid w:val="00CA46DC"/>
    <w:rsid w:val="00CB113A"/>
    <w:rsid w:val="00CB1341"/>
    <w:rsid w:val="00CB2DEC"/>
    <w:rsid w:val="00CB4C3C"/>
    <w:rsid w:val="00CC0F3B"/>
    <w:rsid w:val="00CC1722"/>
    <w:rsid w:val="00CC1B64"/>
    <w:rsid w:val="00CC31E8"/>
    <w:rsid w:val="00CC69C2"/>
    <w:rsid w:val="00CD54CF"/>
    <w:rsid w:val="00CE17E3"/>
    <w:rsid w:val="00CF1E44"/>
    <w:rsid w:val="00CF20A4"/>
    <w:rsid w:val="00CF3301"/>
    <w:rsid w:val="00CF4884"/>
    <w:rsid w:val="00D05E1F"/>
    <w:rsid w:val="00D06D3C"/>
    <w:rsid w:val="00D1060B"/>
    <w:rsid w:val="00D13C48"/>
    <w:rsid w:val="00D21F8D"/>
    <w:rsid w:val="00D242FD"/>
    <w:rsid w:val="00D279C3"/>
    <w:rsid w:val="00D31C35"/>
    <w:rsid w:val="00D32E6A"/>
    <w:rsid w:val="00D356A0"/>
    <w:rsid w:val="00D35E6A"/>
    <w:rsid w:val="00D3739E"/>
    <w:rsid w:val="00D45AE7"/>
    <w:rsid w:val="00D5524D"/>
    <w:rsid w:val="00D571B3"/>
    <w:rsid w:val="00D61E30"/>
    <w:rsid w:val="00D66F1E"/>
    <w:rsid w:val="00D711CD"/>
    <w:rsid w:val="00D7441A"/>
    <w:rsid w:val="00D75B6F"/>
    <w:rsid w:val="00D77E6E"/>
    <w:rsid w:val="00D83B7A"/>
    <w:rsid w:val="00D8748C"/>
    <w:rsid w:val="00D87C43"/>
    <w:rsid w:val="00DA07BC"/>
    <w:rsid w:val="00DA4250"/>
    <w:rsid w:val="00DA47F8"/>
    <w:rsid w:val="00DA4ECB"/>
    <w:rsid w:val="00DA6267"/>
    <w:rsid w:val="00DB1EFA"/>
    <w:rsid w:val="00DB32AC"/>
    <w:rsid w:val="00DB3AB7"/>
    <w:rsid w:val="00DB6530"/>
    <w:rsid w:val="00DB762D"/>
    <w:rsid w:val="00DC62FA"/>
    <w:rsid w:val="00DC7986"/>
    <w:rsid w:val="00DD164F"/>
    <w:rsid w:val="00DD1761"/>
    <w:rsid w:val="00DD293A"/>
    <w:rsid w:val="00DD4826"/>
    <w:rsid w:val="00DD6A7D"/>
    <w:rsid w:val="00DE0D2D"/>
    <w:rsid w:val="00DE52BF"/>
    <w:rsid w:val="00DF2071"/>
    <w:rsid w:val="00DF4BAF"/>
    <w:rsid w:val="00E03225"/>
    <w:rsid w:val="00E05362"/>
    <w:rsid w:val="00E16749"/>
    <w:rsid w:val="00E167DE"/>
    <w:rsid w:val="00E205AB"/>
    <w:rsid w:val="00E30C58"/>
    <w:rsid w:val="00E31C37"/>
    <w:rsid w:val="00E32EAE"/>
    <w:rsid w:val="00E33AF0"/>
    <w:rsid w:val="00E405AD"/>
    <w:rsid w:val="00E416D0"/>
    <w:rsid w:val="00E45E4E"/>
    <w:rsid w:val="00E4676E"/>
    <w:rsid w:val="00E47D02"/>
    <w:rsid w:val="00E50A28"/>
    <w:rsid w:val="00E56FAB"/>
    <w:rsid w:val="00E57375"/>
    <w:rsid w:val="00E5787E"/>
    <w:rsid w:val="00E6062B"/>
    <w:rsid w:val="00E650B6"/>
    <w:rsid w:val="00E65892"/>
    <w:rsid w:val="00E6787B"/>
    <w:rsid w:val="00E708AA"/>
    <w:rsid w:val="00E70B4C"/>
    <w:rsid w:val="00E815D7"/>
    <w:rsid w:val="00E81BF9"/>
    <w:rsid w:val="00E8483D"/>
    <w:rsid w:val="00E923B1"/>
    <w:rsid w:val="00E93BE9"/>
    <w:rsid w:val="00E961D6"/>
    <w:rsid w:val="00EA0AC0"/>
    <w:rsid w:val="00EA0F67"/>
    <w:rsid w:val="00EA2D7C"/>
    <w:rsid w:val="00EA3E71"/>
    <w:rsid w:val="00EA5981"/>
    <w:rsid w:val="00EB286A"/>
    <w:rsid w:val="00EB353B"/>
    <w:rsid w:val="00EB38B3"/>
    <w:rsid w:val="00EB44A4"/>
    <w:rsid w:val="00EC0651"/>
    <w:rsid w:val="00EC4EE7"/>
    <w:rsid w:val="00EC6099"/>
    <w:rsid w:val="00EC6942"/>
    <w:rsid w:val="00EC7C47"/>
    <w:rsid w:val="00ED0600"/>
    <w:rsid w:val="00EF21C6"/>
    <w:rsid w:val="00F03CE8"/>
    <w:rsid w:val="00F07303"/>
    <w:rsid w:val="00F12FCF"/>
    <w:rsid w:val="00F147CE"/>
    <w:rsid w:val="00F15640"/>
    <w:rsid w:val="00F17B7E"/>
    <w:rsid w:val="00F45526"/>
    <w:rsid w:val="00F56504"/>
    <w:rsid w:val="00F61E5B"/>
    <w:rsid w:val="00F648CB"/>
    <w:rsid w:val="00F64A4D"/>
    <w:rsid w:val="00F67069"/>
    <w:rsid w:val="00F67B79"/>
    <w:rsid w:val="00F7073D"/>
    <w:rsid w:val="00F71FD7"/>
    <w:rsid w:val="00F746D7"/>
    <w:rsid w:val="00F748AF"/>
    <w:rsid w:val="00F81564"/>
    <w:rsid w:val="00F819AC"/>
    <w:rsid w:val="00F84D28"/>
    <w:rsid w:val="00F8711E"/>
    <w:rsid w:val="00F97B93"/>
    <w:rsid w:val="00F97D4D"/>
    <w:rsid w:val="00F97E1F"/>
    <w:rsid w:val="00FA0CD1"/>
    <w:rsid w:val="00FA435E"/>
    <w:rsid w:val="00FB074F"/>
    <w:rsid w:val="00FB1D7C"/>
    <w:rsid w:val="00FB5B90"/>
    <w:rsid w:val="00FB5B96"/>
    <w:rsid w:val="00FD3D1D"/>
    <w:rsid w:val="00FE36E2"/>
    <w:rsid w:val="00FF1980"/>
    <w:rsid w:val="00FF3835"/>
    <w:rsid w:val="00FF5217"/>
    <w:rsid w:val="00FF647A"/>
    <w:rsid w:val="00FF6B53"/>
    <w:rsid w:val="00FF714D"/>
    <w:rsid w:val="01206761"/>
    <w:rsid w:val="01D77BD6"/>
    <w:rsid w:val="081C36D1"/>
    <w:rsid w:val="090338D1"/>
    <w:rsid w:val="092C3A60"/>
    <w:rsid w:val="0A9F1FED"/>
    <w:rsid w:val="112020B0"/>
    <w:rsid w:val="115D3CFC"/>
    <w:rsid w:val="116D271D"/>
    <w:rsid w:val="123B541F"/>
    <w:rsid w:val="12490447"/>
    <w:rsid w:val="12F84395"/>
    <w:rsid w:val="13A45272"/>
    <w:rsid w:val="14B51B51"/>
    <w:rsid w:val="15DB37BC"/>
    <w:rsid w:val="15E17286"/>
    <w:rsid w:val="18822040"/>
    <w:rsid w:val="195D6DA5"/>
    <w:rsid w:val="1C7E4F05"/>
    <w:rsid w:val="1FF5347F"/>
    <w:rsid w:val="20B04CCC"/>
    <w:rsid w:val="21A72555"/>
    <w:rsid w:val="22F13435"/>
    <w:rsid w:val="24A942BD"/>
    <w:rsid w:val="25965671"/>
    <w:rsid w:val="28D93DA0"/>
    <w:rsid w:val="29511B73"/>
    <w:rsid w:val="29751799"/>
    <w:rsid w:val="2B6326D7"/>
    <w:rsid w:val="2C9D1DF5"/>
    <w:rsid w:val="2CF61A91"/>
    <w:rsid w:val="2D96711E"/>
    <w:rsid w:val="2DEB437F"/>
    <w:rsid w:val="30EC4B3D"/>
    <w:rsid w:val="325C76AB"/>
    <w:rsid w:val="336F2EA9"/>
    <w:rsid w:val="34512D5D"/>
    <w:rsid w:val="34B81FBC"/>
    <w:rsid w:val="38E4669B"/>
    <w:rsid w:val="3AB2158E"/>
    <w:rsid w:val="41625F4E"/>
    <w:rsid w:val="49C9642B"/>
    <w:rsid w:val="4DDE6BB4"/>
    <w:rsid w:val="506C6494"/>
    <w:rsid w:val="517A301B"/>
    <w:rsid w:val="519B6162"/>
    <w:rsid w:val="52023656"/>
    <w:rsid w:val="55EC7228"/>
    <w:rsid w:val="56F263C6"/>
    <w:rsid w:val="58EE21B7"/>
    <w:rsid w:val="59B15D2C"/>
    <w:rsid w:val="5CA12A7D"/>
    <w:rsid w:val="5CAF128F"/>
    <w:rsid w:val="60EB5276"/>
    <w:rsid w:val="61EC6E4E"/>
    <w:rsid w:val="628D604A"/>
    <w:rsid w:val="64696867"/>
    <w:rsid w:val="65831D18"/>
    <w:rsid w:val="66DE1BB2"/>
    <w:rsid w:val="67EE541B"/>
    <w:rsid w:val="693D4DCA"/>
    <w:rsid w:val="6B647AA9"/>
    <w:rsid w:val="6F670FB1"/>
    <w:rsid w:val="6F9D55B5"/>
    <w:rsid w:val="739E12E6"/>
    <w:rsid w:val="74402D5A"/>
    <w:rsid w:val="7553270A"/>
    <w:rsid w:val="76F63A8A"/>
    <w:rsid w:val="78B561E6"/>
    <w:rsid w:val="799C0FC7"/>
    <w:rsid w:val="7B5F6311"/>
    <w:rsid w:val="7D031257"/>
    <w:rsid w:val="7F544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6202EC"/>
    <w:rPr>
      <w:rFonts w:ascii="宋体"/>
      <w:sz w:val="18"/>
      <w:szCs w:val="18"/>
    </w:rPr>
  </w:style>
  <w:style w:type="paragraph" w:styleId="a4">
    <w:name w:val="annotation text"/>
    <w:basedOn w:val="a"/>
    <w:link w:val="Char0"/>
    <w:uiPriority w:val="99"/>
    <w:unhideWhenUsed/>
    <w:qFormat/>
    <w:rsid w:val="006202EC"/>
    <w:pPr>
      <w:jc w:val="left"/>
    </w:pPr>
  </w:style>
  <w:style w:type="paragraph" w:styleId="a5">
    <w:name w:val="Plain Text"/>
    <w:basedOn w:val="a"/>
    <w:link w:val="Char1"/>
    <w:qFormat/>
    <w:rsid w:val="006202EC"/>
    <w:rPr>
      <w:rFonts w:ascii="宋体" w:hAnsi="Courier New" w:hint="eastAsia"/>
      <w:szCs w:val="20"/>
    </w:rPr>
  </w:style>
  <w:style w:type="paragraph" w:styleId="a6">
    <w:name w:val="Balloon Text"/>
    <w:basedOn w:val="a"/>
    <w:link w:val="Char2"/>
    <w:uiPriority w:val="99"/>
    <w:unhideWhenUsed/>
    <w:qFormat/>
    <w:rsid w:val="006202EC"/>
    <w:rPr>
      <w:sz w:val="18"/>
      <w:szCs w:val="18"/>
    </w:rPr>
  </w:style>
  <w:style w:type="paragraph" w:styleId="a7">
    <w:name w:val="footer"/>
    <w:basedOn w:val="a"/>
    <w:link w:val="Char3"/>
    <w:uiPriority w:val="99"/>
    <w:unhideWhenUsed/>
    <w:qFormat/>
    <w:rsid w:val="006202E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6202EC"/>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6202EC"/>
    <w:pPr>
      <w:spacing w:line="400" w:lineRule="atLeast"/>
      <w:ind w:firstLine="600"/>
    </w:pPr>
    <w:rPr>
      <w:rFonts w:ascii="宋体" w:hint="eastAsia"/>
      <w:sz w:val="28"/>
      <w:szCs w:val="20"/>
    </w:rPr>
  </w:style>
  <w:style w:type="paragraph" w:styleId="2">
    <w:name w:val="Body Text 2"/>
    <w:basedOn w:val="a"/>
    <w:link w:val="2Char"/>
    <w:uiPriority w:val="99"/>
    <w:unhideWhenUsed/>
    <w:qFormat/>
    <w:rsid w:val="006202EC"/>
    <w:pPr>
      <w:spacing w:after="120" w:line="480" w:lineRule="auto"/>
    </w:pPr>
  </w:style>
  <w:style w:type="paragraph" w:styleId="a9">
    <w:name w:val="Normal (Web)"/>
    <w:basedOn w:val="a"/>
    <w:uiPriority w:val="99"/>
    <w:unhideWhenUsed/>
    <w:qFormat/>
    <w:rsid w:val="006202EC"/>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unhideWhenUsed/>
    <w:qFormat/>
    <w:rsid w:val="006202EC"/>
    <w:rPr>
      <w:b/>
      <w:bCs/>
    </w:rPr>
  </w:style>
  <w:style w:type="table" w:styleId="ab">
    <w:name w:val="Table Grid"/>
    <w:basedOn w:val="a1"/>
    <w:uiPriority w:val="59"/>
    <w:qFormat/>
    <w:rsid w:val="006202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qFormat/>
    <w:rsid w:val="006202EC"/>
    <w:rPr>
      <w:color w:val="0000FF"/>
      <w:u w:val="single"/>
    </w:rPr>
  </w:style>
  <w:style w:type="character" w:styleId="ad">
    <w:name w:val="annotation reference"/>
    <w:uiPriority w:val="99"/>
    <w:unhideWhenUsed/>
    <w:qFormat/>
    <w:rsid w:val="006202EC"/>
    <w:rPr>
      <w:sz w:val="21"/>
      <w:szCs w:val="21"/>
    </w:rPr>
  </w:style>
  <w:style w:type="character" w:customStyle="1" w:styleId="Char5">
    <w:name w:val="批注主题 Char"/>
    <w:link w:val="aa"/>
    <w:uiPriority w:val="99"/>
    <w:semiHidden/>
    <w:qFormat/>
    <w:rsid w:val="006202EC"/>
    <w:rPr>
      <w:rFonts w:ascii="Times New Roman" w:hAnsi="Times New Roman"/>
      <w:b/>
      <w:bCs/>
      <w:kern w:val="2"/>
      <w:sz w:val="21"/>
      <w:szCs w:val="24"/>
    </w:rPr>
  </w:style>
  <w:style w:type="character" w:customStyle="1" w:styleId="Char1">
    <w:name w:val="纯文本 Char"/>
    <w:link w:val="a5"/>
    <w:qFormat/>
    <w:rsid w:val="006202EC"/>
    <w:rPr>
      <w:rFonts w:ascii="宋体" w:hAnsi="Courier New"/>
      <w:kern w:val="2"/>
      <w:sz w:val="21"/>
    </w:rPr>
  </w:style>
  <w:style w:type="character" w:customStyle="1" w:styleId="Char3">
    <w:name w:val="页脚 Char"/>
    <w:link w:val="a7"/>
    <w:uiPriority w:val="99"/>
    <w:qFormat/>
    <w:rsid w:val="006202EC"/>
    <w:rPr>
      <w:rFonts w:ascii="Times New Roman" w:hAnsi="Times New Roman"/>
      <w:kern w:val="2"/>
      <w:sz w:val="18"/>
      <w:szCs w:val="18"/>
    </w:rPr>
  </w:style>
  <w:style w:type="character" w:customStyle="1" w:styleId="2Char">
    <w:name w:val="正文文本 2 Char"/>
    <w:link w:val="2"/>
    <w:uiPriority w:val="99"/>
    <w:semiHidden/>
    <w:qFormat/>
    <w:rsid w:val="006202EC"/>
    <w:rPr>
      <w:rFonts w:ascii="Times New Roman" w:hAnsi="Times New Roman"/>
      <w:kern w:val="2"/>
      <w:sz w:val="21"/>
      <w:szCs w:val="24"/>
    </w:rPr>
  </w:style>
  <w:style w:type="character" w:customStyle="1" w:styleId="Char0">
    <w:name w:val="批注文字 Char"/>
    <w:link w:val="a4"/>
    <w:uiPriority w:val="99"/>
    <w:semiHidden/>
    <w:qFormat/>
    <w:rsid w:val="006202EC"/>
    <w:rPr>
      <w:rFonts w:ascii="Times New Roman" w:hAnsi="Times New Roman"/>
      <w:kern w:val="2"/>
      <w:sz w:val="21"/>
      <w:szCs w:val="24"/>
    </w:rPr>
  </w:style>
  <w:style w:type="character" w:customStyle="1" w:styleId="Char2">
    <w:name w:val="批注框文本 Char"/>
    <w:link w:val="a6"/>
    <w:uiPriority w:val="99"/>
    <w:semiHidden/>
    <w:qFormat/>
    <w:rsid w:val="006202EC"/>
    <w:rPr>
      <w:rFonts w:ascii="Times New Roman" w:hAnsi="Times New Roman"/>
      <w:kern w:val="2"/>
      <w:sz w:val="18"/>
      <w:szCs w:val="18"/>
    </w:rPr>
  </w:style>
  <w:style w:type="character" w:customStyle="1" w:styleId="Char4">
    <w:name w:val="页眉 Char"/>
    <w:link w:val="a8"/>
    <w:uiPriority w:val="99"/>
    <w:qFormat/>
    <w:rsid w:val="006202EC"/>
    <w:rPr>
      <w:rFonts w:ascii="Times New Roman" w:hAnsi="Times New Roman"/>
      <w:kern w:val="2"/>
      <w:sz w:val="18"/>
      <w:szCs w:val="18"/>
    </w:rPr>
  </w:style>
  <w:style w:type="character" w:customStyle="1" w:styleId="3Char">
    <w:name w:val="正文文本缩进 3 Char"/>
    <w:link w:val="3"/>
    <w:qFormat/>
    <w:rsid w:val="006202EC"/>
    <w:rPr>
      <w:rFonts w:ascii="宋体" w:eastAsia="宋体" w:hAnsi="Times New Roman" w:cs="Times New Roman"/>
      <w:sz w:val="28"/>
      <w:szCs w:val="20"/>
    </w:rPr>
  </w:style>
  <w:style w:type="character" w:customStyle="1" w:styleId="Char">
    <w:name w:val="文档结构图 Char"/>
    <w:link w:val="a3"/>
    <w:uiPriority w:val="99"/>
    <w:semiHidden/>
    <w:qFormat/>
    <w:rsid w:val="006202EC"/>
    <w:rPr>
      <w:rFonts w:ascii="宋体" w:hAnsi="Times New Roman"/>
      <w:kern w:val="2"/>
      <w:sz w:val="18"/>
      <w:szCs w:val="18"/>
    </w:rPr>
  </w:style>
  <w:style w:type="paragraph" w:customStyle="1" w:styleId="Default">
    <w:name w:val="Default"/>
    <w:qFormat/>
    <w:rsid w:val="006202EC"/>
    <w:pPr>
      <w:widowControl w:val="0"/>
      <w:autoSpaceDE w:val="0"/>
      <w:autoSpaceDN w:val="0"/>
      <w:adjustRightInd w:val="0"/>
    </w:pPr>
    <w:rPr>
      <w:rFonts w:ascii="宋体" w:hAnsi="宋体" w:cs="宋体"/>
      <w:color w:val="000000"/>
      <w:sz w:val="24"/>
      <w:szCs w:val="24"/>
    </w:rPr>
  </w:style>
  <w:style w:type="paragraph" w:customStyle="1" w:styleId="1">
    <w:name w:val="修订1"/>
    <w:uiPriority w:val="99"/>
    <w:semiHidden/>
    <w:qFormat/>
    <w:rsid w:val="006202E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E610B-408A-4778-A422-7DA75141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1035</Characters>
  <Application>Microsoft Office Word</Application>
  <DocSecurity>4</DocSecurity>
  <Lines>8</Lines>
  <Paragraphs>2</Paragraphs>
  <ScaleCrop>false</ScaleCrop>
  <Company>southenrnfund</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ZHONGM</cp:lastModifiedBy>
  <cp:revision>2</cp:revision>
  <cp:lastPrinted>2017-09-06T09:35:00Z</cp:lastPrinted>
  <dcterms:created xsi:type="dcterms:W3CDTF">2021-04-19T17:04:00Z</dcterms:created>
  <dcterms:modified xsi:type="dcterms:W3CDTF">2021-04-19T17:04:00Z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C27D316B990C4D5EB6BD957F3DAA638D</vt:lpwstr>
  </property>
</Properties>
</file>