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99" w:rsidRDefault="00324B99">
      <w:pPr>
        <w:widowControl w:val="0"/>
        <w:jc w:val="center"/>
        <w:rPr>
          <w:rFonts w:eastAsia="Times New Roman"/>
          <w:sz w:val="30"/>
          <w:szCs w:val="30"/>
          <w:lang w:val="en-US" w:eastAsia="zh-CN" w:bidi="ar-SA"/>
        </w:rPr>
      </w:pPr>
      <w:r>
        <w:rPr>
          <w:rFonts w:ascii="宋体" w:hAnsi="宋体" w:cs="宋体"/>
          <w:b/>
          <w:bCs/>
          <w:sz w:val="30"/>
          <w:szCs w:val="30"/>
          <w:lang w:val="en-US" w:eastAsia="zh-CN" w:bidi="ar-SA"/>
        </w:rPr>
        <w:t>鹏华基金管理有限公司关于旗下部分基金参与天风证券股份有限公司申购（含定期定额投资）费率优惠活动的公告</w:t>
      </w:r>
    </w:p>
    <w:p w:rsidR="00324B99" w:rsidRDefault="00324B99">
      <w:pPr>
        <w:widowControl w:val="0"/>
        <w:jc w:val="both"/>
        <w:rPr>
          <w:rFonts w:eastAsia="Times New Roman"/>
          <w:sz w:val="21"/>
          <w:szCs w:val="21"/>
          <w:lang w:val="en-US" w:eastAsia="zh-CN" w:bidi="ar-SA"/>
        </w:rPr>
      </w:pP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为了答谢广大投资者长期以来的信任和支持，鹏华基金管理有限公司（以下简称“本公司”）与天风证券股份有限公司（以下简称“天风证券”）协商一致，决定参加天风证券申购（含定期定额投资）费率优惠活动。现将有关事项公告如下：</w:t>
      </w:r>
    </w:p>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一、适用投资者范围</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通过天风证券（含定期定额投资）本公司下述适用基金的投资者。</w:t>
      </w:r>
    </w:p>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二、优惠活动时间</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本次费率优惠活动时间为2021年04月16日起，活动结束时间以天风证券或本公司相关公告为准。</w:t>
      </w:r>
    </w:p>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三、适用基金</w:t>
      </w:r>
    </w:p>
    <w:tbl>
      <w:tblPr>
        <w:tblW w:w="8359" w:type="dxa"/>
        <w:tblInd w:w="10" w:type="dxa"/>
        <w:tblCellMar>
          <w:top w:w="15" w:type="dxa"/>
          <w:left w:w="15" w:type="dxa"/>
          <w:bottom w:w="15" w:type="dxa"/>
          <w:right w:w="15" w:type="dxa"/>
        </w:tblCellMar>
        <w:tblLook w:val="04A0"/>
      </w:tblPr>
      <w:tblGrid>
        <w:gridCol w:w="1271"/>
        <w:gridCol w:w="7088"/>
      </w:tblGrid>
      <w:tr w:rsidR="00324B99" w:rsidRPr="00324B99" w:rsidTr="00324B99">
        <w:trPr>
          <w:trHeight w:val="402"/>
        </w:trPr>
        <w:tc>
          <w:tcPr>
            <w:tcW w:w="1271" w:type="dxa"/>
            <w:tcBorders>
              <w:top w:val="single" w:sz="4" w:space="0" w:color="000000"/>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jc w:val="center"/>
              <w:rPr>
                <w:rFonts w:ascii="宋体" w:hAnsi="宋体"/>
                <w:sz w:val="21"/>
                <w:szCs w:val="21"/>
                <w:lang w:val="en-US" w:eastAsia="zh-CN" w:bidi="ar-SA"/>
              </w:rPr>
            </w:pPr>
            <w:r w:rsidRPr="00324B99">
              <w:rPr>
                <w:rFonts w:ascii="宋体" w:hAnsi="宋体" w:cs="微软雅黑"/>
                <w:b/>
                <w:bCs/>
                <w:color w:val="000000"/>
                <w:sz w:val="21"/>
                <w:szCs w:val="21"/>
                <w:lang w:val="en-US" w:eastAsia="zh-CN" w:bidi="ar-SA"/>
              </w:rPr>
              <w:t>基金代码</w:t>
            </w:r>
          </w:p>
        </w:tc>
        <w:tc>
          <w:tcPr>
            <w:tcW w:w="7088" w:type="dxa"/>
            <w:tcBorders>
              <w:top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jc w:val="center"/>
              <w:rPr>
                <w:rFonts w:ascii="宋体" w:hAnsi="宋体"/>
                <w:sz w:val="21"/>
                <w:szCs w:val="21"/>
                <w:lang w:val="en-US" w:eastAsia="zh-CN" w:bidi="ar-SA"/>
              </w:rPr>
            </w:pPr>
            <w:r w:rsidRPr="00324B99">
              <w:rPr>
                <w:rFonts w:ascii="宋体" w:hAnsi="宋体" w:cs="宋体"/>
                <w:b/>
                <w:bCs/>
                <w:color w:val="000000"/>
                <w:sz w:val="21"/>
                <w:szCs w:val="21"/>
                <w:lang w:val="en-US" w:eastAsia="zh-CN" w:bidi="ar-SA"/>
              </w:rPr>
              <w:t>基金名称</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000053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鹏华永诚一年定期开放债券型证券投资基金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000289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鹏华丰泰定期开放债券型证券投资基金A类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000290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鹏华全球高收益债债券型证券投资基金人民币份额</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000295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鹏华丰实定期开放债券型证券投资基金A类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000297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鹏华可转债债券型证券投资基金A类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000329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鹏华丰饶定期开放债券型证券投资基金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000345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鹏华丰融定期开放债券型证券投资基金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000409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鹏华环保产业股票型证券投资基金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000431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鹏华品牌传承灵活配置混合型证券投资基金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000778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鹏华先进制造股票型证券投资基金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000780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鹏华医疗保健股票型证券投资基金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000854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鹏华养老产业股票型证券投资基金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001223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鹏华文化传媒娱乐股票型证券投资基金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002018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鹏华弘安灵活配置混合型证券投资基金A类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002019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鹏华弘安灵活配置混合型证券投资基金C类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002259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鹏华健康环保灵活配置混合型证券投资基金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002395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鹏华丰尚定期开放债券型证券投资基金A类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002504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鹏华金鼎灵活配置混合型证券投资基金A类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002714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鹏华金城灵活配置混合型证券投资基金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003186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鹏华兴安定期开放灵活配置混合型证券投资基金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lastRenderedPageBreak/>
              <w:t>003835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鹏华沪深港新兴成长灵活配置混合型证券投资基金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004100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鹏华安益增强混合型证券投资基金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004292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鹏华沪深港互联网股票型证券投资基金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004986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鹏华策略回报灵活配置混合型证券投资基金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005028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鹏华研究精选灵活配置混合型证券投资基金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005268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鹏华优势企业股票型证券投资基金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005416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鹏华尊惠18个月定期开放混合型证券投资基金A类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005812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鹏华产业精选灵活配置混合型证券投资基金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005967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鹏华创新驱动混合型证券投资基金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006230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鹏华研究驱动混合型证券投资基金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006434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鹏华中短债3个月定期开放债券型证券投资基金A类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008811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鹏华科技创新混合型证券投资基金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009023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鹏华稳健回报混合型证券投资基金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009570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鹏华匠心精选混合型证券投资基金A类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010264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鹏华成长智选混合型证券投资基金A类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010488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鹏华优选成长混合型证券投资基金A类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010490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鹏华高质量增长混合型证券投资基金A类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010894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鹏华汇智优选混合型证券投资基金A类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011333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鹏华品质优选混合型证券投资基金A类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011460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鹏华创新成长混合型证券投资基金A类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011471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鹏华致远成长混合型证券投资基金A类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011542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鹏华远见回报三年持有期混合型证券投资基金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鹏华弘泰灵活配置混合型证券投资基金A类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鹏华精选成长混合型证券投资基金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鹏华信用增利债券型证券投资基金A类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鹏华全球中短债债券型证券投资基金（QDII）A类人民币份额</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鹏华消费优选混合型证券投资基金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206009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鹏华新兴产业混合型证券投资基金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206011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鹏华美国房地产证券投资基金人民币份额</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206012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鹏华价值精选股票型证券投资基金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206013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鹏华宏观灵活配置混合型证券投资基金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206015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鹏华纯债债券型证券投资基金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tcMar>
              <w:top w:w="5" w:type="dxa"/>
              <w:left w:w="5" w:type="dxa"/>
              <w:bottom w:w="5" w:type="dxa"/>
              <w:right w:w="5" w:type="dxa"/>
            </w:tcMa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206018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鹏华产业债债券型证券投资基金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005870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鹏华沪深300指数增强型证券投资基金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lastRenderedPageBreak/>
              <w:t>160602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鹏华普天债券证券投资基金A类</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160603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鹏华普天收益证券投资基金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160605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鹏华中国50开放式证券投资基金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160607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鹏华价值优势混合型证券投资基金（LOF）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鹏华动力增长混合型证券投资基金(LOF)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鹏华优质治理混合型证券投资基金(LOF)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鹏华丰收债券型证券投资基金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鹏华盛世创新混合型证券投资基金（LOF）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鹏华沪深300指数证券投资基金A类（LOF）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鹏华中证500指数证券投资基金A类（LOF）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160617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鹏华丰润债券型证券投资基金（LOF）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鹏华中证A股资源产业指数型证券投资基金（LOF）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鹏华丰和债券型证券投资基金A类（LOF）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鹏华丰利债券型证券投资基金（LOF）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鹏华消费领先灵活配置混合型证券投资基金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鹏华中证800证券保险指数型证券投资基金（LOF）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鹏华中证信息技术指数型证券投资基金（LOF）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鹏华策略优选灵活配置混合型证券投资基金</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鹏华中证800地产指数型证券投资基金（LOF）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160629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鹏华中证传媒指数型证券投资基金（LOF）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160630</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鹏华中证国防指数型证券投资基金（LOF）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鹏华中证银行指数型证券投资基金（LOF）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160632</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鹏华中证酒指数型证券投资基金（LOF）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鹏华中证全指证券公司指数型证券投资基金（LOF）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鹏华中证环保产业指数型证券投资基金（LOF）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鹏华中证医药卫生指数证券投资基金A类（LOF）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鹏华中证移动互联网指数型证券投资基金（LOF）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160637</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鹏华创业板指数型证券投资基金（LOF）</w:t>
            </w:r>
          </w:p>
        </w:tc>
      </w:tr>
      <w:tr w:rsidR="00324B99" w:rsidRPr="00324B99" w:rsidTr="00324B99">
        <w:trPr>
          <w:trHeight w:val="36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160638</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鹏华中证一带一路主题指数型证券投资基金（LOF）</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160639</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鹏华中证高铁产业指数型证券投资基金（LOF）</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160643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鹏华中证空天一体军工指数证券投资基金A类（LOF）</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160644</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鹏华香港美国互联网股票型证券投资基金（LOF）人民币份额</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160645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鹏华精选回报三年定期开放混合型证券投资基金</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184801</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鹏华前海万科REITs封闭式混合型发起式证券投资基金</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501023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鹏华港股通中证香港中小企业投资主题指数证券投资基金（LOF）</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lastRenderedPageBreak/>
              <w:t>501025</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鹏华港股通中证香港银行投资指数证券投资基金（LOF）A类</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501076</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鹏华科创主题3年封闭运作灵活配置混合型证券投资基金</w:t>
            </w:r>
          </w:p>
        </w:tc>
      </w:tr>
      <w:tr w:rsidR="00324B99" w:rsidRPr="00324B99" w:rsidTr="00324B99">
        <w:trPr>
          <w:trHeight w:val="330"/>
        </w:trPr>
        <w:tc>
          <w:tcPr>
            <w:tcW w:w="1271" w:type="dxa"/>
            <w:tcBorders>
              <w:left w:val="single" w:sz="4" w:space="0" w:color="000000"/>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微软雅黑"/>
                <w:color w:val="000000"/>
                <w:sz w:val="21"/>
                <w:szCs w:val="21"/>
                <w:lang w:val="en-US" w:eastAsia="zh-CN" w:bidi="ar-SA"/>
              </w:rPr>
              <w:t>502023</w:t>
            </w:r>
          </w:p>
        </w:tc>
        <w:tc>
          <w:tcPr>
            <w:tcW w:w="7088" w:type="dxa"/>
            <w:tcBorders>
              <w:bottom w:val="single" w:sz="4" w:space="0" w:color="000000"/>
              <w:right w:val="single" w:sz="4" w:space="0" w:color="000000"/>
            </w:tcBorders>
            <w:noWrap/>
            <w:tcMar>
              <w:top w:w="5" w:type="dxa"/>
              <w:left w:w="5" w:type="dxa"/>
              <w:bottom w:w="5" w:type="dxa"/>
              <w:right w:w="5" w:type="dxa"/>
            </w:tcMar>
            <w:vAlign w:val="center"/>
            <w:hideMark/>
          </w:tcPr>
          <w:p w:rsidR="00324B99" w:rsidRPr="00324B99" w:rsidRDefault="00324B99">
            <w:pPr>
              <w:rPr>
                <w:rFonts w:ascii="宋体" w:hAnsi="宋体"/>
                <w:sz w:val="21"/>
                <w:szCs w:val="21"/>
                <w:lang w:val="en-US" w:eastAsia="zh-CN" w:bidi="ar-SA"/>
              </w:rPr>
            </w:pPr>
            <w:r w:rsidRPr="00324B99">
              <w:rPr>
                <w:rFonts w:ascii="宋体" w:hAnsi="宋体" w:cs="宋体"/>
                <w:color w:val="000000"/>
                <w:sz w:val="21"/>
                <w:szCs w:val="21"/>
                <w:lang w:val="en-US" w:eastAsia="zh-CN" w:bidi="ar-SA"/>
              </w:rPr>
              <w:t>鹏华国证钢铁行业指数型证券投资基金（LOF）</w:t>
            </w:r>
          </w:p>
        </w:tc>
      </w:tr>
    </w:tbl>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四、优惠活动内容</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活动期间，投资者通过天风证券（含定期定额投资）本公司上述适用基金的，可享受申购费率0.1折优惠。申购费率按笔收取固定金额的，不享受申购费率折扣优惠。</w:t>
      </w:r>
    </w:p>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五、重要提示</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1、本次优惠活动内容发生调整的，以天风证券或本公司相关公告为准；</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2、优惠活动详情请参见天风证券的相关公告或宣传资料。投资者欲了解上述基金产品的详细情况，请仔细阅读上述基金的《基金合同》、《招募说明书》、基金产品资料概要及其更新等法律文件；</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3、天风证券保留对本次优惠活动的解释权，本公司对于本公告享有解释权。</w:t>
      </w:r>
    </w:p>
    <w:p w:rsidR="00324B99" w:rsidRDefault="00324B99">
      <w:pPr>
        <w:widowControl w:val="0"/>
        <w:spacing w:line="360" w:lineRule="auto"/>
        <w:ind w:firstLine="480"/>
        <w:jc w:val="both"/>
        <w:rPr>
          <w:rFonts w:eastAsia="Times New Roman"/>
          <w:lang w:val="en-US" w:eastAsia="zh-CN" w:bidi="ar-SA"/>
        </w:rPr>
      </w:pPr>
      <w:r>
        <w:rPr>
          <w:rFonts w:ascii="宋体" w:hAnsi="宋体" w:cs="宋体"/>
          <w:b/>
          <w:bCs/>
          <w:lang w:val="en-US" w:eastAsia="zh-CN" w:bidi="ar-SA"/>
        </w:rPr>
        <w:t>六、投资者可通过以下途径咨询有关详情</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1、天风证券股份有限公司</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客户服务电话：95391/4008005000</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网站：www.tfzq.com</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2、鹏华基金管理有限公司</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客户服务电话：400-6788-533</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网站：www.phfund.com</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风险提示：本公司承诺以诚实信用、勤勉尽责的原则管理和运用基金财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投资者投资于本公司基金时应认真阅读相关基金合同、招募说明书、基金产品资料概要及其更新等文件，了解所投资基金的风险收益特征，并根据自身风险承受能力选择适合自己的基金产品。敬请投资者注意投资风险。</w:t>
      </w:r>
    </w:p>
    <w:p w:rsidR="00324B99" w:rsidRDefault="00324B99">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特此公告。</w:t>
      </w:r>
    </w:p>
    <w:p w:rsidR="00324B99" w:rsidRDefault="00324B99">
      <w:pPr>
        <w:widowControl w:val="0"/>
        <w:ind w:firstLine="420"/>
        <w:jc w:val="both"/>
        <w:rPr>
          <w:rFonts w:eastAsia="Times New Roman"/>
          <w:sz w:val="21"/>
          <w:szCs w:val="21"/>
          <w:lang w:val="en-US" w:eastAsia="zh-CN" w:bidi="ar-SA"/>
        </w:rPr>
      </w:pPr>
    </w:p>
    <w:p w:rsidR="00324B99" w:rsidRDefault="00324B99">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鹏华基金管理有限公司</w:t>
      </w:r>
    </w:p>
    <w:p w:rsidR="00324B99" w:rsidRDefault="00324B99">
      <w:pPr>
        <w:widowControl w:val="0"/>
        <w:spacing w:line="360" w:lineRule="auto"/>
        <w:jc w:val="right"/>
        <w:rPr>
          <w:rFonts w:eastAsia="Times New Roman"/>
          <w:sz w:val="21"/>
          <w:szCs w:val="21"/>
          <w:lang w:val="en-US" w:eastAsia="zh-CN" w:bidi="ar-SA"/>
        </w:rPr>
      </w:pPr>
      <w:r>
        <w:rPr>
          <w:rFonts w:ascii="宋体" w:hAnsi="宋体" w:cs="宋体"/>
          <w:sz w:val="21"/>
          <w:szCs w:val="21"/>
          <w:lang w:val="en-US" w:eastAsia="zh-CN" w:bidi="ar-SA"/>
        </w:rPr>
        <w:t>2021年04月16日</w:t>
      </w:r>
    </w:p>
    <w:p w:rsidR="00A77B3E" w:rsidRDefault="00A77B3E"/>
    <w:sectPr w:rsidR="00A77B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03" w:rsidRDefault="00495803" w:rsidP="00495803">
      <w:r>
        <w:separator/>
      </w:r>
    </w:p>
  </w:endnote>
  <w:endnote w:type="continuationSeparator" w:id="0">
    <w:p w:rsidR="00495803" w:rsidRDefault="00495803" w:rsidP="00495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03" w:rsidRDefault="00495803" w:rsidP="00495803">
      <w:r>
        <w:separator/>
      </w:r>
    </w:p>
  </w:footnote>
  <w:footnote w:type="continuationSeparator" w:id="0">
    <w:p w:rsidR="00495803" w:rsidRDefault="00495803" w:rsidP="00495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24B99"/>
    <w:rsid w:val="003A52FA"/>
    <w:rsid w:val="00495803"/>
    <w:rsid w:val="00A77B3E"/>
    <w:rsid w:val="00A813C7"/>
    <w:rsid w:val="00CA2A55"/>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495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95803"/>
    <w:rPr>
      <w:sz w:val="18"/>
      <w:szCs w:val="18"/>
    </w:rPr>
  </w:style>
  <w:style w:type="paragraph" w:styleId="a4">
    <w:name w:val="footer"/>
    <w:basedOn w:val="a"/>
    <w:link w:val="Char0"/>
    <w:rsid w:val="00495803"/>
    <w:pPr>
      <w:tabs>
        <w:tab w:val="center" w:pos="4153"/>
        <w:tab w:val="right" w:pos="8306"/>
      </w:tabs>
      <w:snapToGrid w:val="0"/>
    </w:pPr>
    <w:rPr>
      <w:sz w:val="18"/>
      <w:szCs w:val="18"/>
    </w:rPr>
  </w:style>
  <w:style w:type="character" w:customStyle="1" w:styleId="Char0">
    <w:name w:val="页脚 Char"/>
    <w:basedOn w:val="a0"/>
    <w:link w:val="a4"/>
    <w:rsid w:val="0049580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缪莉芳</dc:creator>
  <cp:keywords/>
  <cp:lastModifiedBy>ZHONGM</cp:lastModifiedBy>
  <cp:revision>2</cp:revision>
  <cp:lastPrinted>2021-04-15T06:04:00Z</cp:lastPrinted>
  <dcterms:created xsi:type="dcterms:W3CDTF">2021-04-15T16:31:00Z</dcterms:created>
  <dcterms:modified xsi:type="dcterms:W3CDTF">2021-04-15T16:31:00Z</dcterms:modified>
</cp:coreProperties>
</file>